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734"/>
        <w:tblW w:w="9118" w:type="dxa"/>
        <w:tblBorders>
          <w:bottom w:val="thinThickSmallGap" w:sz="24" w:space="0" w:color="auto"/>
          <w:insideH w:val="single" w:sz="4" w:space="0" w:color="auto"/>
        </w:tblBorders>
        <w:shd w:val="clear" w:color="auto" w:fill="FFFFFF"/>
        <w:tblCellMar>
          <w:left w:w="85" w:type="dxa"/>
          <w:right w:w="57" w:type="dxa"/>
        </w:tblCellMar>
        <w:tblLook w:val="04A0" w:firstRow="1" w:lastRow="0" w:firstColumn="1" w:lastColumn="0" w:noHBand="0" w:noVBand="1"/>
      </w:tblPr>
      <w:tblGrid>
        <w:gridCol w:w="3624"/>
        <w:gridCol w:w="1962"/>
        <w:gridCol w:w="3532"/>
      </w:tblGrid>
      <w:tr w:rsidR="003342BD" w:rsidRPr="00F25592" w14:paraId="2D38431A" w14:textId="77777777" w:rsidTr="003342BD">
        <w:trPr>
          <w:trHeight w:val="1799"/>
        </w:trPr>
        <w:tc>
          <w:tcPr>
            <w:tcW w:w="3624" w:type="dxa"/>
            <w:shd w:val="clear" w:color="auto" w:fill="FFFFFF"/>
          </w:tcPr>
          <w:p w14:paraId="22851C1C" w14:textId="77777777" w:rsidR="003342BD" w:rsidRPr="003342BD" w:rsidRDefault="003342BD" w:rsidP="003342BD">
            <w:pPr>
              <w:pStyle w:val="En-tte"/>
              <w:tabs>
                <w:tab w:val="left" w:pos="567"/>
                <w:tab w:val="left" w:pos="992"/>
              </w:tabs>
              <w:snapToGrid w:val="0"/>
              <w:spacing w:before="120" w:line="220" w:lineRule="atLeast"/>
              <w:rPr>
                <w:rFonts w:ascii="Arial Narrow" w:hAnsi="Arial Narrow"/>
                <w:b/>
                <w:smallCaps/>
                <w:spacing w:val="-20"/>
                <w:w w:val="120"/>
                <w:sz w:val="22"/>
                <w:lang w:val="fr-FR"/>
              </w:rPr>
            </w:pPr>
            <w:r w:rsidRPr="003342BD">
              <w:rPr>
                <w:sz w:val="22"/>
                <w:lang w:val="fr-FR"/>
              </w:rPr>
              <w:t xml:space="preserve">         </w:t>
            </w:r>
            <w:r w:rsidRPr="003342BD">
              <w:rPr>
                <w:rFonts w:ascii="Arial Narrow" w:hAnsi="Arial Narrow"/>
                <w:b/>
                <w:caps/>
                <w:spacing w:val="-20"/>
                <w:w w:val="120"/>
                <w:sz w:val="22"/>
                <w:lang w:val="fr-FR"/>
              </w:rPr>
              <w:t>universite de bangui</w:t>
            </w:r>
          </w:p>
          <w:p w14:paraId="679423B4" w14:textId="77777777" w:rsidR="003342BD" w:rsidRPr="003342BD" w:rsidRDefault="003342BD" w:rsidP="003342BD">
            <w:pPr>
              <w:pStyle w:val="En-tte"/>
              <w:tabs>
                <w:tab w:val="left" w:pos="567"/>
                <w:tab w:val="left" w:pos="992"/>
                <w:tab w:val="left" w:pos="1200"/>
                <w:tab w:val="center" w:pos="1741"/>
              </w:tabs>
              <w:snapToGrid w:val="0"/>
              <w:spacing w:line="220" w:lineRule="atLeast"/>
              <w:rPr>
                <w:rFonts w:ascii="Arial Narrow" w:hAnsi="Arial Narrow"/>
                <w:b/>
                <w:smallCaps/>
                <w:spacing w:val="-20"/>
                <w:w w:val="120"/>
                <w:sz w:val="22"/>
                <w:lang w:val="fr-FR"/>
              </w:rPr>
            </w:pPr>
            <w:r w:rsidRPr="003342BD">
              <w:rPr>
                <w:rFonts w:ascii="Arial Narrow" w:hAnsi="Arial Narrow"/>
                <w:b/>
                <w:smallCaps/>
                <w:spacing w:val="-20"/>
                <w:w w:val="120"/>
                <w:sz w:val="22"/>
                <w:lang w:val="fr-FR"/>
              </w:rPr>
              <w:tab/>
            </w:r>
            <w:r w:rsidRPr="003342BD">
              <w:rPr>
                <w:rFonts w:ascii="Arial Narrow" w:hAnsi="Arial Narrow"/>
                <w:b/>
                <w:smallCaps/>
                <w:spacing w:val="-20"/>
                <w:w w:val="120"/>
                <w:sz w:val="22"/>
                <w:lang w:val="fr-FR"/>
              </w:rPr>
              <w:tab/>
            </w:r>
            <w:r w:rsidRPr="003342BD">
              <w:rPr>
                <w:rFonts w:ascii="Arial Narrow" w:hAnsi="Arial Narrow"/>
                <w:b/>
                <w:smallCaps/>
                <w:spacing w:val="-20"/>
                <w:w w:val="120"/>
                <w:sz w:val="22"/>
                <w:lang w:val="fr-FR"/>
              </w:rPr>
              <w:tab/>
            </w:r>
            <w:r w:rsidRPr="003342BD">
              <w:rPr>
                <w:rFonts w:ascii="Arial Narrow" w:hAnsi="Arial Narrow"/>
                <w:b/>
                <w:smallCaps/>
                <w:spacing w:val="-20"/>
                <w:w w:val="120"/>
                <w:sz w:val="22"/>
                <w:lang w:val="fr-FR"/>
              </w:rPr>
              <w:tab/>
              <w:t xml:space="preserve">-=-=-=- - </w:t>
            </w:r>
          </w:p>
          <w:p w14:paraId="392A9FCF" w14:textId="77777777" w:rsidR="003342BD" w:rsidRPr="003342BD" w:rsidRDefault="003342BD" w:rsidP="003342BD">
            <w:pPr>
              <w:pStyle w:val="En-tte"/>
              <w:tabs>
                <w:tab w:val="left" w:pos="567"/>
                <w:tab w:val="left" w:pos="992"/>
              </w:tabs>
              <w:snapToGrid w:val="0"/>
              <w:spacing w:line="220" w:lineRule="atLeast"/>
              <w:jc w:val="center"/>
              <w:rPr>
                <w:rFonts w:ascii="Arial Narrow" w:hAnsi="Arial Narrow"/>
                <w:b/>
                <w:caps/>
                <w:spacing w:val="-20"/>
                <w:w w:val="120"/>
                <w:sz w:val="22"/>
                <w:lang w:val="fr-FR"/>
              </w:rPr>
            </w:pPr>
            <w:r w:rsidRPr="003342BD">
              <w:rPr>
                <w:rFonts w:ascii="Arial Narrow" w:hAnsi="Arial Narrow"/>
                <w:b/>
                <w:caps/>
                <w:spacing w:val="-20"/>
                <w:w w:val="120"/>
                <w:sz w:val="22"/>
                <w:lang w:val="fr-FR"/>
              </w:rPr>
              <w:t>FACULTE DES SCIENCES ECONOMIQUES ET DE GESTION</w:t>
            </w:r>
          </w:p>
          <w:p w14:paraId="3341A5DC" w14:textId="77777777" w:rsidR="003342BD" w:rsidRPr="003342BD" w:rsidRDefault="003342BD" w:rsidP="003342BD">
            <w:pPr>
              <w:pStyle w:val="En-tte"/>
              <w:tabs>
                <w:tab w:val="left" w:pos="567"/>
                <w:tab w:val="left" w:pos="992"/>
              </w:tabs>
              <w:snapToGrid w:val="0"/>
              <w:spacing w:line="220" w:lineRule="atLeast"/>
              <w:jc w:val="center"/>
              <w:rPr>
                <w:rFonts w:ascii="Arial Narrow" w:hAnsi="Arial Narrow"/>
                <w:b/>
                <w:smallCaps/>
                <w:spacing w:val="-20"/>
                <w:w w:val="120"/>
                <w:sz w:val="22"/>
                <w:lang w:val="fr-FR"/>
              </w:rPr>
            </w:pPr>
            <w:r w:rsidRPr="003342BD">
              <w:rPr>
                <w:rFonts w:ascii="Arial Narrow" w:hAnsi="Arial Narrow"/>
                <w:b/>
                <w:smallCaps/>
                <w:spacing w:val="-20"/>
                <w:w w:val="120"/>
                <w:sz w:val="22"/>
                <w:lang w:val="fr-FR"/>
              </w:rPr>
              <w:t xml:space="preserve">-=-=-=- - </w:t>
            </w:r>
          </w:p>
          <w:p w14:paraId="7884C4B5" w14:textId="77777777" w:rsidR="003342BD" w:rsidRPr="003342BD" w:rsidRDefault="003342BD" w:rsidP="003342BD">
            <w:pPr>
              <w:pStyle w:val="En-tte"/>
              <w:tabs>
                <w:tab w:val="left" w:pos="567"/>
                <w:tab w:val="left" w:pos="992"/>
              </w:tabs>
              <w:snapToGrid w:val="0"/>
              <w:spacing w:line="220" w:lineRule="atLeast"/>
              <w:jc w:val="center"/>
              <w:rPr>
                <w:rFonts w:ascii="Arial Narrow" w:hAnsi="Arial Narrow" w:cs="Times New Roman"/>
                <w:b/>
                <w:lang w:val="fr-FR"/>
              </w:rPr>
            </w:pPr>
            <w:r w:rsidRPr="003342BD">
              <w:rPr>
                <w:rFonts w:ascii="Arial Narrow" w:hAnsi="Arial Narrow" w:cs="Times New Roman"/>
                <w:b/>
                <w:sz w:val="22"/>
                <w:lang w:val="fr-FR"/>
              </w:rPr>
              <w:t>LABORATOIRE D’ECONOMIE RURALE ET DE SECURITE ALIMENTAIRE</w:t>
            </w:r>
          </w:p>
        </w:tc>
        <w:tc>
          <w:tcPr>
            <w:tcW w:w="1962" w:type="dxa"/>
            <w:shd w:val="clear" w:color="auto" w:fill="FFFFFF"/>
          </w:tcPr>
          <w:p w14:paraId="187B4127" w14:textId="77777777" w:rsidR="003342BD" w:rsidRPr="00F25592" w:rsidRDefault="006A38E3" w:rsidP="003342BD">
            <w:pPr>
              <w:tabs>
                <w:tab w:val="left" w:pos="567"/>
                <w:tab w:val="left" w:pos="992"/>
              </w:tabs>
              <w:spacing w:line="220" w:lineRule="atLeast"/>
              <w:jc w:val="center"/>
              <w:rPr>
                <w:rFonts w:ascii="Times New Roman" w:hAnsi="Times New Roman" w:cs="Times New Roman"/>
                <w:b/>
                <w:sz w:val="16"/>
                <w:szCs w:val="16"/>
              </w:rPr>
            </w:pPr>
            <w:r w:rsidRPr="006A38E3">
              <w:rPr>
                <w:rFonts w:ascii="Times New Roman" w:hAnsi="Times New Roman" w:cs="Times New Roman"/>
                <w:b/>
                <w:noProof/>
                <w:sz w:val="16"/>
                <w:szCs w:val="16"/>
                <w:lang w:eastAsia="fr-FR"/>
              </w:rPr>
              <w:drawing>
                <wp:anchor distT="0" distB="0" distL="114935" distR="114935" simplePos="0" relativeHeight="251663360" behindDoc="0" locked="0" layoutInCell="1" allowOverlap="1" wp14:anchorId="7707070B" wp14:editId="63A634F1">
                  <wp:simplePos x="0" y="0"/>
                  <wp:positionH relativeFrom="column">
                    <wp:posOffset>106338</wp:posOffset>
                  </wp:positionH>
                  <wp:positionV relativeFrom="paragraph">
                    <wp:posOffset>95934</wp:posOffset>
                  </wp:positionV>
                  <wp:extent cx="1093498" cy="895350"/>
                  <wp:effectExtent l="19050" t="19050" r="11402" b="1905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1650" cy="902024"/>
                          </a:xfrm>
                          <a:prstGeom prst="rect">
                            <a:avLst/>
                          </a:prstGeom>
                          <a:solidFill>
                            <a:srgbClr val="FFFFFF"/>
                          </a:solidFill>
                          <a:ln w="0">
                            <a:solidFill>
                              <a:srgbClr val="FFFFFF"/>
                            </a:solidFill>
                            <a:miter lim="800000"/>
                            <a:headEnd/>
                            <a:tailEnd/>
                          </a:ln>
                        </pic:spPr>
                      </pic:pic>
                    </a:graphicData>
                  </a:graphic>
                </wp:anchor>
              </w:drawing>
            </w:r>
          </w:p>
        </w:tc>
        <w:tc>
          <w:tcPr>
            <w:tcW w:w="3532" w:type="dxa"/>
            <w:shd w:val="clear" w:color="auto" w:fill="FFFFFF"/>
          </w:tcPr>
          <w:p w14:paraId="4B7F3023" w14:textId="77777777" w:rsidR="003342BD" w:rsidRPr="00F25592" w:rsidRDefault="003342BD" w:rsidP="003342BD">
            <w:pPr>
              <w:pStyle w:val="En-tte"/>
              <w:tabs>
                <w:tab w:val="left" w:pos="567"/>
                <w:tab w:val="left" w:pos="992"/>
              </w:tabs>
              <w:snapToGrid w:val="0"/>
              <w:spacing w:before="120" w:line="220" w:lineRule="atLeast"/>
              <w:jc w:val="center"/>
              <w:rPr>
                <w:rFonts w:ascii="Arial Narrow" w:hAnsi="Arial Narrow"/>
                <w:b/>
                <w:caps/>
                <w:spacing w:val="-20"/>
                <w:w w:val="120"/>
                <w:lang w:val="fr-FR"/>
              </w:rPr>
            </w:pPr>
            <w:r w:rsidRPr="00F25592">
              <w:rPr>
                <w:rFonts w:ascii="Arial Narrow" w:hAnsi="Arial Narrow"/>
                <w:b/>
                <w:caps/>
                <w:spacing w:val="-20"/>
                <w:w w:val="120"/>
                <w:lang w:val="fr-FR"/>
              </w:rPr>
              <w:t>République Centrafricaine</w:t>
            </w:r>
          </w:p>
          <w:p w14:paraId="696686AE" w14:textId="77777777" w:rsidR="003342BD" w:rsidRPr="00F25592" w:rsidRDefault="003342BD" w:rsidP="003342BD">
            <w:pPr>
              <w:pStyle w:val="En-tte"/>
              <w:tabs>
                <w:tab w:val="left" w:pos="567"/>
                <w:tab w:val="left" w:pos="992"/>
              </w:tabs>
              <w:snapToGrid w:val="0"/>
              <w:spacing w:line="220" w:lineRule="atLeast"/>
              <w:jc w:val="center"/>
              <w:rPr>
                <w:rFonts w:ascii="Arial Narrow" w:hAnsi="Arial Narrow"/>
                <w:b/>
                <w:i/>
                <w:spacing w:val="-20"/>
                <w:w w:val="120"/>
                <w:sz w:val="22"/>
                <w:szCs w:val="22"/>
                <w:lang w:val="fr-FR"/>
              </w:rPr>
            </w:pPr>
            <w:r w:rsidRPr="00F25592">
              <w:rPr>
                <w:rFonts w:ascii="Arial Narrow" w:hAnsi="Arial Narrow"/>
                <w:b/>
                <w:i/>
                <w:spacing w:val="-20"/>
                <w:w w:val="120"/>
                <w:sz w:val="22"/>
                <w:szCs w:val="22"/>
                <w:lang w:val="fr-FR"/>
              </w:rPr>
              <w:t>Unité – Dignité – Travail</w:t>
            </w:r>
          </w:p>
          <w:p w14:paraId="1D49A47E" w14:textId="77777777" w:rsidR="003342BD" w:rsidRPr="00F25592" w:rsidRDefault="003342BD" w:rsidP="003342BD">
            <w:pPr>
              <w:pStyle w:val="En-tte"/>
              <w:tabs>
                <w:tab w:val="left" w:pos="567"/>
                <w:tab w:val="left" w:pos="992"/>
              </w:tabs>
              <w:snapToGrid w:val="0"/>
              <w:spacing w:line="220" w:lineRule="atLeast"/>
              <w:jc w:val="center"/>
              <w:rPr>
                <w:rFonts w:ascii="Arial Narrow" w:hAnsi="Arial Narrow"/>
                <w:b/>
                <w:i/>
                <w:spacing w:val="-20"/>
                <w:w w:val="120"/>
                <w:sz w:val="22"/>
                <w:szCs w:val="22"/>
                <w:lang w:val="fr-FR"/>
              </w:rPr>
            </w:pPr>
            <w:r w:rsidRPr="00F25592">
              <w:rPr>
                <w:rFonts w:ascii="Arial Narrow" w:hAnsi="Arial Narrow"/>
                <w:b/>
                <w:i/>
                <w:spacing w:val="-20"/>
                <w:w w:val="120"/>
                <w:sz w:val="22"/>
                <w:szCs w:val="22"/>
                <w:lang w:val="fr-FR"/>
              </w:rPr>
              <w:t>-=-=-=-=-=-</w:t>
            </w:r>
          </w:p>
        </w:tc>
      </w:tr>
    </w:tbl>
    <w:p w14:paraId="6273014D" w14:textId="77777777" w:rsidR="00FB327A" w:rsidRDefault="00FB327A" w:rsidP="004F5956">
      <w:pPr>
        <w:pStyle w:val="Sansinterligne"/>
        <w:jc w:val="center"/>
        <w:rPr>
          <w:rFonts w:eastAsiaTheme="minorHAnsi"/>
          <w:lang w:eastAsia="en-US"/>
        </w:rPr>
      </w:pPr>
    </w:p>
    <w:p w14:paraId="7105E466" w14:textId="77777777" w:rsidR="00FB327A" w:rsidRDefault="00FB327A" w:rsidP="004F5956">
      <w:pPr>
        <w:pStyle w:val="Sansinterligne"/>
        <w:jc w:val="center"/>
        <w:rPr>
          <w:rFonts w:eastAsiaTheme="minorHAnsi"/>
          <w:lang w:eastAsia="en-US"/>
        </w:rPr>
      </w:pPr>
    </w:p>
    <w:p w14:paraId="0A181FCF" w14:textId="77777777" w:rsidR="00FB327A" w:rsidRDefault="00FB327A" w:rsidP="004F5956">
      <w:pPr>
        <w:pStyle w:val="Sansinterligne"/>
        <w:jc w:val="center"/>
        <w:rPr>
          <w:rFonts w:eastAsiaTheme="minorHAnsi"/>
          <w:lang w:eastAsia="en-US"/>
        </w:rPr>
      </w:pPr>
    </w:p>
    <w:p w14:paraId="5A88FA53" w14:textId="77777777" w:rsidR="00FB327A" w:rsidRDefault="00FB327A" w:rsidP="004F5956">
      <w:pPr>
        <w:pStyle w:val="Sansinterligne"/>
        <w:jc w:val="center"/>
        <w:rPr>
          <w:rFonts w:eastAsiaTheme="minorHAnsi"/>
          <w:lang w:eastAsia="en-US"/>
        </w:rPr>
      </w:pPr>
    </w:p>
    <w:p w14:paraId="53F82FD9" w14:textId="77777777" w:rsidR="00FB327A" w:rsidRDefault="00FB327A" w:rsidP="004F5956">
      <w:pPr>
        <w:pStyle w:val="Sansinterligne"/>
        <w:jc w:val="center"/>
        <w:rPr>
          <w:rFonts w:eastAsiaTheme="minorHAnsi"/>
          <w:lang w:eastAsia="en-US"/>
        </w:rPr>
      </w:pPr>
    </w:p>
    <w:sdt>
      <w:sdtPr>
        <w:rPr>
          <w:rFonts w:eastAsiaTheme="minorHAnsi"/>
          <w:lang w:eastAsia="en-US"/>
        </w:rPr>
        <w:id w:val="303354190"/>
        <w:docPartObj>
          <w:docPartGallery w:val="Cover Pages"/>
          <w:docPartUnique/>
        </w:docPartObj>
      </w:sdtPr>
      <w:sdtEndPr>
        <w:rPr>
          <w:rFonts w:ascii="Arial" w:hAnsi="Arial" w:cs="Arial"/>
          <w:sz w:val="24"/>
          <w:szCs w:val="24"/>
        </w:rPr>
      </w:sdtEndPr>
      <w:sdtContent>
        <w:p w14:paraId="73506EAC" w14:textId="77777777" w:rsidR="00D60E6A" w:rsidRDefault="00E72C3F" w:rsidP="004F5956">
          <w:pPr>
            <w:pStyle w:val="Sansinterligne"/>
            <w:jc w:val="cente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59264" behindDoc="1" locked="0" layoutInCell="1" allowOverlap="1" wp14:anchorId="5B995BAA" wp14:editId="255E743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87930" cy="10155555"/>
                    <wp:effectExtent l="0" t="0" r="635" b="15240"/>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7930" cy="10155555"/>
                              <a:chOff x="0" y="0"/>
                              <a:chExt cx="2194560" cy="9125712"/>
                            </a:xfrm>
                          </wpg:grpSpPr>
                          <wps:wsp>
                            <wps:cNvPr id="46" name="Rectangle 4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Pentagone 4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782DEAB8" w14:textId="77777777" w:rsidR="00B63507" w:rsidRDefault="00B63507" w:rsidP="00D60E6A">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8" name="Groupe 48"/>
                            <wpg:cNvGrpSpPr/>
                            <wpg:grpSpPr>
                              <a:xfrm>
                                <a:off x="76200" y="4210050"/>
                                <a:ext cx="2057400" cy="4910328"/>
                                <a:chOff x="80645" y="4211812"/>
                                <a:chExt cx="1306273" cy="3121026"/>
                              </a:xfrm>
                            </wpg:grpSpPr>
                            <wpg:grpSp>
                              <wpg:cNvPr id="49" name="Groupe 49"/>
                              <wpg:cNvGrpSpPr>
                                <a:grpSpLocks noChangeAspect="1"/>
                              </wpg:cNvGrpSpPr>
                              <wpg:grpSpPr>
                                <a:xfrm>
                                  <a:off x="141062" y="4211812"/>
                                  <a:ext cx="1047750" cy="3121026"/>
                                  <a:chOff x="141062" y="4211812"/>
                                  <a:chExt cx="1047750" cy="3121026"/>
                                </a:xfrm>
                              </wpg:grpSpPr>
                              <wps:wsp>
                                <wps:cNvPr id="50" name="Forme libre 5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orme libre 5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orme libre 5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orme libre 5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Forme libre 5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orme libre 5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orme libre 5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Forme libre 5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Forme libre 5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Forme libre 5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Forme libre 6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Forme libre 6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2" name="Groupe 62"/>
                              <wpg:cNvGrpSpPr>
                                <a:grpSpLocks noChangeAspect="1"/>
                              </wpg:cNvGrpSpPr>
                              <wpg:grpSpPr>
                                <a:xfrm>
                                  <a:off x="80645" y="4826972"/>
                                  <a:ext cx="1306273" cy="2505863"/>
                                  <a:chOff x="80645" y="4649964"/>
                                  <a:chExt cx="874712" cy="1677988"/>
                                </a:xfrm>
                              </wpg:grpSpPr>
                              <wps:wsp>
                                <wps:cNvPr id="63" name="Forme libre 6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5" name="Forme libre 6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6" name="Forme libre 6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7" name="Forme libre 6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8" name="Forme libre 6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9" name="Forme libre 6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e libre 6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e libre 7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e libre 7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e libre 7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e libre 7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B995BAA" id="Groupe 45" o:spid="_x0000_s1026" style="position:absolute;left:0;text-align:left;margin-left:0;margin-top:0;width:195.9pt;height:799.6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">
                    <v:rect id="Rectangle 4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7"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" adj="18883" fillcolor="#5b9bd5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782DEAB8" w14:textId="77777777" w:rsidR="00B63507" w:rsidRDefault="00B63507" w:rsidP="00D60E6A">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4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4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Forme libre 5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orme libre 5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orme libre 5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6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6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6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shape id="Forme libre 63"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M+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JmO4f4k/QM5uAAAA//8DAFBLAQItABQABgAIAAAAIQDb4fbL7gAAAIUBAAATAAAAAAAA&#10;AAAAAAAAAAAAAABbQ29udGVudF9UeXBlc10ueG1sUEsBAi0AFAAGAAgAAAAhAFr0LFu/AAAAFQEA&#10;AAsAAAAAAAAAAAAAAAAAHwEAAF9yZWxzLy5yZWxzUEsBAi0AFAAGAAgAAAAhAPLQQz7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64"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65"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Forme libre 66"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67"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" path="m,l33,71r-9,l11,36,,xe" fillcolor="#44546a [3215]" strokecolor="#44546a [3215]" strokeweight="0">
                          <v:fill opacity="13107f"/>
                          <v:stroke opacity="13107f"/>
                          <v:path arrowok="t" o:connecttype="custom" o:connectlocs="0,0;52388,112713;38100,112713;17463,57150;0,0" o:connectangles="0,0,0,0,0"/>
                        </v:shape>
                        <v:shape id="Forme libre 68"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69"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70"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71"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5PxQAAANsAAAAPAAAAZHJzL2Rvd25yZXYueG1sRI9BawIx&#10;FITvBf9DeIVeimarpd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USS5P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e libre 72"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dMwgAAANsAAAAPAAAAZHJzL2Rvd25yZXYueG1sRI9PawIx&#10;FMTvgt8hPMFbzdpi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A2g1dM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73"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TwwAAANsAAAAPAAAAZHJzL2Rvd25yZXYueG1sRI9PawIx&#10;FMTvBb9DeIK3mrXC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hKfBE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FB2AA54" w14:textId="77777777" w:rsidR="00D60E6A" w:rsidRDefault="00D60E6A" w:rsidP="00D60E6A">
          <w:pPr>
            <w:pStyle w:val="Sansinterligne"/>
            <w:jc w:val="center"/>
            <w:rPr>
              <w:rFonts w:ascii="Arial" w:hAnsi="Arial" w:cs="Arial"/>
              <w:b/>
              <w:sz w:val="28"/>
              <w:szCs w:val="28"/>
            </w:rPr>
          </w:pPr>
        </w:p>
        <w:p w14:paraId="343D3D72" w14:textId="77777777" w:rsidR="00D60E6A" w:rsidRDefault="00D60E6A" w:rsidP="00D60E6A">
          <w:pPr>
            <w:pStyle w:val="Sansinterligne"/>
            <w:rPr>
              <w:rFonts w:ascii="Arial" w:hAnsi="Arial" w:cs="Arial"/>
              <w:b/>
              <w:sz w:val="28"/>
              <w:szCs w:val="28"/>
            </w:rPr>
          </w:pPr>
        </w:p>
        <w:p w14:paraId="2C6B0BAB" w14:textId="77777777" w:rsidR="00D60E6A" w:rsidRDefault="00D60E6A" w:rsidP="004F5956">
          <w:pPr>
            <w:pStyle w:val="Sansinterligne"/>
            <w:jc w:val="center"/>
            <w:rPr>
              <w:rFonts w:ascii="Arial" w:hAnsi="Arial" w:cs="Arial"/>
              <w:b/>
              <w:sz w:val="28"/>
              <w:szCs w:val="28"/>
            </w:rPr>
          </w:pPr>
        </w:p>
        <w:p w14:paraId="21AB5D04" w14:textId="77777777" w:rsidR="00823B22" w:rsidRPr="00CF5C83" w:rsidRDefault="00E72C3F" w:rsidP="004F5956">
          <w:pPr>
            <w:jc w:val="center"/>
            <w:rPr>
              <w:rFonts w:ascii="Times New Roman" w:hAnsi="Times New Roman"/>
              <w:b/>
              <w:sz w:val="36"/>
            </w:rPr>
          </w:pPr>
          <w:r>
            <w:rPr>
              <w:noProof/>
              <w:lang w:eastAsia="fr-FR"/>
            </w:rPr>
            <mc:AlternateContent>
              <mc:Choice Requires="wps">
                <w:drawing>
                  <wp:anchor distT="0" distB="0" distL="114300" distR="114300" simplePos="0" relativeHeight="251660288" behindDoc="0" locked="0" layoutInCell="1" allowOverlap="1" wp14:anchorId="339CDADD" wp14:editId="23852050">
                    <wp:simplePos x="0" y="0"/>
                    <wp:positionH relativeFrom="margin">
                      <wp:posOffset>146685</wp:posOffset>
                    </wp:positionH>
                    <wp:positionV relativeFrom="page">
                      <wp:posOffset>3895090</wp:posOffset>
                    </wp:positionV>
                    <wp:extent cx="6040120" cy="1909445"/>
                    <wp:effectExtent l="0" t="0" r="0" b="14605"/>
                    <wp:wrapNone/>
                    <wp:docPr id="15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0120" cy="1909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B906F" w14:textId="77777777" w:rsidR="00B63507" w:rsidRDefault="00B63507" w:rsidP="00FB327A">
                                <w:pPr>
                                  <w:spacing w:before="120"/>
                                  <w:jc w:val="center"/>
                                  <w:rPr>
                                    <w:rFonts w:ascii="Arial" w:hAnsi="Arial" w:cs="Arial"/>
                                    <w:b/>
                                    <w:sz w:val="28"/>
                                    <w:szCs w:val="28"/>
                                  </w:rPr>
                                </w:pPr>
                              </w:p>
                              <w:p w14:paraId="6C10E1D1" w14:textId="77777777" w:rsidR="00B63507" w:rsidRPr="006A0CA2" w:rsidRDefault="00B63507" w:rsidP="00FB327A">
                                <w:pPr>
                                  <w:spacing w:before="120"/>
                                  <w:jc w:val="center"/>
                                  <w:rPr>
                                    <w:rFonts w:ascii="Times New Roman" w:hAnsi="Times New Roman" w:cs="Times New Roman"/>
                                    <w:b/>
                                    <w:sz w:val="28"/>
                                    <w:szCs w:val="28"/>
                                  </w:rPr>
                                </w:pPr>
                                <w:r w:rsidRPr="006A0CA2">
                                  <w:rPr>
                                    <w:rFonts w:ascii="Times New Roman" w:hAnsi="Times New Roman" w:cs="Times New Roman"/>
                                    <w:b/>
                                    <w:sz w:val="28"/>
                                    <w:szCs w:val="28"/>
                                  </w:rPr>
                                  <w:t>THEME :</w:t>
                                </w:r>
                              </w:p>
                              <w:p w14:paraId="5EB3F38E" w14:textId="77777777" w:rsidR="00B63507" w:rsidRPr="00CE3D06" w:rsidRDefault="00B63507" w:rsidP="002F36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before="120"/>
                                  <w:jc w:val="center"/>
                                  <w:rPr>
                                    <w:rFonts w:ascii="Times New Roman" w:hAnsi="Times New Roman" w:cs="Times New Roman"/>
                                    <w:b/>
                                    <w:sz w:val="40"/>
                                    <w:szCs w:val="40"/>
                                    <w14:textOutline w14:w="9525" w14:cap="rnd" w14:cmpd="sng" w14:algn="ctr">
                                      <w14:solidFill>
                                        <w14:schemeClr w14:val="accent6">
                                          <w14:lumMod w14:val="60000"/>
                                          <w14:lumOff w14:val="40000"/>
                                        </w14:schemeClr>
                                      </w14:solidFill>
                                      <w14:prstDash w14:val="solid"/>
                                      <w14:bevel/>
                                    </w14:textOutline>
                                  </w:rPr>
                                </w:pPr>
                                <w:r w:rsidRPr="00CE3D06">
                                  <w:rPr>
                                    <w:rFonts w:ascii="Times New Roman" w:hAnsi="Times New Roman" w:cs="Times New Roman"/>
                                    <w:b/>
                                    <w:sz w:val="40"/>
                                    <w:szCs w:val="40"/>
                                    <w14:textOutline w14:w="9525" w14:cap="rnd" w14:cmpd="sng" w14:algn="ctr">
                                      <w14:solidFill>
                                        <w14:schemeClr w14:val="accent6">
                                          <w14:lumMod w14:val="60000"/>
                                          <w14:lumOff w14:val="40000"/>
                                        </w14:schemeClr>
                                      </w14:solidFill>
                                      <w14:prstDash w14:val="solid"/>
                                      <w14:bevel/>
                                    </w14:textOutline>
                                  </w:rPr>
                                  <w:t>DETERMINANTS DE LA COMPETITIVITE DU COTON CENTRAFRICAIN</w:t>
                                </w:r>
                              </w:p>
                              <w:p w14:paraId="38936654" w14:textId="77777777" w:rsidR="00B63507" w:rsidRPr="005572F6" w:rsidRDefault="00B63507" w:rsidP="00D60E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before="120"/>
                                  <w:jc w:val="center"/>
                                  <w:rPr>
                                    <w:rFonts w:ascii="Arial" w:hAnsi="Arial" w:cs="Arial"/>
                                    <w:b/>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39CDADD" id="_x0000_t202" coordsize="21600,21600" o:spt="202" path="m,l,21600r21600,l21600,xe">
                    <v:stroke joinstyle="miter"/>
                    <v:path gradientshapeok="t" o:connecttype="rect"/>
                  </v:shapetype>
                  <v:shape id="Zone de texte 74" o:spid="_x0000_s1055" type="#_x0000_t202" style="position:absolute;left:0;text-align:left;margin-left:11.55pt;margin-top:306.7pt;width:475.6pt;height:15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" filled="f" stroked="f" strokeweight=".5pt">
                    <v:path arrowok="t"/>
                    <v:textbox inset="0,0,0,0">
                      <w:txbxContent>
                        <w:p w14:paraId="54EB906F" w14:textId="77777777" w:rsidR="00B63507" w:rsidRDefault="00B63507" w:rsidP="00FB327A">
                          <w:pPr>
                            <w:spacing w:before="120"/>
                            <w:jc w:val="center"/>
                            <w:rPr>
                              <w:rFonts w:ascii="Arial" w:hAnsi="Arial" w:cs="Arial"/>
                              <w:b/>
                              <w:sz w:val="28"/>
                              <w:szCs w:val="28"/>
                            </w:rPr>
                          </w:pPr>
                        </w:p>
                        <w:p w14:paraId="6C10E1D1" w14:textId="77777777" w:rsidR="00B63507" w:rsidRPr="006A0CA2" w:rsidRDefault="00B63507" w:rsidP="00FB327A">
                          <w:pPr>
                            <w:spacing w:before="120"/>
                            <w:jc w:val="center"/>
                            <w:rPr>
                              <w:rFonts w:ascii="Times New Roman" w:hAnsi="Times New Roman" w:cs="Times New Roman"/>
                              <w:b/>
                              <w:sz w:val="28"/>
                              <w:szCs w:val="28"/>
                            </w:rPr>
                          </w:pPr>
                          <w:r w:rsidRPr="006A0CA2">
                            <w:rPr>
                              <w:rFonts w:ascii="Times New Roman" w:hAnsi="Times New Roman" w:cs="Times New Roman"/>
                              <w:b/>
                              <w:sz w:val="28"/>
                              <w:szCs w:val="28"/>
                            </w:rPr>
                            <w:t>THEME :</w:t>
                          </w:r>
                        </w:p>
                        <w:p w14:paraId="5EB3F38E" w14:textId="77777777" w:rsidR="00B63507" w:rsidRPr="00CE3D06" w:rsidRDefault="00B63507" w:rsidP="002F36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before="120"/>
                            <w:jc w:val="center"/>
                            <w:rPr>
                              <w:rFonts w:ascii="Times New Roman" w:hAnsi="Times New Roman" w:cs="Times New Roman"/>
                              <w:b/>
                              <w:sz w:val="40"/>
                              <w:szCs w:val="40"/>
                              <w14:textOutline w14:w="9525" w14:cap="rnd" w14:cmpd="sng" w14:algn="ctr">
                                <w14:solidFill>
                                  <w14:schemeClr w14:val="accent6">
                                    <w14:lumMod w14:val="60000"/>
                                    <w14:lumOff w14:val="40000"/>
                                  </w14:schemeClr>
                                </w14:solidFill>
                                <w14:prstDash w14:val="solid"/>
                                <w14:bevel/>
                              </w14:textOutline>
                            </w:rPr>
                          </w:pPr>
                          <w:r w:rsidRPr="00CE3D06">
                            <w:rPr>
                              <w:rFonts w:ascii="Times New Roman" w:hAnsi="Times New Roman" w:cs="Times New Roman"/>
                              <w:b/>
                              <w:sz w:val="40"/>
                              <w:szCs w:val="40"/>
                              <w14:textOutline w14:w="9525" w14:cap="rnd" w14:cmpd="sng" w14:algn="ctr">
                                <w14:solidFill>
                                  <w14:schemeClr w14:val="accent6">
                                    <w14:lumMod w14:val="60000"/>
                                    <w14:lumOff w14:val="40000"/>
                                  </w14:schemeClr>
                                </w14:solidFill>
                                <w14:prstDash w14:val="solid"/>
                                <w14:bevel/>
                              </w14:textOutline>
                            </w:rPr>
                            <w:t>DETERMINANTS DE LA COMPETITIVITE DU COTON CENTRAFRICAIN</w:t>
                          </w:r>
                        </w:p>
                        <w:p w14:paraId="38936654" w14:textId="77777777" w:rsidR="00B63507" w:rsidRPr="005572F6" w:rsidRDefault="00B63507" w:rsidP="00D60E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0000"/>
                            <w:spacing w:before="120"/>
                            <w:jc w:val="center"/>
                            <w:rPr>
                              <w:rFonts w:ascii="Arial" w:hAnsi="Arial" w:cs="Arial"/>
                              <w:b/>
                              <w:sz w:val="40"/>
                              <w:szCs w:val="40"/>
                            </w:rPr>
                          </w:pPr>
                        </w:p>
                      </w:txbxContent>
                    </v:textbox>
                    <w10:wrap anchorx="margin" anchory="page"/>
                  </v:shape>
                </w:pict>
              </mc:Fallback>
            </mc:AlternateContent>
          </w:r>
          <w:r w:rsidR="00823B22" w:rsidRPr="00CF5C83">
            <w:rPr>
              <w:rFonts w:ascii="Times New Roman" w:hAnsi="Times New Roman"/>
              <w:b/>
              <w:sz w:val="36"/>
            </w:rPr>
            <w:t>MEMOIRE DE MASTER II RECHERCHE EN SCIENCES ECONOMIQUES</w:t>
          </w:r>
        </w:p>
        <w:p w14:paraId="461C1747" w14:textId="77777777" w:rsidR="00823B22" w:rsidRPr="00837BC8" w:rsidRDefault="00823B22" w:rsidP="004F5956">
          <w:pPr>
            <w:jc w:val="center"/>
            <w:rPr>
              <w:rFonts w:ascii="Times New Roman" w:hAnsi="Times New Roman"/>
              <w:b/>
              <w:sz w:val="28"/>
              <w:szCs w:val="28"/>
            </w:rPr>
          </w:pPr>
          <w:r w:rsidRPr="00837BC8">
            <w:rPr>
              <w:rFonts w:ascii="Times New Roman" w:hAnsi="Times New Roman"/>
              <w:b/>
              <w:sz w:val="28"/>
              <w:szCs w:val="28"/>
            </w:rPr>
            <w:t>Option : Economie agricole, des ressources naturelles et de l’environnement</w:t>
          </w:r>
        </w:p>
        <w:p w14:paraId="3EB5DACE" w14:textId="77777777" w:rsidR="00823B22" w:rsidRPr="00CF5C83" w:rsidRDefault="00823B22" w:rsidP="00823B22">
          <w:pPr>
            <w:jc w:val="center"/>
            <w:rPr>
              <w:rFonts w:ascii="Times New Roman" w:hAnsi="Times New Roman"/>
              <w:b/>
              <w:sz w:val="36"/>
            </w:rPr>
          </w:pPr>
        </w:p>
        <w:p w14:paraId="6197ECC5" w14:textId="77777777" w:rsidR="00823B22" w:rsidRPr="00CF5C83" w:rsidRDefault="00823B22" w:rsidP="00823B22">
          <w:pPr>
            <w:jc w:val="center"/>
            <w:rPr>
              <w:rFonts w:ascii="Times New Roman" w:hAnsi="Times New Roman"/>
              <w:b/>
              <w:sz w:val="36"/>
            </w:rPr>
          </w:pPr>
        </w:p>
        <w:p w14:paraId="1C633CE7" w14:textId="77777777" w:rsidR="00823B22" w:rsidRPr="00CF5C83" w:rsidRDefault="00823B22" w:rsidP="00823B22">
          <w:pPr>
            <w:jc w:val="center"/>
            <w:rPr>
              <w:rFonts w:ascii="Times New Roman" w:hAnsi="Times New Roman"/>
              <w:b/>
              <w:sz w:val="36"/>
            </w:rPr>
          </w:pPr>
        </w:p>
        <w:p w14:paraId="26241CA5" w14:textId="77777777" w:rsidR="00D60E6A" w:rsidRDefault="00D60E6A" w:rsidP="00D60E6A">
          <w:pPr>
            <w:pStyle w:val="Sansinterligne"/>
            <w:jc w:val="center"/>
            <w:rPr>
              <w:rFonts w:ascii="Arial" w:hAnsi="Arial" w:cs="Arial"/>
              <w:b/>
              <w:sz w:val="28"/>
              <w:szCs w:val="28"/>
            </w:rPr>
          </w:pPr>
        </w:p>
        <w:p w14:paraId="526BBEA8" w14:textId="77777777" w:rsidR="00D60E6A" w:rsidRDefault="00D60E6A" w:rsidP="00D60E6A">
          <w:pPr>
            <w:pStyle w:val="Sansinterligne"/>
            <w:jc w:val="center"/>
            <w:rPr>
              <w:rFonts w:ascii="Arial" w:hAnsi="Arial" w:cs="Arial"/>
              <w:b/>
              <w:sz w:val="28"/>
              <w:szCs w:val="28"/>
            </w:rPr>
          </w:pPr>
        </w:p>
        <w:p w14:paraId="0A7E0F46" w14:textId="77777777" w:rsidR="00D60E6A" w:rsidRPr="00722E1A" w:rsidRDefault="00D60E6A" w:rsidP="00D60E6A">
          <w:pPr>
            <w:pStyle w:val="Sansinterligne"/>
            <w:jc w:val="center"/>
            <w:rPr>
              <w:rFonts w:ascii="Arial" w:hAnsi="Arial" w:cs="Arial"/>
              <w:b/>
              <w:sz w:val="28"/>
              <w:szCs w:val="28"/>
            </w:rPr>
          </w:pPr>
        </w:p>
        <w:p w14:paraId="211C948C" w14:textId="77777777" w:rsidR="00802D99" w:rsidRDefault="00802D99" w:rsidP="00802D99">
          <w:pPr>
            <w:tabs>
              <w:tab w:val="center" w:pos="4536"/>
            </w:tabs>
            <w:jc w:val="both"/>
            <w:rPr>
              <w:rFonts w:ascii="Arial" w:hAnsi="Arial" w:cs="Arial"/>
              <w:sz w:val="24"/>
              <w:szCs w:val="24"/>
            </w:rPr>
          </w:pPr>
          <w:r>
            <w:rPr>
              <w:rFonts w:ascii="Arial" w:hAnsi="Arial" w:cs="Arial"/>
              <w:sz w:val="24"/>
              <w:szCs w:val="24"/>
            </w:rPr>
            <w:tab/>
          </w:r>
        </w:p>
      </w:sdtContent>
    </w:sdt>
    <w:p w14:paraId="607B8777" w14:textId="77777777" w:rsidR="00802D99" w:rsidRDefault="00802D99" w:rsidP="00802D99">
      <w:pPr>
        <w:tabs>
          <w:tab w:val="center" w:pos="4536"/>
        </w:tabs>
        <w:jc w:val="both"/>
        <w:rPr>
          <w:rFonts w:ascii="Arial" w:hAnsi="Arial" w:cs="Arial"/>
          <w:sz w:val="24"/>
          <w:szCs w:val="24"/>
        </w:rPr>
      </w:pPr>
    </w:p>
    <w:p w14:paraId="7E08BA71" w14:textId="77777777" w:rsidR="00802D99" w:rsidRDefault="00CE3D06" w:rsidP="00802D99">
      <w:pPr>
        <w:tabs>
          <w:tab w:val="center" w:pos="4536"/>
        </w:tabs>
        <w:jc w:val="both"/>
        <w:rPr>
          <w:rFonts w:ascii="Arial" w:hAnsi="Arial" w:cs="Arial"/>
          <w:sz w:val="24"/>
          <w:szCs w:val="24"/>
        </w:rPr>
      </w:pPr>
      <w:r>
        <w:rPr>
          <w:rFonts w:ascii="Arial" w:hAnsi="Arial" w:cs="Arial"/>
          <w:b/>
          <w:noProof/>
          <w:sz w:val="28"/>
          <w:szCs w:val="28"/>
          <w:lang w:eastAsia="fr-FR"/>
        </w:rPr>
        <mc:AlternateContent>
          <mc:Choice Requires="wps">
            <w:drawing>
              <wp:anchor distT="0" distB="0" distL="114300" distR="114300" simplePos="0" relativeHeight="251661312" behindDoc="0" locked="0" layoutInCell="1" allowOverlap="1" wp14:anchorId="389CDDE9" wp14:editId="74FA10DA">
                <wp:simplePos x="0" y="0"/>
                <wp:positionH relativeFrom="page">
                  <wp:posOffset>7175</wp:posOffset>
                </wp:positionH>
                <wp:positionV relativeFrom="page">
                  <wp:posOffset>6055995</wp:posOffset>
                </wp:positionV>
                <wp:extent cx="6555105" cy="916305"/>
                <wp:effectExtent l="0" t="0" r="17145" b="17145"/>
                <wp:wrapNone/>
                <wp:docPr id="153"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496E85" w14:textId="77777777" w:rsidR="00B63507" w:rsidRPr="0003018C" w:rsidRDefault="00EA1CF0" w:rsidP="00802D99">
                            <w:pPr>
                              <w:pStyle w:val="Sansinterligne"/>
                              <w:spacing w:line="360" w:lineRule="auto"/>
                              <w:ind w:left="3540"/>
                              <w:jc w:val="center"/>
                              <w:rPr>
                                <w:rFonts w:ascii="Times New Roman" w:hAnsi="Times New Roman" w:cs="Times New Roman"/>
                                <w:b/>
                                <w:sz w:val="28"/>
                                <w:szCs w:val="28"/>
                              </w:rPr>
                            </w:pPr>
                            <w:sdt>
                              <w:sdtPr>
                                <w:rPr>
                                  <w:rFonts w:ascii="Times New Roman" w:hAnsi="Times New Roman" w:cs="Times New Roman"/>
                                  <w:b/>
                                  <w:sz w:val="24"/>
                                  <w:szCs w:val="28"/>
                                </w:rPr>
                                <w:alias w:val="Auteur"/>
                                <w:tag w:val=""/>
                                <w:id w:val="1440714671"/>
                                <w:dataBinding w:prefixMappings="xmlns:ns0='http://purl.org/dc/elements/1.1/' xmlns:ns1='http://schemas.openxmlformats.org/package/2006/metadata/core-properties' " w:xpath="/ns1:coreProperties[1]/ns0:creator[1]" w:storeItemID="{6C3C8BC8-F283-45AE-878A-BAB7291924A1}"/>
                                <w:text/>
                              </w:sdtPr>
                              <w:sdtEndPr/>
                              <w:sdtContent>
                                <w:r w:rsidR="00B63507">
                                  <w:rPr>
                                    <w:rFonts w:ascii="Times New Roman" w:hAnsi="Times New Roman" w:cs="Times New Roman"/>
                                    <w:b/>
                                    <w:sz w:val="24"/>
                                    <w:szCs w:val="28"/>
                                  </w:rPr>
                                  <w:t>Présenté par : Mexan-Ruddy-Josip ADOUM-KAMATA</w:t>
                                </w:r>
                              </w:sdtContent>
                            </w:sdt>
                          </w:p>
                          <w:p w14:paraId="6C21A80D" w14:textId="77777777" w:rsidR="00B63507" w:rsidRPr="0003018C" w:rsidRDefault="00B63507" w:rsidP="00802D99">
                            <w:pPr>
                              <w:spacing w:line="360" w:lineRule="auto"/>
                              <w:ind w:left="2124"/>
                              <w:rPr>
                                <w:rFonts w:ascii="Times New Roman" w:hAnsi="Times New Roman" w:cs="Times New Roman"/>
                              </w:rPr>
                            </w:pP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 w14:anchorId="389CDDE9" id="Zone de texte 32" o:spid="_x0000_s1056" type="#_x0000_t202" style="position:absolute;left:0;text-align:left;margin-left:.55pt;margin-top:476.85pt;width:516.15pt;height:72.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" filled="f" stroked="f" strokeweight=".5pt">
                <v:textbox inset="0,0,0,0">
                  <w:txbxContent>
                    <w:p w14:paraId="10496E85" w14:textId="77777777" w:rsidR="00B63507" w:rsidRPr="0003018C" w:rsidRDefault="00EA1CF0" w:rsidP="00802D99">
                      <w:pPr>
                        <w:pStyle w:val="Sansinterligne"/>
                        <w:spacing w:line="360" w:lineRule="auto"/>
                        <w:ind w:left="3540"/>
                        <w:jc w:val="center"/>
                        <w:rPr>
                          <w:rFonts w:ascii="Times New Roman" w:hAnsi="Times New Roman" w:cs="Times New Roman"/>
                          <w:b/>
                          <w:sz w:val="28"/>
                          <w:szCs w:val="28"/>
                        </w:rPr>
                      </w:pPr>
                      <w:sdt>
                        <w:sdtPr>
                          <w:rPr>
                            <w:rFonts w:ascii="Times New Roman" w:hAnsi="Times New Roman" w:cs="Times New Roman"/>
                            <w:b/>
                            <w:sz w:val="24"/>
                            <w:szCs w:val="28"/>
                          </w:rPr>
                          <w:alias w:val="Auteur"/>
                          <w:tag w:val=""/>
                          <w:id w:val="1440714671"/>
                          <w:dataBinding w:prefixMappings="xmlns:ns0='http://purl.org/dc/elements/1.1/' xmlns:ns1='http://schemas.openxmlformats.org/package/2006/metadata/core-properties' " w:xpath="/ns1:coreProperties[1]/ns0:creator[1]" w:storeItemID="{6C3C8BC8-F283-45AE-878A-BAB7291924A1}"/>
                          <w:text/>
                        </w:sdtPr>
                        <w:sdtEndPr/>
                        <w:sdtContent>
                          <w:r w:rsidR="00B63507">
                            <w:rPr>
                              <w:rFonts w:ascii="Times New Roman" w:hAnsi="Times New Roman" w:cs="Times New Roman"/>
                              <w:b/>
                              <w:sz w:val="24"/>
                              <w:szCs w:val="28"/>
                            </w:rPr>
                            <w:t>Présenté par : Mexan-Ruddy-Josip ADOUM-KAMATA</w:t>
                          </w:r>
                        </w:sdtContent>
                      </w:sdt>
                    </w:p>
                    <w:p w14:paraId="6C21A80D" w14:textId="77777777" w:rsidR="00B63507" w:rsidRPr="0003018C" w:rsidRDefault="00B63507" w:rsidP="00802D99">
                      <w:pPr>
                        <w:spacing w:line="360" w:lineRule="auto"/>
                        <w:ind w:left="2124"/>
                        <w:rPr>
                          <w:rFonts w:ascii="Times New Roman" w:hAnsi="Times New Roman" w:cs="Times New Roman"/>
                        </w:rPr>
                      </w:pPr>
                    </w:p>
                  </w:txbxContent>
                </v:textbox>
                <w10:wrap anchorx="page" anchory="page"/>
              </v:shape>
            </w:pict>
          </mc:Fallback>
        </mc:AlternateContent>
      </w:r>
    </w:p>
    <w:p w14:paraId="2FE57591" w14:textId="77777777" w:rsidR="00802D99" w:rsidRDefault="00802D99" w:rsidP="00802D99">
      <w:pPr>
        <w:tabs>
          <w:tab w:val="center" w:pos="4536"/>
        </w:tabs>
        <w:jc w:val="both"/>
        <w:rPr>
          <w:rFonts w:ascii="Arial" w:hAnsi="Arial" w:cs="Arial"/>
          <w:sz w:val="24"/>
          <w:szCs w:val="24"/>
        </w:rPr>
      </w:pPr>
    </w:p>
    <w:p w14:paraId="10DC008A" w14:textId="77777777" w:rsidR="0003018C" w:rsidRDefault="0003018C" w:rsidP="00802D99">
      <w:pPr>
        <w:tabs>
          <w:tab w:val="center" w:pos="4536"/>
        </w:tabs>
        <w:jc w:val="center"/>
        <w:rPr>
          <w:rFonts w:ascii="Arial" w:hAnsi="Arial" w:cs="Arial"/>
          <w:b/>
          <w:sz w:val="24"/>
          <w:szCs w:val="24"/>
          <w:u w:val="single"/>
        </w:rPr>
      </w:pPr>
    </w:p>
    <w:p w14:paraId="630D5ED6" w14:textId="77777777" w:rsidR="0003018C" w:rsidRDefault="0003018C" w:rsidP="00802D99">
      <w:pPr>
        <w:tabs>
          <w:tab w:val="center" w:pos="4536"/>
        </w:tabs>
        <w:jc w:val="center"/>
        <w:rPr>
          <w:rFonts w:ascii="Arial" w:hAnsi="Arial" w:cs="Arial"/>
          <w:b/>
          <w:sz w:val="24"/>
          <w:szCs w:val="24"/>
          <w:u w:val="single"/>
        </w:rPr>
      </w:pPr>
    </w:p>
    <w:p w14:paraId="12FC1422" w14:textId="77777777" w:rsidR="004F5956" w:rsidRPr="0003018C" w:rsidRDefault="00802D99" w:rsidP="0003018C">
      <w:pPr>
        <w:tabs>
          <w:tab w:val="center" w:pos="4536"/>
        </w:tabs>
        <w:spacing w:line="360" w:lineRule="auto"/>
        <w:jc w:val="center"/>
        <w:rPr>
          <w:rFonts w:ascii="Times New Roman" w:hAnsi="Times New Roman" w:cs="Times New Roman"/>
          <w:b/>
          <w:sz w:val="24"/>
          <w:szCs w:val="24"/>
          <w:u w:val="single"/>
        </w:rPr>
      </w:pPr>
      <w:r w:rsidRPr="0003018C">
        <w:rPr>
          <w:rFonts w:ascii="Times New Roman" w:hAnsi="Times New Roman" w:cs="Times New Roman"/>
          <w:b/>
          <w:sz w:val="24"/>
          <w:szCs w:val="24"/>
          <w:u w:val="single"/>
        </w:rPr>
        <w:t>Le Jury :</w:t>
      </w:r>
    </w:p>
    <w:p w14:paraId="6B9D0E67" w14:textId="77777777" w:rsidR="00802D99" w:rsidRPr="0003018C" w:rsidRDefault="00802D99" w:rsidP="0003018C">
      <w:pPr>
        <w:tabs>
          <w:tab w:val="center" w:pos="4536"/>
        </w:tabs>
        <w:spacing w:line="360" w:lineRule="auto"/>
        <w:jc w:val="both"/>
        <w:rPr>
          <w:rFonts w:ascii="Times New Roman" w:hAnsi="Times New Roman" w:cs="Times New Roman"/>
          <w:sz w:val="24"/>
          <w:szCs w:val="24"/>
        </w:rPr>
      </w:pPr>
      <w:r w:rsidRPr="0003018C">
        <w:rPr>
          <w:rFonts w:ascii="Times New Roman" w:hAnsi="Times New Roman" w:cs="Times New Roman"/>
          <w:b/>
          <w:sz w:val="24"/>
          <w:szCs w:val="24"/>
        </w:rPr>
        <w:t>Président </w:t>
      </w:r>
      <w:r w:rsidR="0003018C" w:rsidRPr="0003018C">
        <w:rPr>
          <w:rFonts w:ascii="Times New Roman" w:hAnsi="Times New Roman" w:cs="Times New Roman"/>
          <w:sz w:val="24"/>
          <w:szCs w:val="24"/>
        </w:rPr>
        <w:tab/>
      </w:r>
      <w:r w:rsidRPr="0003018C">
        <w:rPr>
          <w:rFonts w:ascii="Times New Roman" w:hAnsi="Times New Roman" w:cs="Times New Roman"/>
          <w:sz w:val="24"/>
          <w:szCs w:val="24"/>
        </w:rPr>
        <w:t xml:space="preserve">: Benoit LALLAU, </w:t>
      </w:r>
      <w:r w:rsidR="00067461">
        <w:rPr>
          <w:rFonts w:ascii="Times New Roman" w:hAnsi="Times New Roman" w:cs="Times New Roman"/>
          <w:sz w:val="24"/>
          <w:szCs w:val="24"/>
        </w:rPr>
        <w:t xml:space="preserve">Maître de conférences, HDR, </w:t>
      </w:r>
      <w:r w:rsidRPr="0003018C">
        <w:rPr>
          <w:rFonts w:ascii="Times New Roman" w:hAnsi="Times New Roman" w:cs="Times New Roman"/>
          <w:sz w:val="24"/>
          <w:szCs w:val="24"/>
        </w:rPr>
        <w:t>Université Lille 1</w:t>
      </w:r>
    </w:p>
    <w:p w14:paraId="033E6C26" w14:textId="77777777" w:rsidR="00802D99" w:rsidRPr="0003018C" w:rsidRDefault="00802D99" w:rsidP="0003018C">
      <w:pPr>
        <w:tabs>
          <w:tab w:val="center" w:pos="4536"/>
        </w:tabs>
        <w:spacing w:line="360" w:lineRule="auto"/>
        <w:jc w:val="both"/>
        <w:rPr>
          <w:rFonts w:ascii="Times New Roman" w:hAnsi="Times New Roman" w:cs="Times New Roman"/>
          <w:sz w:val="24"/>
          <w:szCs w:val="24"/>
        </w:rPr>
      </w:pPr>
      <w:r w:rsidRPr="0003018C">
        <w:rPr>
          <w:rFonts w:ascii="Times New Roman" w:hAnsi="Times New Roman" w:cs="Times New Roman"/>
          <w:b/>
          <w:sz w:val="24"/>
          <w:szCs w:val="24"/>
        </w:rPr>
        <w:t>Directeur de mémoire</w:t>
      </w:r>
      <w:r w:rsidRPr="0003018C">
        <w:rPr>
          <w:rFonts w:ascii="Times New Roman" w:hAnsi="Times New Roman" w:cs="Times New Roman"/>
          <w:sz w:val="24"/>
          <w:szCs w:val="24"/>
        </w:rPr>
        <w:t xml:space="preserve"> : Emmanuel MBETID-BESSANE, </w:t>
      </w:r>
      <w:r w:rsidR="00067461">
        <w:rPr>
          <w:rFonts w:ascii="Times New Roman" w:hAnsi="Times New Roman" w:cs="Times New Roman"/>
          <w:sz w:val="24"/>
          <w:szCs w:val="24"/>
        </w:rPr>
        <w:t xml:space="preserve">Maître de conférences, HDR, </w:t>
      </w:r>
      <w:r w:rsidRPr="0003018C">
        <w:rPr>
          <w:rFonts w:ascii="Times New Roman" w:hAnsi="Times New Roman" w:cs="Times New Roman"/>
          <w:sz w:val="24"/>
          <w:szCs w:val="24"/>
        </w:rPr>
        <w:t>Université de Bangui</w:t>
      </w:r>
    </w:p>
    <w:p w14:paraId="0CC7A27C" w14:textId="77777777" w:rsidR="00802D99" w:rsidRPr="0003018C" w:rsidRDefault="00802D99" w:rsidP="0003018C">
      <w:pPr>
        <w:tabs>
          <w:tab w:val="center" w:pos="4536"/>
        </w:tabs>
        <w:spacing w:line="360" w:lineRule="auto"/>
        <w:jc w:val="both"/>
        <w:rPr>
          <w:rFonts w:ascii="Times New Roman" w:hAnsi="Times New Roman" w:cs="Times New Roman"/>
          <w:sz w:val="24"/>
          <w:szCs w:val="24"/>
        </w:rPr>
      </w:pPr>
      <w:r w:rsidRPr="0003018C">
        <w:rPr>
          <w:rFonts w:ascii="Times New Roman" w:hAnsi="Times New Roman" w:cs="Times New Roman"/>
          <w:b/>
          <w:sz w:val="24"/>
          <w:szCs w:val="24"/>
        </w:rPr>
        <w:t>Assesseur 1</w:t>
      </w:r>
      <w:r w:rsidRPr="0003018C">
        <w:rPr>
          <w:rFonts w:ascii="Times New Roman" w:hAnsi="Times New Roman" w:cs="Times New Roman"/>
          <w:sz w:val="24"/>
          <w:szCs w:val="24"/>
        </w:rPr>
        <w:t>:</w:t>
      </w:r>
      <w:r w:rsidR="0003018C">
        <w:rPr>
          <w:rFonts w:ascii="Times New Roman" w:hAnsi="Times New Roman" w:cs="Times New Roman"/>
          <w:sz w:val="24"/>
          <w:szCs w:val="24"/>
        </w:rPr>
        <w:t xml:space="preserve"> </w:t>
      </w:r>
      <w:r w:rsidRPr="0003018C">
        <w:rPr>
          <w:rFonts w:ascii="Times New Roman" w:hAnsi="Times New Roman" w:cs="Times New Roman"/>
          <w:sz w:val="24"/>
          <w:szCs w:val="24"/>
        </w:rPr>
        <w:t>D</w:t>
      </w:r>
      <w:r w:rsidR="00067461">
        <w:rPr>
          <w:rFonts w:ascii="Times New Roman" w:hAnsi="Times New Roman" w:cs="Times New Roman"/>
          <w:sz w:val="24"/>
          <w:szCs w:val="24"/>
        </w:rPr>
        <w:t>avid KADEKOY-TIGAGUE, Institut C</w:t>
      </w:r>
      <w:r w:rsidRPr="0003018C">
        <w:rPr>
          <w:rFonts w:ascii="Times New Roman" w:hAnsi="Times New Roman" w:cs="Times New Roman"/>
          <w:sz w:val="24"/>
          <w:szCs w:val="24"/>
        </w:rPr>
        <w:t xml:space="preserve">entrafricain de la </w:t>
      </w:r>
      <w:r w:rsidR="0003018C" w:rsidRPr="0003018C">
        <w:rPr>
          <w:rFonts w:ascii="Times New Roman" w:hAnsi="Times New Roman" w:cs="Times New Roman"/>
          <w:sz w:val="24"/>
          <w:szCs w:val="24"/>
        </w:rPr>
        <w:t>Recherche</w:t>
      </w:r>
      <w:r w:rsidRPr="0003018C">
        <w:rPr>
          <w:rFonts w:ascii="Times New Roman" w:hAnsi="Times New Roman" w:cs="Times New Roman"/>
          <w:sz w:val="24"/>
          <w:szCs w:val="24"/>
        </w:rPr>
        <w:t xml:space="preserve"> Agronomique</w:t>
      </w:r>
    </w:p>
    <w:p w14:paraId="61B116C2" w14:textId="77777777" w:rsidR="00802D99" w:rsidRPr="0003018C" w:rsidRDefault="00802D99" w:rsidP="0003018C">
      <w:pPr>
        <w:tabs>
          <w:tab w:val="center" w:pos="4536"/>
        </w:tabs>
        <w:spacing w:line="360" w:lineRule="auto"/>
        <w:jc w:val="both"/>
        <w:rPr>
          <w:rFonts w:ascii="Times New Roman" w:hAnsi="Times New Roman" w:cs="Times New Roman"/>
          <w:sz w:val="24"/>
          <w:szCs w:val="24"/>
        </w:rPr>
      </w:pPr>
      <w:r w:rsidRPr="0003018C">
        <w:rPr>
          <w:rFonts w:ascii="Times New Roman" w:hAnsi="Times New Roman" w:cs="Times New Roman"/>
          <w:b/>
          <w:sz w:val="24"/>
          <w:szCs w:val="24"/>
        </w:rPr>
        <w:t>Assesseur 2 </w:t>
      </w:r>
      <w:r w:rsidRPr="0003018C">
        <w:rPr>
          <w:rFonts w:ascii="Times New Roman" w:hAnsi="Times New Roman" w:cs="Times New Roman"/>
          <w:sz w:val="24"/>
          <w:szCs w:val="24"/>
        </w:rPr>
        <w:t xml:space="preserve">: Abel PKAWILINA-NAMKOISSE, </w:t>
      </w:r>
      <w:r w:rsidR="006A7008">
        <w:rPr>
          <w:rFonts w:ascii="Times New Roman" w:hAnsi="Times New Roman" w:cs="Times New Roman"/>
          <w:sz w:val="24"/>
          <w:szCs w:val="24"/>
        </w:rPr>
        <w:t xml:space="preserve">Maître assistant, </w:t>
      </w:r>
      <w:r w:rsidRPr="0003018C">
        <w:rPr>
          <w:rFonts w:ascii="Times New Roman" w:hAnsi="Times New Roman" w:cs="Times New Roman"/>
          <w:sz w:val="24"/>
          <w:szCs w:val="24"/>
        </w:rPr>
        <w:t>Université de Bangui</w:t>
      </w:r>
    </w:p>
    <w:p w14:paraId="61C30BA6" w14:textId="77777777" w:rsidR="0003018C" w:rsidRDefault="0003018C" w:rsidP="00802D99">
      <w:pPr>
        <w:tabs>
          <w:tab w:val="center" w:pos="4536"/>
        </w:tabs>
        <w:jc w:val="both"/>
        <w:rPr>
          <w:rFonts w:ascii="Arial" w:hAnsi="Arial" w:cs="Arial"/>
          <w:sz w:val="24"/>
          <w:szCs w:val="24"/>
        </w:rPr>
      </w:pPr>
    </w:p>
    <w:p w14:paraId="12A2C18A" w14:textId="77777777" w:rsidR="0003018C" w:rsidRDefault="0003018C" w:rsidP="0003018C">
      <w:pPr>
        <w:tabs>
          <w:tab w:val="center" w:pos="4536"/>
        </w:tabs>
        <w:jc w:val="right"/>
        <w:rPr>
          <w:rFonts w:ascii="Times New Roman" w:hAnsi="Times New Roman" w:cs="Times New Roman"/>
          <w:b/>
          <w:i/>
          <w:sz w:val="24"/>
          <w:szCs w:val="24"/>
        </w:rPr>
      </w:pPr>
      <w:r w:rsidRPr="006A0CA2">
        <w:rPr>
          <w:rFonts w:ascii="Times New Roman" w:hAnsi="Times New Roman" w:cs="Times New Roman"/>
          <w:b/>
          <w:i/>
          <w:sz w:val="24"/>
          <w:szCs w:val="24"/>
        </w:rPr>
        <w:t>Bangui, le 11 Aout 2014</w:t>
      </w:r>
    </w:p>
    <w:p w14:paraId="08E783A2" w14:textId="77777777" w:rsidR="008862C7" w:rsidRDefault="008862C7" w:rsidP="008862C7">
      <w:pPr>
        <w:spacing w:line="360" w:lineRule="auto"/>
        <w:jc w:val="center"/>
        <w:rPr>
          <w:rFonts w:ascii="Arial" w:hAnsi="Arial" w:cs="Arial"/>
          <w:b/>
          <w:sz w:val="24"/>
          <w:szCs w:val="24"/>
        </w:rPr>
      </w:pPr>
      <w:r>
        <w:rPr>
          <w:rFonts w:ascii="Arial" w:hAnsi="Arial" w:cs="Arial"/>
          <w:b/>
          <w:sz w:val="24"/>
          <w:szCs w:val="24"/>
        </w:rPr>
        <w:lastRenderedPageBreak/>
        <w:t>SOMMAIRE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88"/>
        <w:gridCol w:w="816"/>
      </w:tblGrid>
      <w:tr w:rsidR="008862C7" w14:paraId="06DBCDC9" w14:textId="77777777" w:rsidTr="008862C7">
        <w:tc>
          <w:tcPr>
            <w:tcW w:w="1384" w:type="dxa"/>
            <w:tcBorders>
              <w:top w:val="single" w:sz="4" w:space="0" w:color="auto"/>
              <w:left w:val="single" w:sz="4" w:space="0" w:color="auto"/>
              <w:bottom w:val="single" w:sz="4" w:space="0" w:color="auto"/>
              <w:right w:val="single" w:sz="4" w:space="0" w:color="auto"/>
            </w:tcBorders>
            <w:shd w:val="clear" w:color="auto" w:fill="D6E3BC"/>
            <w:vAlign w:val="center"/>
          </w:tcPr>
          <w:p w14:paraId="34B18FAE" w14:textId="77777777" w:rsidR="008862C7" w:rsidRDefault="008862C7">
            <w:pPr>
              <w:tabs>
                <w:tab w:val="left" w:pos="708"/>
              </w:tabs>
              <w:spacing w:after="0" w:line="276" w:lineRule="auto"/>
              <w:jc w:val="center"/>
              <w:rPr>
                <w:rFonts w:ascii="Arial" w:eastAsia="Times New Roman" w:hAnsi="Arial" w:cs="Arial"/>
                <w:b/>
                <w:sz w:val="24"/>
                <w:szCs w:val="24"/>
              </w:rPr>
            </w:pPr>
          </w:p>
        </w:tc>
        <w:tc>
          <w:tcPr>
            <w:tcW w:w="708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AE1D809" w14:textId="77777777" w:rsidR="008862C7" w:rsidRDefault="008862C7">
            <w:pPr>
              <w:tabs>
                <w:tab w:val="left" w:pos="708"/>
              </w:tabs>
              <w:spacing w:after="0" w:line="276" w:lineRule="auto"/>
              <w:jc w:val="center"/>
              <w:rPr>
                <w:rFonts w:ascii="Arial" w:eastAsia="Times New Roman" w:hAnsi="Arial" w:cs="Arial"/>
                <w:b/>
                <w:sz w:val="24"/>
                <w:szCs w:val="24"/>
              </w:rPr>
            </w:pPr>
            <w:r>
              <w:rPr>
                <w:rFonts w:ascii="Arial" w:hAnsi="Arial" w:cs="Arial"/>
                <w:b/>
                <w:sz w:val="24"/>
                <w:szCs w:val="24"/>
              </w:rPr>
              <w:t>INTITULE</w:t>
            </w:r>
          </w:p>
        </w:tc>
        <w:tc>
          <w:tcPr>
            <w:tcW w:w="816"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529923B" w14:textId="77777777" w:rsidR="008862C7" w:rsidRDefault="008862C7">
            <w:pPr>
              <w:tabs>
                <w:tab w:val="left" w:pos="708"/>
              </w:tabs>
              <w:spacing w:after="0" w:line="276" w:lineRule="auto"/>
              <w:jc w:val="center"/>
              <w:rPr>
                <w:rFonts w:ascii="Arial" w:eastAsia="Times New Roman" w:hAnsi="Arial" w:cs="Arial"/>
                <w:b/>
                <w:sz w:val="24"/>
                <w:szCs w:val="24"/>
              </w:rPr>
            </w:pPr>
            <w:r>
              <w:rPr>
                <w:rFonts w:ascii="Arial" w:hAnsi="Arial" w:cs="Arial"/>
                <w:b/>
                <w:sz w:val="24"/>
                <w:szCs w:val="24"/>
              </w:rPr>
              <w:t>Page</w:t>
            </w:r>
          </w:p>
        </w:tc>
      </w:tr>
      <w:tr w:rsidR="008862C7" w14:paraId="23012911"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39723E29" w14:textId="77777777" w:rsidR="008862C7" w:rsidRDefault="008862C7">
            <w:pPr>
              <w:tabs>
                <w:tab w:val="left" w:pos="708"/>
              </w:tabs>
              <w:spacing w:after="0" w:line="276" w:lineRule="auto"/>
              <w:jc w:val="both"/>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C76FD3"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Dédicace</w:t>
            </w:r>
          </w:p>
        </w:tc>
        <w:tc>
          <w:tcPr>
            <w:tcW w:w="816" w:type="dxa"/>
            <w:tcBorders>
              <w:top w:val="single" w:sz="4" w:space="0" w:color="auto"/>
              <w:left w:val="single" w:sz="4" w:space="0" w:color="auto"/>
              <w:bottom w:val="single" w:sz="4" w:space="0" w:color="auto"/>
              <w:right w:val="single" w:sz="4" w:space="0" w:color="auto"/>
            </w:tcBorders>
            <w:vAlign w:val="center"/>
            <w:hideMark/>
          </w:tcPr>
          <w:p w14:paraId="7419F60C"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ii</w:t>
            </w:r>
          </w:p>
        </w:tc>
      </w:tr>
      <w:tr w:rsidR="008862C7" w14:paraId="45293AD3"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7E912AA4"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21DE1FF"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 xml:space="preserve">Remerciements </w:t>
            </w:r>
          </w:p>
        </w:tc>
        <w:tc>
          <w:tcPr>
            <w:tcW w:w="816" w:type="dxa"/>
            <w:tcBorders>
              <w:top w:val="single" w:sz="4" w:space="0" w:color="auto"/>
              <w:left w:val="single" w:sz="4" w:space="0" w:color="auto"/>
              <w:bottom w:val="single" w:sz="4" w:space="0" w:color="auto"/>
              <w:right w:val="single" w:sz="4" w:space="0" w:color="auto"/>
            </w:tcBorders>
            <w:vAlign w:val="center"/>
            <w:hideMark/>
          </w:tcPr>
          <w:p w14:paraId="6F73B665"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iii</w:t>
            </w:r>
          </w:p>
        </w:tc>
      </w:tr>
      <w:tr w:rsidR="008862C7" w14:paraId="24F2E82C"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59C28D7D"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17BAD046"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Liste des sigles et abréviations</w:t>
            </w:r>
          </w:p>
        </w:tc>
        <w:tc>
          <w:tcPr>
            <w:tcW w:w="816" w:type="dxa"/>
            <w:tcBorders>
              <w:top w:val="single" w:sz="4" w:space="0" w:color="auto"/>
              <w:left w:val="single" w:sz="4" w:space="0" w:color="auto"/>
              <w:bottom w:val="single" w:sz="4" w:space="0" w:color="auto"/>
              <w:right w:val="single" w:sz="4" w:space="0" w:color="auto"/>
            </w:tcBorders>
            <w:vAlign w:val="center"/>
            <w:hideMark/>
          </w:tcPr>
          <w:p w14:paraId="74D4DB6D"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iv</w:t>
            </w:r>
          </w:p>
        </w:tc>
      </w:tr>
      <w:tr w:rsidR="008862C7" w14:paraId="671570AA"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15C1B854"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43C927E9"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Liste des tableaux</w:t>
            </w:r>
          </w:p>
        </w:tc>
        <w:tc>
          <w:tcPr>
            <w:tcW w:w="816" w:type="dxa"/>
            <w:tcBorders>
              <w:top w:val="single" w:sz="4" w:space="0" w:color="auto"/>
              <w:left w:val="single" w:sz="4" w:space="0" w:color="auto"/>
              <w:bottom w:val="single" w:sz="4" w:space="0" w:color="auto"/>
              <w:right w:val="single" w:sz="4" w:space="0" w:color="auto"/>
            </w:tcBorders>
            <w:vAlign w:val="center"/>
            <w:hideMark/>
          </w:tcPr>
          <w:p w14:paraId="170CF4BB"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vii</w:t>
            </w:r>
          </w:p>
        </w:tc>
      </w:tr>
      <w:tr w:rsidR="008862C7" w14:paraId="42730654"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3C901595"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7E98B736"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Liste des graphiques</w:t>
            </w:r>
          </w:p>
        </w:tc>
        <w:tc>
          <w:tcPr>
            <w:tcW w:w="816" w:type="dxa"/>
            <w:tcBorders>
              <w:top w:val="single" w:sz="4" w:space="0" w:color="auto"/>
              <w:left w:val="single" w:sz="4" w:space="0" w:color="auto"/>
              <w:bottom w:val="single" w:sz="4" w:space="0" w:color="auto"/>
              <w:right w:val="single" w:sz="4" w:space="0" w:color="auto"/>
            </w:tcBorders>
            <w:vAlign w:val="center"/>
            <w:hideMark/>
          </w:tcPr>
          <w:p w14:paraId="43B99AC3"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ix</w:t>
            </w:r>
          </w:p>
        </w:tc>
      </w:tr>
      <w:tr w:rsidR="008862C7" w14:paraId="75AFA4DE" w14:textId="77777777" w:rsidTr="008862C7">
        <w:trPr>
          <w:trHeight w:val="228"/>
        </w:trPr>
        <w:tc>
          <w:tcPr>
            <w:tcW w:w="1384" w:type="dxa"/>
            <w:tcBorders>
              <w:top w:val="single" w:sz="4" w:space="0" w:color="auto"/>
              <w:left w:val="single" w:sz="4" w:space="0" w:color="auto"/>
              <w:bottom w:val="single" w:sz="4" w:space="0" w:color="auto"/>
              <w:right w:val="single" w:sz="4" w:space="0" w:color="auto"/>
            </w:tcBorders>
            <w:vAlign w:val="center"/>
          </w:tcPr>
          <w:p w14:paraId="51C69609"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14:paraId="4A76C916" w14:textId="77777777" w:rsidR="008862C7" w:rsidRDefault="008862C7">
            <w:pPr>
              <w:tabs>
                <w:tab w:val="left" w:pos="708"/>
              </w:tabs>
              <w:spacing w:after="0" w:line="276" w:lineRule="auto"/>
              <w:jc w:val="both"/>
              <w:rPr>
                <w:rFonts w:ascii="Arial" w:eastAsia="Times New Roman" w:hAnsi="Arial" w:cs="Arial"/>
                <w:sz w:val="24"/>
                <w:szCs w:val="24"/>
              </w:rPr>
            </w:pPr>
            <w:r>
              <w:rPr>
                <w:rFonts w:ascii="Arial" w:hAnsi="Arial" w:cs="Arial"/>
                <w:sz w:val="24"/>
                <w:szCs w:val="24"/>
              </w:rPr>
              <w:t>Résumé</w:t>
            </w:r>
          </w:p>
        </w:tc>
        <w:tc>
          <w:tcPr>
            <w:tcW w:w="816" w:type="dxa"/>
            <w:tcBorders>
              <w:top w:val="single" w:sz="4" w:space="0" w:color="auto"/>
              <w:left w:val="single" w:sz="4" w:space="0" w:color="auto"/>
              <w:bottom w:val="single" w:sz="4" w:space="0" w:color="auto"/>
              <w:right w:val="single" w:sz="4" w:space="0" w:color="auto"/>
            </w:tcBorders>
            <w:vAlign w:val="center"/>
            <w:hideMark/>
          </w:tcPr>
          <w:p w14:paraId="4A0D2776" w14:textId="77777777" w:rsidR="008862C7" w:rsidRDefault="008862C7">
            <w:pPr>
              <w:tabs>
                <w:tab w:val="left" w:pos="708"/>
              </w:tabs>
              <w:spacing w:after="0" w:line="276" w:lineRule="auto"/>
              <w:jc w:val="center"/>
              <w:rPr>
                <w:rFonts w:ascii="Arial" w:eastAsia="Times New Roman" w:hAnsi="Arial" w:cs="Arial"/>
                <w:i/>
                <w:sz w:val="24"/>
                <w:szCs w:val="24"/>
              </w:rPr>
            </w:pPr>
            <w:r>
              <w:rPr>
                <w:rFonts w:ascii="Arial" w:hAnsi="Arial" w:cs="Arial"/>
                <w:i/>
                <w:sz w:val="24"/>
                <w:szCs w:val="24"/>
              </w:rPr>
              <w:t>xi</w:t>
            </w:r>
          </w:p>
        </w:tc>
      </w:tr>
      <w:tr w:rsidR="008862C7" w14:paraId="0ED02548"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6E54D208"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70A60A3" w14:textId="77777777" w:rsidR="008862C7" w:rsidRDefault="008862C7">
            <w:pPr>
              <w:pStyle w:val="TM1"/>
              <w:spacing w:after="0"/>
              <w:rPr>
                <w:b w:val="0"/>
              </w:rPr>
            </w:pPr>
            <w:r>
              <w:rPr>
                <w:b w:val="0"/>
                <w:caps w:val="0"/>
              </w:rPr>
              <w:t>Introduction générale</w:t>
            </w:r>
          </w:p>
        </w:tc>
        <w:tc>
          <w:tcPr>
            <w:tcW w:w="816" w:type="dxa"/>
            <w:tcBorders>
              <w:top w:val="single" w:sz="4" w:space="0" w:color="auto"/>
              <w:left w:val="single" w:sz="4" w:space="0" w:color="auto"/>
              <w:bottom w:val="single" w:sz="4" w:space="0" w:color="auto"/>
              <w:right w:val="single" w:sz="4" w:space="0" w:color="auto"/>
            </w:tcBorders>
            <w:vAlign w:val="center"/>
            <w:hideMark/>
          </w:tcPr>
          <w:p w14:paraId="742A1E0F"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2</w:t>
            </w:r>
          </w:p>
        </w:tc>
      </w:tr>
      <w:tr w:rsidR="008862C7" w14:paraId="0D3DA89A"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6232EA22"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bCs/>
                <w:iCs/>
                <w:sz w:val="24"/>
                <w:szCs w:val="24"/>
              </w:rPr>
              <w:t>1</w:t>
            </w:r>
            <w:r>
              <w:rPr>
                <w:rFonts w:ascii="Arial" w:hAnsi="Arial" w:cs="Arial"/>
                <w:bCs/>
                <w:iCs/>
                <w:sz w:val="24"/>
                <w:szCs w:val="24"/>
                <w:vertAlign w:val="superscript"/>
              </w:rPr>
              <w:t xml:space="preserve">ere </w:t>
            </w:r>
            <w:r>
              <w:rPr>
                <w:rFonts w:ascii="Arial" w:hAnsi="Arial" w:cs="Arial"/>
                <w:bCs/>
                <w:iCs/>
                <w:sz w:val="24"/>
                <w:szCs w:val="24"/>
              </w:rPr>
              <w:t>Partie</w:t>
            </w:r>
          </w:p>
        </w:tc>
        <w:tc>
          <w:tcPr>
            <w:tcW w:w="7088" w:type="dxa"/>
            <w:tcBorders>
              <w:top w:val="single" w:sz="4" w:space="0" w:color="auto"/>
              <w:left w:val="single" w:sz="4" w:space="0" w:color="auto"/>
              <w:bottom w:val="single" w:sz="4" w:space="0" w:color="auto"/>
              <w:right w:val="single" w:sz="4" w:space="0" w:color="auto"/>
            </w:tcBorders>
            <w:vAlign w:val="center"/>
            <w:hideMark/>
          </w:tcPr>
          <w:p w14:paraId="564D1648" w14:textId="77777777" w:rsidR="008862C7" w:rsidRDefault="008862C7">
            <w:pPr>
              <w:pStyle w:val="TM1"/>
              <w:spacing w:after="0"/>
              <w:rPr>
                <w:b w:val="0"/>
              </w:rPr>
            </w:pPr>
            <w:r>
              <w:rPr>
                <w:b w:val="0"/>
                <w:caps w:val="0"/>
              </w:rPr>
              <w:t>CADRE CONCEPTUEL ET THEORIQUE DE LA COMPETITIVITE ET DYNAMIQUE DE LA FILIERE COTONNIERE</w:t>
            </w:r>
            <w:r>
              <w:rPr>
                <w:b w:val="0"/>
                <w:iCs/>
                <w:caps w:val="0"/>
              </w:rPr>
              <w:t xml:space="preserve"> </w:t>
            </w:r>
            <w:r>
              <w:rPr>
                <w:b w:val="0"/>
                <w:iCs/>
              </w:rPr>
              <w:fldChar w:fldCharType="begin"/>
            </w:r>
            <w:r>
              <w:rPr>
                <w:b w:val="0"/>
                <w:iCs/>
              </w:rPr>
              <w:instrText xml:space="preserve"> TOC \o \h \z \u </w:instrText>
            </w:r>
            <w:r>
              <w:rPr>
                <w:b w:val="0"/>
                <w:iCs/>
              </w:rPr>
              <w:fldChar w:fldCharType="end"/>
            </w:r>
          </w:p>
        </w:tc>
        <w:tc>
          <w:tcPr>
            <w:tcW w:w="816" w:type="dxa"/>
            <w:tcBorders>
              <w:top w:val="single" w:sz="4" w:space="0" w:color="auto"/>
              <w:left w:val="single" w:sz="4" w:space="0" w:color="auto"/>
              <w:bottom w:val="single" w:sz="4" w:space="0" w:color="auto"/>
              <w:right w:val="single" w:sz="4" w:space="0" w:color="auto"/>
            </w:tcBorders>
            <w:vAlign w:val="center"/>
            <w:hideMark/>
          </w:tcPr>
          <w:p w14:paraId="665CB2A1"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10</w:t>
            </w:r>
          </w:p>
        </w:tc>
      </w:tr>
      <w:tr w:rsidR="008862C7" w14:paraId="4B15374F"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1179D4D2"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sz w:val="24"/>
                <w:szCs w:val="24"/>
              </w:rPr>
              <w:t>Chapitre 1</w:t>
            </w:r>
          </w:p>
        </w:tc>
        <w:tc>
          <w:tcPr>
            <w:tcW w:w="7088" w:type="dxa"/>
            <w:tcBorders>
              <w:top w:val="single" w:sz="4" w:space="0" w:color="auto"/>
              <w:left w:val="single" w:sz="4" w:space="0" w:color="auto"/>
              <w:bottom w:val="single" w:sz="4" w:space="0" w:color="auto"/>
              <w:right w:val="single" w:sz="4" w:space="0" w:color="auto"/>
            </w:tcBorders>
            <w:vAlign w:val="center"/>
            <w:hideMark/>
          </w:tcPr>
          <w:p w14:paraId="09E62A99" w14:textId="77777777" w:rsidR="008862C7" w:rsidRDefault="008862C7">
            <w:pPr>
              <w:pStyle w:val="TM1"/>
              <w:spacing w:after="0"/>
              <w:rPr>
                <w:b w:val="0"/>
              </w:rPr>
            </w:pPr>
            <w:r>
              <w:rPr>
                <w:b w:val="0"/>
                <w:caps w:val="0"/>
              </w:rPr>
              <w:t>Approche conceptuelle et théorique de la compétitivité</w:t>
            </w:r>
          </w:p>
        </w:tc>
        <w:tc>
          <w:tcPr>
            <w:tcW w:w="816" w:type="dxa"/>
            <w:tcBorders>
              <w:top w:val="single" w:sz="4" w:space="0" w:color="auto"/>
              <w:left w:val="single" w:sz="4" w:space="0" w:color="auto"/>
              <w:bottom w:val="single" w:sz="4" w:space="0" w:color="auto"/>
              <w:right w:val="single" w:sz="4" w:space="0" w:color="auto"/>
            </w:tcBorders>
            <w:vAlign w:val="center"/>
            <w:hideMark/>
          </w:tcPr>
          <w:p w14:paraId="5DFCECCC"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12</w:t>
            </w:r>
          </w:p>
        </w:tc>
      </w:tr>
      <w:tr w:rsidR="008862C7" w14:paraId="7E5927BA" w14:textId="77777777" w:rsidTr="008862C7">
        <w:trPr>
          <w:trHeight w:val="492"/>
        </w:trPr>
        <w:tc>
          <w:tcPr>
            <w:tcW w:w="1384" w:type="dxa"/>
            <w:tcBorders>
              <w:top w:val="single" w:sz="4" w:space="0" w:color="auto"/>
              <w:left w:val="single" w:sz="4" w:space="0" w:color="auto"/>
              <w:bottom w:val="single" w:sz="4" w:space="0" w:color="auto"/>
              <w:right w:val="single" w:sz="4" w:space="0" w:color="auto"/>
            </w:tcBorders>
            <w:vAlign w:val="center"/>
          </w:tcPr>
          <w:p w14:paraId="07F7AC71" w14:textId="77777777" w:rsidR="008862C7" w:rsidRDefault="008862C7">
            <w:pPr>
              <w:pStyle w:val="Paragraphedeliste"/>
              <w:numPr>
                <w:ilvl w:val="0"/>
                <w:numId w:val="1"/>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39F1D41" w14:textId="77777777" w:rsidR="008862C7" w:rsidRDefault="008862C7">
            <w:pPr>
              <w:pStyle w:val="TM1"/>
              <w:spacing w:after="0"/>
              <w:rPr>
                <w:b w:val="0"/>
              </w:rPr>
            </w:pPr>
            <w:r>
              <w:rPr>
                <w:b w:val="0"/>
                <w:iCs/>
                <w:caps w:val="0"/>
              </w:rPr>
              <w:t>Approche conceptuelle de l’étude</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4A3214EA"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13</w:t>
            </w:r>
          </w:p>
        </w:tc>
      </w:tr>
      <w:tr w:rsidR="008862C7" w14:paraId="41335AB2" w14:textId="77777777" w:rsidTr="008862C7">
        <w:trPr>
          <w:trHeight w:val="556"/>
        </w:trPr>
        <w:tc>
          <w:tcPr>
            <w:tcW w:w="1384" w:type="dxa"/>
            <w:tcBorders>
              <w:top w:val="single" w:sz="4" w:space="0" w:color="auto"/>
              <w:left w:val="single" w:sz="4" w:space="0" w:color="auto"/>
              <w:bottom w:val="single" w:sz="4" w:space="0" w:color="auto"/>
              <w:right w:val="single" w:sz="4" w:space="0" w:color="auto"/>
            </w:tcBorders>
            <w:vAlign w:val="center"/>
          </w:tcPr>
          <w:p w14:paraId="3D55F8CA" w14:textId="77777777" w:rsidR="008862C7" w:rsidRDefault="008862C7">
            <w:pPr>
              <w:pStyle w:val="Paragraphedeliste"/>
              <w:numPr>
                <w:ilvl w:val="0"/>
                <w:numId w:val="1"/>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6363EB7" w14:textId="77777777" w:rsidR="008862C7" w:rsidRDefault="008862C7">
            <w:pPr>
              <w:pStyle w:val="TM1"/>
              <w:spacing w:after="0"/>
              <w:rPr>
                <w:b w:val="0"/>
              </w:rPr>
            </w:pPr>
            <w:r>
              <w:rPr>
                <w:b w:val="0"/>
                <w:iCs/>
                <w:caps w:val="0"/>
              </w:rPr>
              <w:t>Cadre théorique de la compétitivité des filières agricoles</w:t>
            </w:r>
          </w:p>
        </w:tc>
        <w:tc>
          <w:tcPr>
            <w:tcW w:w="816" w:type="dxa"/>
            <w:tcBorders>
              <w:top w:val="single" w:sz="4" w:space="0" w:color="auto"/>
              <w:left w:val="single" w:sz="4" w:space="0" w:color="auto"/>
              <w:bottom w:val="single" w:sz="4" w:space="0" w:color="auto"/>
              <w:right w:val="single" w:sz="4" w:space="0" w:color="auto"/>
            </w:tcBorders>
            <w:vAlign w:val="center"/>
            <w:hideMark/>
          </w:tcPr>
          <w:p w14:paraId="0A10CA73"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39</w:t>
            </w:r>
          </w:p>
        </w:tc>
      </w:tr>
      <w:tr w:rsidR="008862C7" w14:paraId="24B4CC42"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6A2B2BFD"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sz w:val="24"/>
                <w:szCs w:val="24"/>
              </w:rPr>
              <w:t>Chapitre 2</w:t>
            </w:r>
          </w:p>
        </w:tc>
        <w:tc>
          <w:tcPr>
            <w:tcW w:w="7088" w:type="dxa"/>
            <w:tcBorders>
              <w:top w:val="single" w:sz="4" w:space="0" w:color="auto"/>
              <w:left w:val="single" w:sz="4" w:space="0" w:color="auto"/>
              <w:bottom w:val="single" w:sz="4" w:space="0" w:color="auto"/>
              <w:right w:val="single" w:sz="4" w:space="0" w:color="auto"/>
            </w:tcBorders>
            <w:vAlign w:val="center"/>
            <w:hideMark/>
          </w:tcPr>
          <w:p w14:paraId="15437423" w14:textId="77777777" w:rsidR="008862C7" w:rsidRDefault="008862C7">
            <w:pPr>
              <w:pStyle w:val="TM1"/>
              <w:spacing w:after="0"/>
              <w:rPr>
                <w:b w:val="0"/>
              </w:rPr>
            </w:pPr>
            <w:r>
              <w:rPr>
                <w:b w:val="0"/>
                <w:iCs/>
                <w:caps w:val="0"/>
              </w:rPr>
              <w:t>Dynamique de la  filière cotonnière et méthodologie de l’étude</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57CB136B"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55</w:t>
            </w:r>
          </w:p>
        </w:tc>
      </w:tr>
      <w:tr w:rsidR="008862C7" w14:paraId="5831D0D4"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470CD864" w14:textId="77777777" w:rsidR="008862C7" w:rsidRDefault="008862C7">
            <w:pPr>
              <w:pStyle w:val="Paragraphedeliste"/>
              <w:numPr>
                <w:ilvl w:val="0"/>
                <w:numId w:val="2"/>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2D65B0E" w14:textId="77777777" w:rsidR="008862C7" w:rsidRDefault="008862C7">
            <w:pPr>
              <w:pStyle w:val="TM1"/>
              <w:spacing w:after="0"/>
              <w:rPr>
                <w:b w:val="0"/>
              </w:rPr>
            </w:pPr>
            <w:r>
              <w:rPr>
                <w:b w:val="0"/>
                <w:iCs/>
                <w:caps w:val="0"/>
              </w:rPr>
              <w:t>Dynamique de la filière coton en Afrique de l</w:t>
            </w:r>
            <w:r>
              <w:rPr>
                <w:b w:val="0"/>
                <w:iCs/>
              </w:rPr>
              <w:t>’</w:t>
            </w:r>
            <w:r>
              <w:rPr>
                <w:b w:val="0"/>
                <w:iCs/>
                <w:caps w:val="0"/>
              </w:rPr>
              <w:t>ouest et du centre</w:t>
            </w:r>
            <w:r>
              <w:rPr>
                <w:b w:val="0"/>
                <w:iCs/>
              </w:rPr>
              <w:fldChar w:fldCharType="begin"/>
            </w:r>
            <w:r>
              <w:rPr>
                <w:b w:val="0"/>
                <w:iCs/>
              </w:rPr>
              <w:instrText xml:space="preserve"> TOC \o \h \z \u </w:instrText>
            </w:r>
            <w:r>
              <w:rPr>
                <w:b w:val="0"/>
                <w:iCs/>
              </w:rPr>
              <w:fldChar w:fldCharType="end"/>
            </w:r>
          </w:p>
        </w:tc>
        <w:tc>
          <w:tcPr>
            <w:tcW w:w="816" w:type="dxa"/>
            <w:tcBorders>
              <w:top w:val="single" w:sz="4" w:space="0" w:color="auto"/>
              <w:left w:val="single" w:sz="4" w:space="0" w:color="auto"/>
              <w:bottom w:val="single" w:sz="4" w:space="0" w:color="auto"/>
              <w:right w:val="single" w:sz="4" w:space="0" w:color="auto"/>
            </w:tcBorders>
            <w:vAlign w:val="center"/>
            <w:hideMark/>
          </w:tcPr>
          <w:p w14:paraId="0470030E"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57</w:t>
            </w:r>
          </w:p>
        </w:tc>
      </w:tr>
      <w:tr w:rsidR="008862C7" w14:paraId="748BB502"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0A253D52" w14:textId="77777777" w:rsidR="008862C7" w:rsidRDefault="008862C7">
            <w:pPr>
              <w:pStyle w:val="Paragraphedeliste"/>
              <w:numPr>
                <w:ilvl w:val="0"/>
                <w:numId w:val="2"/>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1AE2045" w14:textId="77777777" w:rsidR="008862C7" w:rsidRDefault="008862C7">
            <w:pPr>
              <w:pStyle w:val="TM1"/>
              <w:spacing w:after="0"/>
              <w:rPr>
                <w:b w:val="0"/>
              </w:rPr>
            </w:pPr>
            <w:r>
              <w:rPr>
                <w:b w:val="0"/>
                <w:iCs/>
                <w:caps w:val="0"/>
              </w:rPr>
              <w:t>Démarche méthodologique et terrain de recherche</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2018DAB9"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73</w:t>
            </w:r>
          </w:p>
        </w:tc>
      </w:tr>
      <w:tr w:rsidR="008862C7" w14:paraId="3FC3F888"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2EAC0AB5"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sz w:val="24"/>
                <w:szCs w:val="24"/>
              </w:rPr>
              <w:t>2</w:t>
            </w:r>
            <w:r>
              <w:rPr>
                <w:rFonts w:ascii="Arial" w:hAnsi="Arial" w:cs="Arial"/>
                <w:sz w:val="24"/>
                <w:szCs w:val="24"/>
                <w:vertAlign w:val="superscript"/>
              </w:rPr>
              <w:t>de</w:t>
            </w:r>
            <w:r>
              <w:rPr>
                <w:rFonts w:ascii="Arial" w:hAnsi="Arial" w:cs="Arial"/>
                <w:sz w:val="24"/>
                <w:szCs w:val="24"/>
              </w:rPr>
              <w:t xml:space="preserve"> Partie </w:t>
            </w:r>
          </w:p>
        </w:tc>
        <w:tc>
          <w:tcPr>
            <w:tcW w:w="7088" w:type="dxa"/>
            <w:tcBorders>
              <w:top w:val="single" w:sz="4" w:space="0" w:color="auto"/>
              <w:left w:val="single" w:sz="4" w:space="0" w:color="auto"/>
              <w:bottom w:val="single" w:sz="4" w:space="0" w:color="auto"/>
              <w:right w:val="single" w:sz="4" w:space="0" w:color="auto"/>
            </w:tcBorders>
            <w:vAlign w:val="center"/>
            <w:hideMark/>
          </w:tcPr>
          <w:p w14:paraId="19239AB2" w14:textId="77777777" w:rsidR="008862C7" w:rsidRDefault="008862C7">
            <w:pPr>
              <w:pStyle w:val="TM1"/>
              <w:spacing w:after="0"/>
              <w:rPr>
                <w:b w:val="0"/>
              </w:rPr>
            </w:pPr>
            <w:r>
              <w:rPr>
                <w:b w:val="0"/>
                <w:iCs/>
                <w:caps w:val="0"/>
              </w:rPr>
              <w:t xml:space="preserve">ETUDE EMPIRIQUE DES DETERMINANTS DE LA COMPETITIVITE DU COTON CENTRAFRICAIN </w:t>
            </w:r>
          </w:p>
        </w:tc>
        <w:tc>
          <w:tcPr>
            <w:tcW w:w="816" w:type="dxa"/>
            <w:tcBorders>
              <w:top w:val="single" w:sz="4" w:space="0" w:color="auto"/>
              <w:left w:val="single" w:sz="4" w:space="0" w:color="auto"/>
              <w:bottom w:val="single" w:sz="4" w:space="0" w:color="auto"/>
              <w:right w:val="single" w:sz="4" w:space="0" w:color="auto"/>
            </w:tcBorders>
            <w:vAlign w:val="center"/>
            <w:hideMark/>
          </w:tcPr>
          <w:p w14:paraId="05F26972"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88</w:t>
            </w:r>
          </w:p>
        </w:tc>
      </w:tr>
      <w:tr w:rsidR="008862C7" w14:paraId="3FB7B83C"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5C224322"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sz w:val="24"/>
                <w:szCs w:val="24"/>
              </w:rPr>
              <w:t>Chapitre 3</w:t>
            </w:r>
          </w:p>
        </w:tc>
        <w:tc>
          <w:tcPr>
            <w:tcW w:w="7088" w:type="dxa"/>
            <w:tcBorders>
              <w:top w:val="single" w:sz="4" w:space="0" w:color="auto"/>
              <w:left w:val="single" w:sz="4" w:space="0" w:color="auto"/>
              <w:bottom w:val="single" w:sz="4" w:space="0" w:color="auto"/>
              <w:right w:val="single" w:sz="4" w:space="0" w:color="auto"/>
            </w:tcBorders>
            <w:vAlign w:val="center"/>
            <w:hideMark/>
          </w:tcPr>
          <w:p w14:paraId="2976655E" w14:textId="77777777" w:rsidR="008862C7" w:rsidRDefault="008862C7">
            <w:pPr>
              <w:pStyle w:val="TM1"/>
              <w:spacing w:after="0"/>
              <w:rPr>
                <w:b w:val="0"/>
              </w:rPr>
            </w:pPr>
            <w:r>
              <w:rPr>
                <w:b w:val="0"/>
                <w:iCs/>
                <w:caps w:val="0"/>
              </w:rPr>
              <w:t>Analyse du système de production et du système de commercialisation du coton centrafricain</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3E1B7DD9"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90</w:t>
            </w:r>
          </w:p>
        </w:tc>
      </w:tr>
      <w:tr w:rsidR="008862C7" w14:paraId="2CC7381C"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0623BDCD" w14:textId="77777777" w:rsidR="008862C7" w:rsidRDefault="008862C7">
            <w:pPr>
              <w:pStyle w:val="Paragraphedeliste"/>
              <w:numPr>
                <w:ilvl w:val="0"/>
                <w:numId w:val="3"/>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4351972" w14:textId="77777777" w:rsidR="008862C7" w:rsidRDefault="008862C7">
            <w:pPr>
              <w:pStyle w:val="TM1"/>
              <w:spacing w:after="0"/>
              <w:rPr>
                <w:b w:val="0"/>
              </w:rPr>
            </w:pPr>
            <w:r>
              <w:rPr>
                <w:b w:val="0"/>
                <w:iCs/>
                <w:caps w:val="0"/>
              </w:rPr>
              <w:t>Analyse économique du système productif du coton centrafricain</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241DF831"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91</w:t>
            </w:r>
          </w:p>
        </w:tc>
      </w:tr>
      <w:tr w:rsidR="008862C7" w14:paraId="35266D31"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71C04882" w14:textId="77777777" w:rsidR="008862C7" w:rsidRDefault="008862C7">
            <w:pPr>
              <w:pStyle w:val="Paragraphedeliste"/>
              <w:numPr>
                <w:ilvl w:val="0"/>
                <w:numId w:val="3"/>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8AAA839" w14:textId="77777777" w:rsidR="008862C7" w:rsidRDefault="008862C7">
            <w:pPr>
              <w:pStyle w:val="TM1"/>
              <w:spacing w:after="0"/>
              <w:rPr>
                <w:b w:val="0"/>
              </w:rPr>
            </w:pPr>
            <w:r>
              <w:rPr>
                <w:b w:val="0"/>
                <w:iCs/>
                <w:caps w:val="0"/>
              </w:rPr>
              <w:t>Analyse du système de commercialisation du coton centrafricain</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46047C6E"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111</w:t>
            </w:r>
          </w:p>
        </w:tc>
      </w:tr>
      <w:tr w:rsidR="008862C7" w14:paraId="3DA38226" w14:textId="77777777" w:rsidTr="008862C7">
        <w:tc>
          <w:tcPr>
            <w:tcW w:w="1384" w:type="dxa"/>
            <w:tcBorders>
              <w:top w:val="single" w:sz="4" w:space="0" w:color="auto"/>
              <w:left w:val="single" w:sz="4" w:space="0" w:color="auto"/>
              <w:bottom w:val="single" w:sz="4" w:space="0" w:color="auto"/>
              <w:right w:val="single" w:sz="4" w:space="0" w:color="auto"/>
            </w:tcBorders>
            <w:vAlign w:val="center"/>
            <w:hideMark/>
          </w:tcPr>
          <w:p w14:paraId="1E37B37D" w14:textId="77777777" w:rsidR="008862C7" w:rsidRDefault="008862C7">
            <w:pPr>
              <w:tabs>
                <w:tab w:val="left" w:pos="708"/>
              </w:tabs>
              <w:spacing w:after="0" w:line="276" w:lineRule="auto"/>
              <w:rPr>
                <w:rFonts w:ascii="Arial" w:eastAsia="Times New Roman" w:hAnsi="Arial" w:cs="Arial"/>
                <w:sz w:val="24"/>
                <w:szCs w:val="24"/>
              </w:rPr>
            </w:pPr>
            <w:r>
              <w:rPr>
                <w:rFonts w:ascii="Arial" w:hAnsi="Arial" w:cs="Arial"/>
                <w:sz w:val="24"/>
                <w:szCs w:val="24"/>
              </w:rPr>
              <w:t>Chapitre 4</w:t>
            </w:r>
          </w:p>
        </w:tc>
        <w:tc>
          <w:tcPr>
            <w:tcW w:w="7088" w:type="dxa"/>
            <w:tcBorders>
              <w:top w:val="single" w:sz="4" w:space="0" w:color="auto"/>
              <w:left w:val="single" w:sz="4" w:space="0" w:color="auto"/>
              <w:bottom w:val="single" w:sz="4" w:space="0" w:color="auto"/>
              <w:right w:val="single" w:sz="4" w:space="0" w:color="auto"/>
            </w:tcBorders>
            <w:vAlign w:val="center"/>
            <w:hideMark/>
          </w:tcPr>
          <w:p w14:paraId="59ED8F36" w14:textId="77777777" w:rsidR="008862C7" w:rsidRDefault="008862C7">
            <w:pPr>
              <w:pStyle w:val="TM1"/>
              <w:spacing w:after="0"/>
              <w:rPr>
                <w:b w:val="0"/>
              </w:rPr>
            </w:pPr>
            <w:r>
              <w:rPr>
                <w:b w:val="0"/>
                <w:iCs/>
                <w:caps w:val="0"/>
              </w:rPr>
              <w:t>Identification et évaluation des déterminants de la compétitivité du coton centrafricain</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tcPr>
          <w:p w14:paraId="099BEB6E" w14:textId="77777777" w:rsidR="008862C7" w:rsidRDefault="008862C7">
            <w:pPr>
              <w:tabs>
                <w:tab w:val="left" w:pos="708"/>
              </w:tabs>
              <w:spacing w:after="0" w:line="276" w:lineRule="auto"/>
              <w:rPr>
                <w:rFonts w:ascii="Arial" w:eastAsia="Times New Roman" w:hAnsi="Arial" w:cs="Arial"/>
                <w:sz w:val="24"/>
                <w:szCs w:val="24"/>
              </w:rPr>
            </w:pPr>
          </w:p>
        </w:tc>
      </w:tr>
      <w:tr w:rsidR="008862C7" w14:paraId="0820AFA0"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44C4C592" w14:textId="77777777" w:rsidR="008862C7" w:rsidRDefault="008862C7">
            <w:pPr>
              <w:pStyle w:val="Paragraphedeliste"/>
              <w:numPr>
                <w:ilvl w:val="0"/>
                <w:numId w:val="4"/>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BDC3CBE" w14:textId="77777777" w:rsidR="008862C7" w:rsidRDefault="008862C7">
            <w:pPr>
              <w:pStyle w:val="TM1"/>
              <w:spacing w:after="0"/>
              <w:rPr>
                <w:b w:val="0"/>
              </w:rPr>
            </w:pPr>
            <w:r>
              <w:rPr>
                <w:b w:val="0"/>
                <w:iCs/>
                <w:caps w:val="0"/>
              </w:rPr>
              <w:t>Identification des déterminants</w:t>
            </w:r>
            <w:r>
              <w:rPr>
                <w:b w:val="0"/>
                <w:iCs/>
              </w:rPr>
              <w:t xml:space="preserve"> </w:t>
            </w:r>
            <w:r>
              <w:rPr>
                <w:b w:val="0"/>
                <w:iCs/>
              </w:rPr>
              <w:fldChar w:fldCharType="begin"/>
            </w:r>
            <w:r>
              <w:rPr>
                <w:b w:val="0"/>
                <w:iCs/>
              </w:rPr>
              <w:instrText xml:space="preserve"> TOC \o \h \z \u </w:instrText>
            </w:r>
            <w:r>
              <w:rPr>
                <w:b w:val="0"/>
                <w:iCs/>
              </w:rPr>
              <w:fldChar w:fldCharType="end"/>
            </w:r>
          </w:p>
        </w:tc>
        <w:tc>
          <w:tcPr>
            <w:tcW w:w="816" w:type="dxa"/>
            <w:tcBorders>
              <w:top w:val="single" w:sz="4" w:space="0" w:color="auto"/>
              <w:left w:val="single" w:sz="4" w:space="0" w:color="auto"/>
              <w:bottom w:val="single" w:sz="4" w:space="0" w:color="auto"/>
              <w:right w:val="single" w:sz="4" w:space="0" w:color="auto"/>
            </w:tcBorders>
            <w:vAlign w:val="center"/>
            <w:hideMark/>
          </w:tcPr>
          <w:p w14:paraId="5B132288"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131</w:t>
            </w:r>
          </w:p>
        </w:tc>
      </w:tr>
      <w:tr w:rsidR="008862C7" w14:paraId="2B82A205"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68FE3609" w14:textId="77777777" w:rsidR="008862C7" w:rsidRDefault="008862C7">
            <w:pPr>
              <w:pStyle w:val="Paragraphedeliste"/>
              <w:numPr>
                <w:ilvl w:val="0"/>
                <w:numId w:val="4"/>
              </w:numPr>
              <w:spacing w:after="0" w:line="240" w:lineRule="auto"/>
              <w:rPr>
                <w:rFonts w:ascii="Arial"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B6BD7D9" w14:textId="77777777" w:rsidR="008862C7" w:rsidRDefault="008862C7">
            <w:pPr>
              <w:pStyle w:val="TM1"/>
              <w:spacing w:after="0"/>
              <w:rPr>
                <w:b w:val="0"/>
              </w:rPr>
            </w:pPr>
            <w:r>
              <w:rPr>
                <w:b w:val="0"/>
                <w:iCs/>
                <w:caps w:val="0"/>
              </w:rPr>
              <w:t>Evaluation des déterminants et analyse des résultats</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7344A534"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152</w:t>
            </w:r>
          </w:p>
        </w:tc>
      </w:tr>
      <w:tr w:rsidR="008862C7" w14:paraId="0F651216"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4D8E6378"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A8AE1A3" w14:textId="77777777" w:rsidR="008862C7" w:rsidRDefault="008862C7">
            <w:pPr>
              <w:pStyle w:val="TM1"/>
              <w:spacing w:after="0"/>
              <w:rPr>
                <w:b w:val="0"/>
              </w:rPr>
            </w:pPr>
            <w:r>
              <w:rPr>
                <w:b w:val="0"/>
                <w:iCs/>
                <w:caps w:val="0"/>
              </w:rPr>
              <w:t>Conclusion générale</w:t>
            </w:r>
            <w:r>
              <w:rPr>
                <w:b w:val="0"/>
                <w:iCs/>
              </w:rPr>
              <w:t xml:space="preserve"> </w:t>
            </w:r>
          </w:p>
        </w:tc>
        <w:tc>
          <w:tcPr>
            <w:tcW w:w="816" w:type="dxa"/>
            <w:tcBorders>
              <w:top w:val="single" w:sz="4" w:space="0" w:color="auto"/>
              <w:left w:val="single" w:sz="4" w:space="0" w:color="auto"/>
              <w:bottom w:val="single" w:sz="4" w:space="0" w:color="auto"/>
              <w:right w:val="single" w:sz="4" w:space="0" w:color="auto"/>
            </w:tcBorders>
            <w:vAlign w:val="center"/>
            <w:hideMark/>
          </w:tcPr>
          <w:p w14:paraId="6CFF0B65"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162</w:t>
            </w:r>
          </w:p>
        </w:tc>
      </w:tr>
      <w:tr w:rsidR="008862C7" w14:paraId="13169AE0"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33739B27"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513F3BE" w14:textId="77777777" w:rsidR="008862C7" w:rsidRDefault="008862C7">
            <w:pPr>
              <w:pStyle w:val="TM1"/>
              <w:spacing w:after="0"/>
              <w:rPr>
                <w:b w:val="0"/>
              </w:rPr>
            </w:pPr>
            <w:r>
              <w:rPr>
                <w:b w:val="0"/>
                <w:iCs/>
                <w:caps w:val="0"/>
              </w:rPr>
              <w:t>Bibliographie</w:t>
            </w:r>
            <w:r>
              <w:rPr>
                <w:b w:val="0"/>
                <w:iCs/>
              </w:rPr>
              <w:t xml:space="preserve"> </w:t>
            </w:r>
            <w:r>
              <w:rPr>
                <w:b w:val="0"/>
                <w:iCs/>
              </w:rPr>
              <w:fldChar w:fldCharType="begin"/>
            </w:r>
            <w:r>
              <w:rPr>
                <w:b w:val="0"/>
                <w:iCs/>
              </w:rPr>
              <w:instrText xml:space="preserve"> TOC \o \h \z \u </w:instrText>
            </w:r>
            <w:r>
              <w:rPr>
                <w:b w:val="0"/>
                <w:iCs/>
              </w:rPr>
              <w:fldChar w:fldCharType="end"/>
            </w:r>
          </w:p>
        </w:tc>
        <w:tc>
          <w:tcPr>
            <w:tcW w:w="816" w:type="dxa"/>
            <w:tcBorders>
              <w:top w:val="single" w:sz="4" w:space="0" w:color="auto"/>
              <w:left w:val="single" w:sz="4" w:space="0" w:color="auto"/>
              <w:bottom w:val="single" w:sz="4" w:space="0" w:color="auto"/>
              <w:right w:val="single" w:sz="4" w:space="0" w:color="auto"/>
            </w:tcBorders>
            <w:vAlign w:val="center"/>
            <w:hideMark/>
          </w:tcPr>
          <w:p w14:paraId="197AB24B"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167</w:t>
            </w:r>
          </w:p>
        </w:tc>
      </w:tr>
      <w:tr w:rsidR="008862C7" w14:paraId="66EABD9E" w14:textId="77777777" w:rsidTr="008862C7">
        <w:tc>
          <w:tcPr>
            <w:tcW w:w="1384" w:type="dxa"/>
            <w:tcBorders>
              <w:top w:val="single" w:sz="4" w:space="0" w:color="auto"/>
              <w:left w:val="single" w:sz="4" w:space="0" w:color="auto"/>
              <w:bottom w:val="single" w:sz="4" w:space="0" w:color="auto"/>
              <w:right w:val="single" w:sz="4" w:space="0" w:color="auto"/>
            </w:tcBorders>
            <w:vAlign w:val="center"/>
          </w:tcPr>
          <w:p w14:paraId="65403C9E" w14:textId="77777777" w:rsidR="008862C7" w:rsidRDefault="008862C7">
            <w:pPr>
              <w:tabs>
                <w:tab w:val="left" w:pos="708"/>
              </w:tabs>
              <w:spacing w:after="0" w:line="276" w:lineRule="auto"/>
              <w:rPr>
                <w:rFonts w:ascii="Arial" w:eastAsia="Times New Roman" w:hAnsi="Arial" w:cs="Arial"/>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C6270E8" w14:textId="77777777" w:rsidR="008862C7" w:rsidRDefault="008862C7">
            <w:pPr>
              <w:pStyle w:val="TM1"/>
              <w:spacing w:after="0"/>
              <w:rPr>
                <w:b w:val="0"/>
              </w:rPr>
            </w:pPr>
            <w:r>
              <w:rPr>
                <w:b w:val="0"/>
                <w:caps w:val="0"/>
              </w:rPr>
              <w:t>Annexes</w:t>
            </w:r>
          </w:p>
        </w:tc>
        <w:tc>
          <w:tcPr>
            <w:tcW w:w="816" w:type="dxa"/>
            <w:tcBorders>
              <w:top w:val="single" w:sz="4" w:space="0" w:color="auto"/>
              <w:left w:val="single" w:sz="4" w:space="0" w:color="auto"/>
              <w:bottom w:val="single" w:sz="4" w:space="0" w:color="auto"/>
              <w:right w:val="single" w:sz="4" w:space="0" w:color="auto"/>
            </w:tcBorders>
            <w:vAlign w:val="center"/>
            <w:hideMark/>
          </w:tcPr>
          <w:p w14:paraId="1792699F" w14:textId="77777777" w:rsidR="008862C7" w:rsidRDefault="008862C7">
            <w:pPr>
              <w:tabs>
                <w:tab w:val="left" w:pos="708"/>
              </w:tabs>
              <w:spacing w:after="0" w:line="276" w:lineRule="auto"/>
              <w:jc w:val="center"/>
              <w:rPr>
                <w:rFonts w:ascii="Arial" w:eastAsia="Times New Roman" w:hAnsi="Arial" w:cs="Arial"/>
                <w:sz w:val="24"/>
                <w:szCs w:val="24"/>
              </w:rPr>
            </w:pPr>
            <w:r>
              <w:rPr>
                <w:rFonts w:ascii="Arial" w:hAnsi="Arial" w:cs="Arial"/>
                <w:sz w:val="24"/>
                <w:szCs w:val="24"/>
              </w:rPr>
              <w:t>174</w:t>
            </w:r>
          </w:p>
        </w:tc>
      </w:tr>
    </w:tbl>
    <w:p w14:paraId="567953D4" w14:textId="77777777" w:rsidR="008862C7" w:rsidRDefault="008862C7" w:rsidP="008862C7">
      <w:pPr>
        <w:spacing w:line="360" w:lineRule="auto"/>
        <w:jc w:val="center"/>
        <w:rPr>
          <w:rFonts w:ascii="Arial" w:eastAsia="Times New Roman" w:hAnsi="Arial" w:cs="Arial"/>
          <w:b/>
          <w:sz w:val="24"/>
          <w:szCs w:val="24"/>
        </w:rPr>
      </w:pPr>
    </w:p>
    <w:p w14:paraId="0791C868" w14:textId="77777777" w:rsidR="008862C7" w:rsidRDefault="008862C7" w:rsidP="008862C7">
      <w:pPr>
        <w:spacing w:line="360" w:lineRule="auto"/>
        <w:jc w:val="center"/>
        <w:rPr>
          <w:rFonts w:ascii="Arial" w:hAnsi="Arial" w:cs="Arial"/>
          <w:b/>
          <w:sz w:val="24"/>
          <w:szCs w:val="24"/>
        </w:rPr>
      </w:pPr>
    </w:p>
    <w:p w14:paraId="7EC1EFD4" w14:textId="77777777" w:rsidR="008862C7" w:rsidRDefault="008862C7" w:rsidP="008862C7">
      <w:pPr>
        <w:spacing w:line="360" w:lineRule="auto"/>
        <w:jc w:val="center"/>
        <w:rPr>
          <w:rFonts w:ascii="Arial" w:hAnsi="Arial" w:cs="Arial"/>
          <w:b/>
          <w:sz w:val="24"/>
          <w:szCs w:val="24"/>
        </w:rPr>
      </w:pPr>
      <w:r>
        <w:rPr>
          <w:rFonts w:ascii="Arial" w:hAnsi="Arial" w:cs="Arial"/>
          <w:b/>
          <w:sz w:val="24"/>
          <w:szCs w:val="24"/>
        </w:rPr>
        <w:lastRenderedPageBreak/>
        <w:t>LISTE DES SIGLES ET ABREVIATIONS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477"/>
      </w:tblGrid>
      <w:tr w:rsidR="008862C7" w14:paraId="07316DFC" w14:textId="77777777" w:rsidTr="008862C7">
        <w:tc>
          <w:tcPr>
            <w:tcW w:w="180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11AA51A" w14:textId="77777777" w:rsidR="008862C7" w:rsidRDefault="008862C7">
            <w:pPr>
              <w:tabs>
                <w:tab w:val="left" w:pos="708"/>
              </w:tabs>
              <w:spacing w:after="0" w:line="360" w:lineRule="auto"/>
              <w:jc w:val="center"/>
              <w:rPr>
                <w:rFonts w:ascii="Arial" w:eastAsia="Times New Roman" w:hAnsi="Arial" w:cs="Arial"/>
                <w:sz w:val="24"/>
                <w:szCs w:val="24"/>
              </w:rPr>
            </w:pPr>
            <w:r>
              <w:rPr>
                <w:rFonts w:ascii="Arial" w:hAnsi="Arial" w:cs="Arial"/>
                <w:sz w:val="24"/>
                <w:szCs w:val="24"/>
              </w:rPr>
              <w:t>SIGLES</w:t>
            </w:r>
          </w:p>
        </w:tc>
        <w:tc>
          <w:tcPr>
            <w:tcW w:w="747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63CD7D9" w14:textId="77777777" w:rsidR="008862C7" w:rsidRDefault="008862C7">
            <w:pPr>
              <w:tabs>
                <w:tab w:val="left" w:pos="708"/>
              </w:tabs>
              <w:spacing w:after="0" w:line="360" w:lineRule="auto"/>
              <w:jc w:val="center"/>
              <w:rPr>
                <w:rFonts w:ascii="Arial" w:eastAsia="Times New Roman" w:hAnsi="Arial" w:cs="Arial"/>
                <w:sz w:val="24"/>
                <w:szCs w:val="24"/>
              </w:rPr>
            </w:pPr>
            <w:r>
              <w:rPr>
                <w:rFonts w:ascii="Arial" w:hAnsi="Arial" w:cs="Arial"/>
                <w:sz w:val="24"/>
                <w:szCs w:val="24"/>
              </w:rPr>
              <w:t>SIGNIFICATION</w:t>
            </w:r>
          </w:p>
        </w:tc>
      </w:tr>
      <w:tr w:rsidR="008862C7" w14:paraId="77761C5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E55215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ACA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2EC89F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Association des Cotonculteurs d’Afrique</w:t>
            </w:r>
          </w:p>
        </w:tc>
      </w:tr>
      <w:tr w:rsidR="008862C7" w14:paraId="583D71D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9299A8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ACDA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C1B23E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Agence Centrafricain de Développement Agricole</w:t>
            </w:r>
          </w:p>
        </w:tc>
      </w:tr>
      <w:tr w:rsidR="008862C7" w14:paraId="05991AD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844466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ACR</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E4DB15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Avantage Comparatif Révélé </w:t>
            </w:r>
          </w:p>
        </w:tc>
      </w:tr>
      <w:tr w:rsidR="008862C7" w14:paraId="1E666D5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DA87C68" w14:textId="77777777" w:rsidR="008862C7" w:rsidRDefault="008862C7">
            <w:pPr>
              <w:tabs>
                <w:tab w:val="left" w:pos="708"/>
              </w:tabs>
              <w:spacing w:after="0" w:line="360" w:lineRule="auto"/>
              <w:rPr>
                <w:rFonts w:ascii="Arial" w:eastAsia="Times New Roman" w:hAnsi="Arial" w:cs="Arial"/>
                <w:sz w:val="24"/>
                <w:szCs w:val="24"/>
              </w:rPr>
            </w:pPr>
            <w:r>
              <w:rPr>
                <w:rFonts w:ascii="Arial" w:eastAsia="MS PMincho" w:hAnsi="Arial" w:cs="Arial"/>
                <w:sz w:val="24"/>
                <w:szCs w:val="24"/>
              </w:rPr>
              <w:t>AFD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3B97FB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Agence Française de Développement </w:t>
            </w:r>
          </w:p>
        </w:tc>
      </w:tr>
      <w:tr w:rsidR="008862C7" w14:paraId="036D79C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A7CBFB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AOC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ED318D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Afrique de l’Ouest et du Centre</w:t>
            </w:r>
          </w:p>
        </w:tc>
      </w:tr>
      <w:tr w:rsidR="008862C7" w14:paraId="48B85D00"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9E68B3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BARC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C77530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Bureau d’Affrètement Routier Centrafricain </w:t>
            </w:r>
          </w:p>
        </w:tc>
      </w:tr>
      <w:tr w:rsidR="008862C7" w14:paraId="204B913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3D4AAB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BEAC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0A5B632" w14:textId="77777777" w:rsidR="008862C7" w:rsidRDefault="008862C7">
            <w:pPr>
              <w:pStyle w:val="Standard"/>
              <w:spacing w:after="0" w:line="360" w:lineRule="auto"/>
              <w:rPr>
                <w:rFonts w:ascii="Arial" w:hAnsi="Arial" w:cs="Arial"/>
              </w:rPr>
            </w:pPr>
            <w:r>
              <w:rPr>
                <w:rFonts w:ascii="Arial" w:hAnsi="Arial" w:cs="Arial"/>
              </w:rPr>
              <w:t xml:space="preserve">Banque des Etats de l’Afrique Centrale </w:t>
            </w:r>
          </w:p>
        </w:tc>
      </w:tr>
      <w:tr w:rsidR="008862C7" w14:paraId="446CDF0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E0E473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BCEAO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4CFD6B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Banque des Etats de l’Afrique de l’Ouest </w:t>
            </w:r>
          </w:p>
        </w:tc>
      </w:tr>
      <w:tr w:rsidR="008862C7" w14:paraId="54D05C3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FB40FD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CAF</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9D17DB5" w14:textId="77777777" w:rsidR="008862C7" w:rsidRDefault="008862C7">
            <w:pPr>
              <w:pStyle w:val="Standard"/>
              <w:spacing w:after="0" w:line="360" w:lineRule="auto"/>
              <w:rPr>
                <w:rFonts w:ascii="Arial" w:hAnsi="Arial" w:cs="Arial"/>
              </w:rPr>
            </w:pPr>
            <w:r>
              <w:rPr>
                <w:rFonts w:ascii="Arial" w:hAnsi="Arial" w:cs="Arial"/>
              </w:rPr>
              <w:t xml:space="preserve">Coût-Assurance-Fret </w:t>
            </w:r>
          </w:p>
        </w:tc>
      </w:tr>
      <w:tr w:rsidR="008862C7" w14:paraId="16374756"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86EDDE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CCI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043058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Centre de Commerce International  </w:t>
            </w:r>
          </w:p>
        </w:tc>
      </w:tr>
      <w:tr w:rsidR="008862C7" w14:paraId="3F5C5BF6"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1B8726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CC</w:t>
            </w:r>
            <w:r>
              <w:rPr>
                <w:rFonts w:ascii="Arial" w:hAnsi="Arial" w:cs="Arial"/>
                <w:spacing w:val="1"/>
                <w:sz w:val="24"/>
                <w:szCs w:val="24"/>
              </w:rPr>
              <w:t>I</w:t>
            </w:r>
            <w:r>
              <w:rPr>
                <w:rFonts w:ascii="Arial" w:hAnsi="Arial" w:cs="Arial"/>
                <w:sz w:val="24"/>
                <w:szCs w:val="24"/>
              </w:rPr>
              <w:t>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C0AA4AC" w14:textId="77777777" w:rsidR="008862C7" w:rsidRDefault="008862C7">
            <w:pPr>
              <w:tabs>
                <w:tab w:val="left" w:pos="3539"/>
              </w:tabs>
              <w:spacing w:after="0" w:line="360" w:lineRule="auto"/>
              <w:rPr>
                <w:rFonts w:ascii="Arial" w:eastAsia="Times New Roman" w:hAnsi="Arial" w:cs="Arial"/>
                <w:sz w:val="24"/>
                <w:szCs w:val="24"/>
              </w:rPr>
            </w:pPr>
            <w:r>
              <w:rPr>
                <w:rFonts w:ascii="Arial" w:hAnsi="Arial" w:cs="Arial"/>
                <w:sz w:val="24"/>
                <w:szCs w:val="24"/>
              </w:rPr>
              <w:t>Comité Consultatif International du Coton</w:t>
            </w:r>
          </w:p>
        </w:tc>
      </w:tr>
      <w:tr w:rsidR="008862C7" w14:paraId="70F5D47B"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540C16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CEMAC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048B934" w14:textId="77777777" w:rsidR="008862C7" w:rsidRDefault="008862C7">
            <w:pPr>
              <w:tabs>
                <w:tab w:val="left" w:pos="3539"/>
              </w:tabs>
              <w:spacing w:after="0" w:line="360" w:lineRule="auto"/>
              <w:rPr>
                <w:rFonts w:ascii="Arial" w:eastAsia="Times New Roman" w:hAnsi="Arial" w:cs="Arial"/>
                <w:sz w:val="24"/>
                <w:szCs w:val="24"/>
              </w:rPr>
            </w:pPr>
            <w:r>
              <w:rPr>
                <w:rFonts w:ascii="Arial" w:hAnsi="Arial" w:cs="Arial"/>
                <w:sz w:val="24"/>
                <w:szCs w:val="24"/>
              </w:rPr>
              <w:t>Communauté Economique et Monétaire de l’Afrique Centrale</w:t>
            </w:r>
          </w:p>
        </w:tc>
      </w:tr>
      <w:tr w:rsidR="008862C7" w14:paraId="6F57A60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1E575A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CEA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ADF9B5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Commission Economique pour l’Afrique</w:t>
            </w:r>
          </w:p>
        </w:tc>
      </w:tr>
      <w:tr w:rsidR="008862C7" w14:paraId="4BC7645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08A69B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CEE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9054F7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rPr>
              <w:t>Communauté Economique Européenne</w:t>
            </w:r>
          </w:p>
        </w:tc>
      </w:tr>
      <w:tr w:rsidR="008862C7" w14:paraId="630D20E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B61806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CENUCED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688A42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shd w:val="clear" w:color="auto" w:fill="FFFFFF"/>
              </w:rPr>
              <w:t>Conférence des Nations Unies sur le Commerce et le Développement</w:t>
            </w:r>
          </w:p>
        </w:tc>
      </w:tr>
      <w:tr w:rsidR="008862C7" w14:paraId="51A2906B"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9B3865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rPr>
              <w:t xml:space="preserve">CEPII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734DA2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shd w:val="clear" w:color="auto" w:fill="FFFFFF"/>
              </w:rPr>
              <w:t>Centre d’Etudes Prospectives et d’Informations Internationales</w:t>
            </w:r>
          </w:p>
        </w:tc>
      </w:tr>
      <w:tr w:rsidR="008862C7" w14:paraId="130B2235"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48B28D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CFDT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9A9D2D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Compagnie Française de Développement du Textile  </w:t>
            </w:r>
          </w:p>
        </w:tc>
      </w:tr>
      <w:tr w:rsidR="008862C7" w14:paraId="04710FDA"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D2C0E6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CF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E30E29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Coton Fibre </w:t>
            </w:r>
          </w:p>
        </w:tc>
      </w:tr>
      <w:tr w:rsidR="008862C7" w14:paraId="37BEBB9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079C7A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CG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AEC567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Coton Graine</w:t>
            </w:r>
          </w:p>
        </w:tc>
      </w:tr>
      <w:tr w:rsidR="008862C7" w14:paraId="7593A50B"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B2EC441" w14:textId="77777777" w:rsidR="008862C7" w:rsidRDefault="008862C7">
            <w:pPr>
              <w:tabs>
                <w:tab w:val="left" w:pos="708"/>
              </w:tabs>
              <w:spacing w:after="0" w:line="360" w:lineRule="auto"/>
              <w:rPr>
                <w:rFonts w:ascii="Arial" w:eastAsia="Times New Roman" w:hAnsi="Arial" w:cs="Arial"/>
                <w:sz w:val="24"/>
                <w:szCs w:val="24"/>
              </w:rPr>
            </w:pPr>
            <w:r>
              <w:rPr>
                <w:rFonts w:ascii="Arial" w:eastAsia="MS PMincho" w:hAnsi="Arial" w:cs="Arial"/>
                <w:sz w:val="24"/>
                <w:szCs w:val="24"/>
              </w:rPr>
              <w:t>CIHEAM</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C2BC0E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shd w:val="clear" w:color="auto" w:fill="FFFFFF"/>
              </w:rPr>
              <w:t>Centre International de Hautes Etudes Agronomiques Méditerranéennes</w:t>
            </w:r>
          </w:p>
        </w:tc>
      </w:tr>
      <w:tr w:rsidR="008862C7" w14:paraId="40DA755F"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C2F9C5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CIP</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98EA84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shd w:val="clear" w:color="auto" w:fill="FFFFFF"/>
              </w:rPr>
              <w:t>Community Involvement Programs</w:t>
            </w:r>
          </w:p>
        </w:tc>
      </w:tr>
      <w:tr w:rsidR="008862C7" w14:paraId="43AE6BC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7D5A59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CIRAD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A3E50C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shd w:val="clear" w:color="auto" w:fill="FFFFFF"/>
              </w:rPr>
              <w:t>Centre de Coopération Internationale en Recherche Agronomique pour le Développement</w:t>
            </w:r>
          </w:p>
        </w:tc>
      </w:tr>
      <w:tr w:rsidR="008862C7" w14:paraId="2C973D7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56906F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CM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93CCD2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Coût Moyen </w:t>
            </w:r>
          </w:p>
        </w:tc>
      </w:tr>
      <w:tr w:rsidR="008862C7" w14:paraId="72FC1E68"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11CDDA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COCECOT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B706C6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Compagnie pour la Culture et l’Egrenage du Coton  </w:t>
            </w:r>
          </w:p>
        </w:tc>
      </w:tr>
      <w:tr w:rsidR="008862C7" w14:paraId="57EE8416"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D277E4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COPACO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F25605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Compagnie Cotonnière  </w:t>
            </w:r>
          </w:p>
        </w:tc>
      </w:tr>
      <w:tr w:rsidR="008862C7" w14:paraId="396F6A1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44E11B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Cotlook</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20B600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Cotton Outlook</w:t>
            </w:r>
          </w:p>
        </w:tc>
      </w:tr>
      <w:tr w:rsidR="008862C7" w14:paraId="72231B9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2450EA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COTONAF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E50F06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Cotonnière d’Afrique Francophone </w:t>
            </w:r>
          </w:p>
        </w:tc>
      </w:tr>
      <w:tr w:rsidR="008862C7" w14:paraId="74D468B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7E6A34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lastRenderedPageBreak/>
              <w:t xml:space="preserve">CPP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613E8B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Concurrence Pure et Parfaite </w:t>
            </w:r>
          </w:p>
        </w:tc>
      </w:tr>
      <w:tr w:rsidR="008862C7" w14:paraId="759A05EA"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3C2D8A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CRI</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4FD545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Coût en Ressource Interne</w:t>
            </w:r>
          </w:p>
        </w:tc>
      </w:tr>
      <w:tr w:rsidR="008862C7" w14:paraId="5570CD8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0E1E09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FAO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470C63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Organisation des Nations Unies pour l’Alimentation et l’Agriculture</w:t>
            </w:r>
          </w:p>
        </w:tc>
      </w:tr>
      <w:tr w:rsidR="008862C7" w14:paraId="4525206D"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38A5C1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FCFA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DFB84D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Franc de la Communauté Financière d’Afrique</w:t>
            </w:r>
          </w:p>
        </w:tc>
      </w:tr>
      <w:tr w:rsidR="008862C7" w14:paraId="24D185C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C59BF0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FF</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A0249A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Francs Français</w:t>
            </w:r>
          </w:p>
        </w:tc>
      </w:tr>
      <w:tr w:rsidR="008862C7" w14:paraId="2F7C032F"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5052C6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FMI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2847B5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Fond Monétaire International </w:t>
            </w:r>
          </w:p>
        </w:tc>
      </w:tr>
      <w:tr w:rsidR="008862C7" w14:paraId="03769C70"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392E85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FMN</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5E8EA6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Firme Multinationale</w:t>
            </w:r>
          </w:p>
        </w:tc>
      </w:tr>
      <w:tr w:rsidR="008862C7" w:rsidRPr="00AF344F" w14:paraId="11617E6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85C2EC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rPr>
              <w:t>FOB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37A998E"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Franco à Bord (Free On Board)</w:t>
            </w:r>
          </w:p>
        </w:tc>
      </w:tr>
      <w:tr w:rsidR="008862C7" w14:paraId="58779C0F"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43A260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GATT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5D0DB3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Accord Général sur le Commerce et les Tarifs Douaniers</w:t>
            </w:r>
          </w:p>
        </w:tc>
      </w:tr>
      <w:tr w:rsidR="008862C7" w14:paraId="4495F58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FAAD0A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GIR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71465E5" w14:textId="77777777" w:rsidR="008862C7" w:rsidRDefault="008862C7">
            <w:pPr>
              <w:tabs>
                <w:tab w:val="left" w:pos="3539"/>
              </w:tabs>
              <w:spacing w:after="0" w:line="360" w:lineRule="auto"/>
              <w:rPr>
                <w:rFonts w:ascii="Arial" w:eastAsia="Times New Roman" w:hAnsi="Arial" w:cs="Arial"/>
                <w:sz w:val="24"/>
                <w:szCs w:val="24"/>
              </w:rPr>
            </w:pPr>
            <w:r>
              <w:rPr>
                <w:rFonts w:ascii="Arial" w:hAnsi="Arial" w:cs="Arial"/>
                <w:sz w:val="24"/>
                <w:szCs w:val="24"/>
              </w:rPr>
              <w:t>Groupement d’Intérêt Ruraux</w:t>
            </w:r>
          </w:p>
        </w:tc>
      </w:tr>
      <w:tr w:rsidR="008862C7" w14:paraId="5CF34CB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7F8449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GTC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A6CD9F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Groupement des Transporteurs Centrafricain</w:t>
            </w:r>
          </w:p>
        </w:tc>
      </w:tr>
      <w:tr w:rsidR="008862C7" w14:paraId="48F339B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CD232A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rPr>
              <w:t>Ha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6EF649A"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rPr>
              <w:t xml:space="preserve"> </w:t>
            </w:r>
            <w:r>
              <w:rPr>
                <w:rFonts w:ascii="Arial" w:hAnsi="Arial" w:cs="Arial"/>
                <w:sz w:val="24"/>
                <w:szCs w:val="24"/>
                <w:lang w:val="en-US"/>
              </w:rPr>
              <w:t>Hectare</w:t>
            </w:r>
          </w:p>
        </w:tc>
      </w:tr>
      <w:tr w:rsidR="008862C7" w14:paraId="0ECBB6A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5F91BA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bidi="he-IL"/>
              </w:rPr>
              <w:t>HOS</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0A6EC80" w14:textId="77777777" w:rsidR="008862C7" w:rsidRDefault="008862C7">
            <w:pPr>
              <w:tabs>
                <w:tab w:val="left" w:pos="708"/>
              </w:tabs>
              <w:spacing w:after="0" w:line="360" w:lineRule="auto"/>
              <w:rPr>
                <w:rFonts w:ascii="Arial" w:eastAsia="Times New Roman" w:hAnsi="Arial" w:cs="Arial"/>
                <w:sz w:val="24"/>
                <w:szCs w:val="24"/>
                <w:lang w:val="en-US" w:bidi="he-IL"/>
              </w:rPr>
            </w:pPr>
            <w:r>
              <w:rPr>
                <w:rFonts w:ascii="Arial" w:hAnsi="Arial" w:cs="Arial"/>
                <w:sz w:val="24"/>
                <w:szCs w:val="24"/>
                <w:lang w:val="en-US" w:bidi="he-IL"/>
              </w:rPr>
              <w:t xml:space="preserve">Heckcher-Ohlin-Samuelson </w:t>
            </w:r>
          </w:p>
        </w:tc>
      </w:tr>
      <w:tr w:rsidR="008862C7" w14:paraId="5DB3B43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82A06F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pacing w:val="1"/>
                <w:sz w:val="24"/>
                <w:szCs w:val="24"/>
              </w:rPr>
              <w:t>ICAC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F593E3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International Comity Advisory Cotton</w:t>
            </w:r>
          </w:p>
        </w:tc>
      </w:tr>
      <w:tr w:rsidR="008862C7" w14:paraId="069D887B"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214A63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ICASEES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D38C9AA" w14:textId="77777777" w:rsidR="008862C7" w:rsidRDefault="008862C7">
            <w:pPr>
              <w:tabs>
                <w:tab w:val="left" w:pos="708"/>
              </w:tabs>
              <w:spacing w:after="0" w:line="360" w:lineRule="auto"/>
              <w:rPr>
                <w:rFonts w:ascii="Arial" w:eastAsia="Times New Roman" w:hAnsi="Arial" w:cs="Arial"/>
                <w:sz w:val="24"/>
                <w:szCs w:val="24"/>
                <w:lang w:bidi="he-IL"/>
              </w:rPr>
            </w:pPr>
            <w:r>
              <w:rPr>
                <w:rFonts w:ascii="Arial" w:hAnsi="Arial" w:cs="Arial"/>
                <w:sz w:val="24"/>
                <w:szCs w:val="24"/>
              </w:rPr>
              <w:t xml:space="preserve">Institut Centrafricain de Statistiques et des Etudes Economiques et Sociales  </w:t>
            </w:r>
          </w:p>
        </w:tc>
      </w:tr>
      <w:tr w:rsidR="008862C7" w14:paraId="2E9B83F0"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48984C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ICE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AB721E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shd w:val="clear" w:color="auto" w:fill="FFFFFF"/>
              </w:rPr>
              <w:t>Intercontinental Exchange</w:t>
            </w:r>
          </w:p>
        </w:tc>
      </w:tr>
      <w:tr w:rsidR="008862C7" w14:paraId="664227B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F2167C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ICRA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F98069A"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Institut Centrafricain de la Recherche Agronomique</w:t>
            </w:r>
          </w:p>
        </w:tc>
      </w:tr>
      <w:tr w:rsidR="008862C7" w14:paraId="5A3D9EC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2F9CB2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IDE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3F2874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Investissement Direct Etranger</w:t>
            </w:r>
          </w:p>
        </w:tc>
      </w:tr>
      <w:tr w:rsidR="008862C7" w14:paraId="6C2B676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900A07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ISO</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818D83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shd w:val="clear" w:color="auto" w:fill="FFFFFF"/>
              </w:rPr>
              <w:t>International Standard Organization</w:t>
            </w:r>
          </w:p>
        </w:tc>
      </w:tr>
      <w:tr w:rsidR="008862C7" w14:paraId="6BCF1D47"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82BE2A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Kg</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6A38FC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kilogramme </w:t>
            </w:r>
          </w:p>
        </w:tc>
      </w:tr>
      <w:tr w:rsidR="008862C7" w14:paraId="12FBD7B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3A32D2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Km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607C42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Kilomètre </w:t>
            </w:r>
          </w:p>
        </w:tc>
      </w:tr>
      <w:tr w:rsidR="008862C7" w14:paraId="7C373E4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2905EE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LE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794A2D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Libre-échange </w:t>
            </w:r>
          </w:p>
        </w:tc>
      </w:tr>
      <w:tr w:rsidR="008862C7" w14:paraId="6711B16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E5C605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MAG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8E9A95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Marché Autogéré</w:t>
            </w:r>
          </w:p>
        </w:tc>
      </w:tr>
      <w:tr w:rsidR="008862C7" w14:paraId="37201D0D"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CCF13C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pacing w:val="1"/>
                <w:sz w:val="24"/>
                <w:szCs w:val="24"/>
              </w:rPr>
              <w:t>M</w:t>
            </w:r>
            <w:r>
              <w:rPr>
                <w:rFonts w:ascii="Arial" w:hAnsi="Arial" w:cs="Arial"/>
                <w:sz w:val="24"/>
                <w:szCs w:val="24"/>
              </w:rPr>
              <w:t>AP</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F37B4C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Matrice d’Analyse des Politiques</w:t>
            </w:r>
          </w:p>
        </w:tc>
      </w:tr>
      <w:tr w:rsidR="008862C7" w14:paraId="4F4983F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60749DF" w14:textId="77777777" w:rsidR="008862C7" w:rsidRDefault="008862C7">
            <w:pPr>
              <w:tabs>
                <w:tab w:val="left" w:pos="708"/>
              </w:tabs>
              <w:spacing w:after="0" w:line="360" w:lineRule="auto"/>
              <w:rPr>
                <w:rFonts w:ascii="Arial" w:eastAsia="Times New Roman" w:hAnsi="Arial" w:cs="Arial"/>
                <w:sz w:val="24"/>
                <w:szCs w:val="24"/>
              </w:rPr>
            </w:pPr>
            <w:r>
              <w:rPr>
                <w:rFonts w:ascii="Arial" w:eastAsia="Arial" w:hAnsi="Arial" w:cs="Arial"/>
                <w:sz w:val="24"/>
                <w:szCs w:val="24"/>
              </w:rPr>
              <w:t>MPC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0A9DB29" w14:textId="77777777" w:rsidR="008862C7" w:rsidRDefault="008862C7">
            <w:pPr>
              <w:tabs>
                <w:tab w:val="left" w:pos="708"/>
              </w:tabs>
              <w:spacing w:after="0" w:line="360" w:lineRule="auto"/>
              <w:rPr>
                <w:rFonts w:ascii="Arial" w:eastAsia="Times New Roman" w:hAnsi="Arial" w:cs="Arial"/>
                <w:sz w:val="24"/>
                <w:szCs w:val="24"/>
              </w:rPr>
            </w:pPr>
            <w:r>
              <w:rPr>
                <w:rFonts w:ascii="Arial" w:eastAsia="Arial" w:hAnsi="Arial" w:cs="Arial"/>
                <w:sz w:val="24"/>
                <w:szCs w:val="24"/>
              </w:rPr>
              <w:t xml:space="preserve">Marché Parfaitement Compétitif </w:t>
            </w:r>
          </w:p>
        </w:tc>
      </w:tr>
      <w:tr w:rsidR="008862C7" w:rsidRPr="00AF344F" w14:paraId="4E8B25E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25987C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rPr>
              <w:t xml:space="preserve">NYBOT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FBADBB2"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 xml:space="preserve">New-York Board of trade  </w:t>
            </w:r>
          </w:p>
        </w:tc>
      </w:tr>
      <w:tr w:rsidR="008862C7" w14:paraId="1F4D0B87"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B3A4B3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rPr>
              <w:t xml:space="preserve">NYCE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6644238"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New- York Cotton Exchange</w:t>
            </w:r>
          </w:p>
        </w:tc>
      </w:tr>
      <w:tr w:rsidR="008862C7" w14:paraId="1BA653A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9C001D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OCDE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612D5F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Organisation de Coopération et de Développement Economique </w:t>
            </w:r>
          </w:p>
        </w:tc>
      </w:tr>
      <w:tr w:rsidR="008862C7" w14:paraId="101F58C8"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6E4AE2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OMC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DF9B84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Organisation Mondiale du Commerce </w:t>
            </w:r>
          </w:p>
        </w:tc>
      </w:tr>
      <w:tr w:rsidR="008862C7" w14:paraId="58BBA047"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D9DB41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ONU</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612C27A"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Organisation des Nations Unies</w:t>
            </w:r>
          </w:p>
        </w:tc>
      </w:tr>
      <w:tr w:rsidR="008862C7" w14:paraId="7B078B8D"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100BB7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bCs/>
                <w:sz w:val="24"/>
                <w:szCs w:val="24"/>
              </w:rPr>
              <w:t>OSCE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4242E0E" w14:textId="77777777" w:rsidR="008862C7" w:rsidRDefault="008862C7">
            <w:pPr>
              <w:shd w:val="clear" w:color="auto" w:fill="FFFFFF"/>
              <w:tabs>
                <w:tab w:val="left" w:pos="708"/>
              </w:tabs>
              <w:spacing w:before="100" w:beforeAutospacing="1" w:after="0" w:line="360" w:lineRule="auto"/>
              <w:rPr>
                <w:rFonts w:ascii="Arial" w:eastAsia="Times New Roman" w:hAnsi="Arial" w:cs="Arial"/>
                <w:bCs/>
                <w:sz w:val="24"/>
                <w:szCs w:val="24"/>
              </w:rPr>
            </w:pPr>
            <w:r>
              <w:rPr>
                <w:rFonts w:ascii="Arial" w:hAnsi="Arial" w:cs="Arial"/>
                <w:bCs/>
                <w:sz w:val="24"/>
                <w:szCs w:val="24"/>
              </w:rPr>
              <w:t>Organisation de Sécurité et de Coopération en Europe</w:t>
            </w:r>
          </w:p>
        </w:tc>
      </w:tr>
      <w:tr w:rsidR="008862C7" w14:paraId="03CEA09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B81907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OP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49002F7" w14:textId="77777777" w:rsidR="008862C7" w:rsidRDefault="008862C7">
            <w:pPr>
              <w:tabs>
                <w:tab w:val="left" w:pos="3539"/>
              </w:tabs>
              <w:spacing w:after="0" w:line="360" w:lineRule="auto"/>
              <w:rPr>
                <w:rFonts w:ascii="Arial" w:eastAsia="Times New Roman" w:hAnsi="Arial" w:cs="Arial"/>
                <w:sz w:val="24"/>
                <w:szCs w:val="24"/>
              </w:rPr>
            </w:pPr>
            <w:r>
              <w:rPr>
                <w:rFonts w:ascii="Arial" w:hAnsi="Arial" w:cs="Arial"/>
                <w:sz w:val="24"/>
                <w:szCs w:val="24"/>
              </w:rPr>
              <w:t xml:space="preserve">Organisations Paysannes </w:t>
            </w:r>
          </w:p>
        </w:tc>
      </w:tr>
      <w:tr w:rsidR="008862C7" w14:paraId="20BBD9C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8F27E3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lastRenderedPageBreak/>
              <w:t>PAS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9DFFB6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Programme d’Ajustement Structurel </w:t>
            </w:r>
          </w:p>
        </w:tc>
      </w:tr>
      <w:tr w:rsidR="008862C7" w14:paraId="2EBA880A"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19EBF2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PFS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218DBF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Prix des Fibres Synthétiques</w:t>
            </w:r>
          </w:p>
        </w:tc>
      </w:tr>
      <w:tr w:rsidR="008862C7" w14:paraId="35CAE00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501B92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PM</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E28FEF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Part de Marché</w:t>
            </w:r>
          </w:p>
        </w:tc>
      </w:tr>
      <w:tr w:rsidR="008862C7" w14:paraId="3B84BF3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300C49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PMC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F834F4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Prix Mondial du Coton</w:t>
            </w:r>
          </w:p>
        </w:tc>
      </w:tr>
      <w:tr w:rsidR="008862C7" w14:paraId="39F96BDA"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EA78C5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PMM</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CBF179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Part du Marché Mondial</w:t>
            </w:r>
          </w:p>
        </w:tc>
      </w:tr>
      <w:tr w:rsidR="008862C7" w14:paraId="2A164E6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0AB5C2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PNUD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8FBAC8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Programme des Nations Unies pour le Développement   </w:t>
            </w:r>
          </w:p>
        </w:tc>
      </w:tr>
      <w:tr w:rsidR="008862C7" w14:paraId="5EAABC29"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4CB527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PED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728434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Pays En Développement </w:t>
            </w:r>
          </w:p>
        </w:tc>
      </w:tr>
      <w:tr w:rsidR="008862C7" w14:paraId="74896F3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7014CF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PRASAC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7F31C16" w14:textId="77777777" w:rsidR="008862C7" w:rsidRDefault="008862C7">
            <w:pPr>
              <w:tabs>
                <w:tab w:val="left" w:pos="708"/>
              </w:tabs>
              <w:spacing w:after="0" w:line="360" w:lineRule="auto"/>
              <w:rPr>
                <w:rFonts w:ascii="Arial" w:eastAsia="Times New Roman" w:hAnsi="Arial" w:cs="Arial"/>
                <w:sz w:val="24"/>
                <w:szCs w:val="24"/>
              </w:rPr>
            </w:pPr>
            <w:r>
              <w:rPr>
                <w:rStyle w:val="apple-converted-space"/>
                <w:shd w:val="clear" w:color="auto" w:fill="FFFFFF"/>
              </w:rPr>
              <w:t> </w:t>
            </w:r>
            <w:r>
              <w:rPr>
                <w:rFonts w:ascii="Arial" w:hAnsi="Arial" w:cs="Arial"/>
                <w:sz w:val="24"/>
                <w:szCs w:val="24"/>
              </w:rPr>
              <w:t>Pô</w:t>
            </w:r>
            <w:r>
              <w:rPr>
                <w:rFonts w:ascii="Arial" w:hAnsi="Arial" w:cs="Arial"/>
                <w:sz w:val="24"/>
                <w:szCs w:val="24"/>
                <w:shd w:val="clear" w:color="auto" w:fill="FFFFFF"/>
              </w:rPr>
              <w:t>le Régional de Recherche Appliquée au Développement des Systèmes Agricoles d'Afrique Centrale</w:t>
            </w:r>
          </w:p>
        </w:tc>
      </w:tr>
      <w:tr w:rsidR="008862C7" w14:paraId="6039CBF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77BF75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RCA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9CD336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République Centrafricaine</w:t>
            </w:r>
          </w:p>
        </w:tc>
      </w:tr>
      <w:tr w:rsidR="008862C7" w14:paraId="646A015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4536D0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RD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F8A36E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Revenu Disponible </w:t>
            </w:r>
          </w:p>
        </w:tc>
      </w:tr>
      <w:tr w:rsidR="008862C7" w14:paraId="6D5935E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51C1EE8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RDC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7E9547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République Démocratique du Congo</w:t>
            </w:r>
          </w:p>
        </w:tc>
      </w:tr>
      <w:tr w:rsidR="008862C7" w14:paraId="58688DA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275203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R&amp;D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261438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Recherche et Développement </w:t>
            </w:r>
          </w:p>
        </w:tc>
      </w:tr>
      <w:tr w:rsidR="008862C7" w14:paraId="77373275"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E0FF47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RN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521A80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Revenu Net</w:t>
            </w:r>
          </w:p>
        </w:tc>
      </w:tr>
      <w:tr w:rsidR="008862C7" w14:paraId="1FAB76B8"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B97BBA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Rdt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705AC3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Rendement</w:t>
            </w:r>
          </w:p>
        </w:tc>
      </w:tr>
      <w:tr w:rsidR="008862C7" w:rsidRPr="00AF344F" w14:paraId="70DA1B2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FF63D0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SDIC</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490C4C8"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shd w:val="clear" w:color="auto" w:fill="FFFFFF"/>
                <w:lang w:val="en-US"/>
              </w:rPr>
              <w:t>State Development and Investment Corporation</w:t>
            </w:r>
          </w:p>
        </w:tc>
      </w:tr>
      <w:tr w:rsidR="008862C7" w14:paraId="2ABF55E2"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A51643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SOFICA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F7D735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Société des Fibres Centrafricain </w:t>
            </w:r>
          </w:p>
        </w:tc>
      </w:tr>
      <w:tr w:rsidR="008862C7" w14:paraId="6F126FC1"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94E813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SOCADA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23BEF03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Société Centrafricaine de Développement Agricole </w:t>
            </w:r>
          </w:p>
        </w:tc>
      </w:tr>
      <w:tr w:rsidR="008862C7" w14:paraId="31A08EA6"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156300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SOCADETEX</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27D728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Société Centrafricaine de Développement de Textile</w:t>
            </w:r>
          </w:p>
        </w:tc>
      </w:tr>
      <w:tr w:rsidR="008862C7" w14:paraId="4FE59573"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778D40B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SOCOCA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0F847C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Société Cotonnière Centrafricaine</w:t>
            </w:r>
          </w:p>
        </w:tc>
      </w:tr>
      <w:tr w:rsidR="008862C7" w14:paraId="6F9E48BE"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35A32A8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STTI</w:t>
            </w:r>
          </w:p>
        </w:tc>
        <w:tc>
          <w:tcPr>
            <w:tcW w:w="7479" w:type="dxa"/>
            <w:tcBorders>
              <w:top w:val="single" w:sz="4" w:space="0" w:color="auto"/>
              <w:left w:val="single" w:sz="4" w:space="0" w:color="auto"/>
              <w:bottom w:val="single" w:sz="4" w:space="0" w:color="auto"/>
              <w:right w:val="single" w:sz="4" w:space="0" w:color="auto"/>
            </w:tcBorders>
            <w:vAlign w:val="center"/>
            <w:hideMark/>
          </w:tcPr>
          <w:p w14:paraId="4FA45D5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Société de Transport et de Transit International </w:t>
            </w:r>
          </w:p>
        </w:tc>
      </w:tr>
      <w:tr w:rsidR="008862C7" w14:paraId="0CC630CD"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659955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UCATEX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55C1F44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Union Centrafricaine de Textile  </w:t>
            </w:r>
          </w:p>
        </w:tc>
      </w:tr>
      <w:tr w:rsidR="008862C7" w14:paraId="08A54194"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A4AE17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UCCA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15B9816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Union Cotonnière Centrafricaine</w:t>
            </w:r>
          </w:p>
        </w:tc>
      </w:tr>
      <w:tr w:rsidR="008862C7" w:rsidRPr="00AF344F" w14:paraId="1DE9600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6D18E5A"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bCs/>
                <w:sz w:val="24"/>
                <w:szCs w:val="24"/>
                <w:lang w:val="en-US"/>
              </w:rPr>
              <w:t>UNCTAD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04EE663" w14:textId="77777777" w:rsidR="008862C7" w:rsidRDefault="008862C7">
            <w:pPr>
              <w:shd w:val="clear" w:color="auto" w:fill="FFFFFF"/>
              <w:tabs>
                <w:tab w:val="left" w:pos="708"/>
              </w:tabs>
              <w:spacing w:before="100" w:beforeAutospacing="1" w:after="0" w:line="360" w:lineRule="auto"/>
              <w:rPr>
                <w:rFonts w:ascii="Arial" w:eastAsia="Times New Roman" w:hAnsi="Arial" w:cs="Arial"/>
                <w:bCs/>
                <w:sz w:val="24"/>
                <w:szCs w:val="24"/>
                <w:lang w:val="en-US"/>
              </w:rPr>
            </w:pPr>
            <w:r>
              <w:rPr>
                <w:rFonts w:ascii="Arial" w:hAnsi="Arial" w:cs="Arial"/>
                <w:bCs/>
                <w:sz w:val="24"/>
                <w:szCs w:val="24"/>
                <w:lang w:val="en-US"/>
              </w:rPr>
              <w:t>United Nations Conference on Trade and Development</w:t>
            </w:r>
          </w:p>
        </w:tc>
      </w:tr>
      <w:tr w:rsidR="008862C7" w14:paraId="20098D4A"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1D167E69"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USA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2FC31A7"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United State of America</w:t>
            </w:r>
          </w:p>
        </w:tc>
      </w:tr>
      <w:tr w:rsidR="008862C7" w14:paraId="1954F040"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297E1D8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lang w:val="en-US"/>
              </w:rPr>
              <w:t>USD</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63EFBF6" w14:textId="77777777" w:rsidR="008862C7" w:rsidRDefault="008862C7">
            <w:pPr>
              <w:tabs>
                <w:tab w:val="left" w:pos="708"/>
              </w:tabs>
              <w:spacing w:after="0" w:line="360" w:lineRule="auto"/>
              <w:rPr>
                <w:rFonts w:ascii="Arial" w:eastAsia="Times New Roman" w:hAnsi="Arial" w:cs="Arial"/>
                <w:sz w:val="24"/>
                <w:szCs w:val="24"/>
                <w:lang w:val="en-US"/>
              </w:rPr>
            </w:pPr>
            <w:r>
              <w:rPr>
                <w:rFonts w:ascii="Arial" w:hAnsi="Arial" w:cs="Arial"/>
                <w:sz w:val="24"/>
                <w:szCs w:val="24"/>
                <w:lang w:val="en-US"/>
              </w:rPr>
              <w:t>United State Dollar</w:t>
            </w:r>
          </w:p>
        </w:tc>
      </w:tr>
      <w:tr w:rsidR="008862C7" w14:paraId="1C501DCF"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A917F9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TCER</w:t>
            </w:r>
          </w:p>
        </w:tc>
        <w:tc>
          <w:tcPr>
            <w:tcW w:w="7479" w:type="dxa"/>
            <w:tcBorders>
              <w:top w:val="single" w:sz="4" w:space="0" w:color="auto"/>
              <w:left w:val="single" w:sz="4" w:space="0" w:color="auto"/>
              <w:bottom w:val="single" w:sz="4" w:space="0" w:color="auto"/>
              <w:right w:val="single" w:sz="4" w:space="0" w:color="auto"/>
            </w:tcBorders>
            <w:vAlign w:val="center"/>
            <w:hideMark/>
          </w:tcPr>
          <w:p w14:paraId="6AD8DAD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Taux de Change Effectif Réel</w:t>
            </w:r>
          </w:p>
        </w:tc>
      </w:tr>
      <w:tr w:rsidR="008862C7" w14:paraId="3F1AFBE6"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48944E9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TE</w:t>
            </w:r>
          </w:p>
        </w:tc>
        <w:tc>
          <w:tcPr>
            <w:tcW w:w="7479" w:type="dxa"/>
            <w:tcBorders>
              <w:top w:val="single" w:sz="4" w:space="0" w:color="auto"/>
              <w:left w:val="single" w:sz="4" w:space="0" w:color="auto"/>
              <w:bottom w:val="single" w:sz="4" w:space="0" w:color="auto"/>
              <w:right w:val="single" w:sz="4" w:space="0" w:color="auto"/>
            </w:tcBorders>
            <w:vAlign w:val="center"/>
            <w:hideMark/>
          </w:tcPr>
          <w:p w14:paraId="7C96C54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Termes de l’Echange</w:t>
            </w:r>
          </w:p>
        </w:tc>
      </w:tr>
      <w:tr w:rsidR="008862C7" w14:paraId="12692BF7"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093E8EE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X° </w:t>
            </w:r>
          </w:p>
        </w:tc>
        <w:tc>
          <w:tcPr>
            <w:tcW w:w="7479" w:type="dxa"/>
            <w:tcBorders>
              <w:top w:val="single" w:sz="4" w:space="0" w:color="auto"/>
              <w:left w:val="single" w:sz="4" w:space="0" w:color="auto"/>
              <w:bottom w:val="single" w:sz="4" w:space="0" w:color="auto"/>
              <w:right w:val="single" w:sz="4" w:space="0" w:color="auto"/>
            </w:tcBorders>
            <w:vAlign w:val="center"/>
            <w:hideMark/>
          </w:tcPr>
          <w:p w14:paraId="3FFE1B4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Exportation</w:t>
            </w:r>
          </w:p>
        </w:tc>
      </w:tr>
      <w:tr w:rsidR="008862C7" w14:paraId="19A7B25C" w14:textId="77777777" w:rsidTr="008862C7">
        <w:tc>
          <w:tcPr>
            <w:tcW w:w="1809" w:type="dxa"/>
            <w:tcBorders>
              <w:top w:val="single" w:sz="4" w:space="0" w:color="auto"/>
              <w:left w:val="single" w:sz="4" w:space="0" w:color="auto"/>
              <w:bottom w:val="single" w:sz="4" w:space="0" w:color="auto"/>
              <w:right w:val="single" w:sz="4" w:space="0" w:color="auto"/>
            </w:tcBorders>
            <w:vAlign w:val="center"/>
            <w:hideMark/>
          </w:tcPr>
          <w:p w14:paraId="67C86CE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ZFA</w:t>
            </w:r>
          </w:p>
        </w:tc>
        <w:tc>
          <w:tcPr>
            <w:tcW w:w="7479" w:type="dxa"/>
            <w:tcBorders>
              <w:top w:val="single" w:sz="4" w:space="0" w:color="auto"/>
              <w:left w:val="single" w:sz="4" w:space="0" w:color="auto"/>
              <w:bottom w:val="single" w:sz="4" w:space="0" w:color="auto"/>
              <w:right w:val="single" w:sz="4" w:space="0" w:color="auto"/>
            </w:tcBorders>
            <w:vAlign w:val="center"/>
            <w:hideMark/>
          </w:tcPr>
          <w:p w14:paraId="0F06F9B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Zone Franc d’Afrique</w:t>
            </w:r>
          </w:p>
        </w:tc>
      </w:tr>
    </w:tbl>
    <w:p w14:paraId="51724013" w14:textId="77777777" w:rsidR="008862C7" w:rsidRDefault="008862C7" w:rsidP="008862C7">
      <w:pPr>
        <w:spacing w:line="360" w:lineRule="auto"/>
        <w:jc w:val="both"/>
        <w:rPr>
          <w:rFonts w:ascii="Arial" w:eastAsia="Times New Roman" w:hAnsi="Arial" w:cs="Arial"/>
          <w:b/>
          <w:sz w:val="24"/>
          <w:szCs w:val="24"/>
        </w:rPr>
      </w:pPr>
    </w:p>
    <w:p w14:paraId="2710EBC6" w14:textId="77777777" w:rsidR="008862C7" w:rsidRDefault="008862C7" w:rsidP="008862C7">
      <w:pPr>
        <w:spacing w:line="360" w:lineRule="auto"/>
        <w:jc w:val="both"/>
        <w:rPr>
          <w:rFonts w:ascii="Arial" w:hAnsi="Arial" w:cs="Arial"/>
          <w:b/>
          <w:sz w:val="24"/>
          <w:szCs w:val="24"/>
        </w:rPr>
      </w:pPr>
    </w:p>
    <w:p w14:paraId="4F31E0B9" w14:textId="77777777" w:rsidR="008862C7" w:rsidRDefault="008862C7" w:rsidP="008862C7">
      <w:pPr>
        <w:spacing w:line="360" w:lineRule="auto"/>
        <w:jc w:val="center"/>
        <w:rPr>
          <w:rFonts w:ascii="Arial" w:hAnsi="Arial" w:cs="Arial"/>
          <w:b/>
          <w:sz w:val="24"/>
          <w:szCs w:val="24"/>
        </w:rPr>
      </w:pPr>
      <w:r>
        <w:rPr>
          <w:rFonts w:ascii="Arial" w:hAnsi="Arial" w:cs="Arial"/>
          <w:b/>
          <w:sz w:val="24"/>
          <w:szCs w:val="24"/>
        </w:rPr>
        <w:lastRenderedPageBreak/>
        <w:t>LISTE DES TABLEAUX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7739"/>
        <w:gridCol w:w="928"/>
      </w:tblGrid>
      <w:tr w:rsidR="008862C7" w14:paraId="684DE89A" w14:textId="77777777" w:rsidTr="008862C7">
        <w:tc>
          <w:tcPr>
            <w:tcW w:w="898"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786F239" w14:textId="77777777" w:rsidR="008862C7" w:rsidRDefault="008862C7">
            <w:pPr>
              <w:tabs>
                <w:tab w:val="left" w:pos="708"/>
              </w:tabs>
              <w:spacing w:after="0" w:line="276" w:lineRule="auto"/>
              <w:jc w:val="center"/>
              <w:rPr>
                <w:rFonts w:ascii="Arial" w:eastAsia="Times New Roman" w:hAnsi="Arial" w:cs="Arial"/>
                <w:b/>
                <w:sz w:val="24"/>
                <w:szCs w:val="24"/>
              </w:rPr>
            </w:pPr>
            <w:r>
              <w:rPr>
                <w:rFonts w:ascii="Arial" w:hAnsi="Arial" w:cs="Arial"/>
                <w:b/>
                <w:sz w:val="24"/>
                <w:szCs w:val="24"/>
              </w:rPr>
              <w:t>Numéro</w:t>
            </w:r>
          </w:p>
        </w:tc>
        <w:tc>
          <w:tcPr>
            <w:tcW w:w="3663"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1F074675" w14:textId="77777777" w:rsidR="008862C7" w:rsidRDefault="008862C7">
            <w:pPr>
              <w:tabs>
                <w:tab w:val="left" w:pos="708"/>
              </w:tabs>
              <w:spacing w:after="0" w:line="276" w:lineRule="auto"/>
              <w:jc w:val="center"/>
              <w:rPr>
                <w:rFonts w:ascii="Arial" w:eastAsia="Times New Roman" w:hAnsi="Arial" w:cs="Arial"/>
                <w:b/>
                <w:sz w:val="24"/>
                <w:szCs w:val="24"/>
              </w:rPr>
            </w:pPr>
            <w:r>
              <w:rPr>
                <w:rFonts w:ascii="Arial" w:hAnsi="Arial" w:cs="Arial"/>
                <w:b/>
                <w:sz w:val="24"/>
                <w:szCs w:val="24"/>
              </w:rPr>
              <w:t>Intitulé du tableau</w:t>
            </w:r>
          </w:p>
        </w:tc>
        <w:tc>
          <w:tcPr>
            <w:tcW w:w="439"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7526B07F" w14:textId="77777777" w:rsidR="008862C7" w:rsidRDefault="008862C7">
            <w:pPr>
              <w:tabs>
                <w:tab w:val="left" w:pos="708"/>
              </w:tabs>
              <w:spacing w:after="0" w:line="276" w:lineRule="auto"/>
              <w:jc w:val="center"/>
              <w:rPr>
                <w:rFonts w:ascii="Arial" w:eastAsia="Times New Roman" w:hAnsi="Arial" w:cs="Arial"/>
                <w:b/>
                <w:sz w:val="24"/>
                <w:szCs w:val="24"/>
              </w:rPr>
            </w:pPr>
            <w:r>
              <w:rPr>
                <w:rFonts w:ascii="Arial" w:hAnsi="Arial" w:cs="Arial"/>
                <w:b/>
                <w:sz w:val="24"/>
                <w:szCs w:val="24"/>
              </w:rPr>
              <w:t>Page</w:t>
            </w:r>
          </w:p>
        </w:tc>
      </w:tr>
      <w:tr w:rsidR="008862C7" w14:paraId="18A2B371"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0FE14E8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2.1</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18DC70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Répartition des actions des sociétés cotonnières </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18AC9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71</w:t>
            </w:r>
          </w:p>
        </w:tc>
      </w:tr>
      <w:tr w:rsidR="008862C7" w14:paraId="7EB78684"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34CAB69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2.2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FCA9B36"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Présentation de la Matrice d’Analyse des Politiques</w:t>
            </w:r>
          </w:p>
        </w:tc>
        <w:tc>
          <w:tcPr>
            <w:tcW w:w="439" w:type="pct"/>
            <w:tcBorders>
              <w:top w:val="single" w:sz="4" w:space="0" w:color="auto"/>
              <w:left w:val="single" w:sz="4" w:space="0" w:color="auto"/>
              <w:bottom w:val="single" w:sz="4" w:space="0" w:color="auto"/>
              <w:right w:val="single" w:sz="4" w:space="0" w:color="auto"/>
            </w:tcBorders>
            <w:vAlign w:val="center"/>
            <w:hideMark/>
          </w:tcPr>
          <w:p w14:paraId="7AB14BD8"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73</w:t>
            </w:r>
          </w:p>
        </w:tc>
      </w:tr>
      <w:tr w:rsidR="008862C7" w14:paraId="14E7516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61B0694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2.3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7C34486"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Modèle de classification des exportations cotonnières par rapport à leur performance-prix et performance qualité.</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2894F5"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80</w:t>
            </w:r>
          </w:p>
        </w:tc>
      </w:tr>
      <w:tr w:rsidR="008862C7" w14:paraId="5A6CC811"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092A7A1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2.4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3D9A9B7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Répartition de la population de la sous-préfecture de Bossangoa</w:t>
            </w:r>
          </w:p>
        </w:tc>
        <w:tc>
          <w:tcPr>
            <w:tcW w:w="439" w:type="pct"/>
            <w:tcBorders>
              <w:top w:val="single" w:sz="4" w:space="0" w:color="auto"/>
              <w:left w:val="single" w:sz="4" w:space="0" w:color="auto"/>
              <w:bottom w:val="single" w:sz="4" w:space="0" w:color="auto"/>
              <w:right w:val="single" w:sz="4" w:space="0" w:color="auto"/>
            </w:tcBorders>
            <w:vAlign w:val="center"/>
            <w:hideMark/>
          </w:tcPr>
          <w:p w14:paraId="6F4C3A7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82</w:t>
            </w:r>
          </w:p>
        </w:tc>
      </w:tr>
      <w:tr w:rsidR="008862C7" w14:paraId="0CD065C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1A441B5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2.5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1DA2A1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Répartition de la population de la sous-préfecture de Bambari  production </w:t>
            </w:r>
          </w:p>
        </w:tc>
        <w:tc>
          <w:tcPr>
            <w:tcW w:w="439" w:type="pct"/>
            <w:tcBorders>
              <w:top w:val="single" w:sz="4" w:space="0" w:color="auto"/>
              <w:left w:val="single" w:sz="4" w:space="0" w:color="auto"/>
              <w:bottom w:val="single" w:sz="4" w:space="0" w:color="auto"/>
              <w:right w:val="single" w:sz="4" w:space="0" w:color="auto"/>
            </w:tcBorders>
            <w:vAlign w:val="center"/>
            <w:hideMark/>
          </w:tcPr>
          <w:p w14:paraId="698E228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84</w:t>
            </w:r>
          </w:p>
        </w:tc>
      </w:tr>
      <w:tr w:rsidR="008862C7" w14:paraId="58BECC0C"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31DD1BA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3.1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0A7A640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Rotation des cultures avec coton en tête de rotation </w:t>
            </w:r>
          </w:p>
        </w:tc>
        <w:tc>
          <w:tcPr>
            <w:tcW w:w="439" w:type="pct"/>
            <w:tcBorders>
              <w:top w:val="single" w:sz="4" w:space="0" w:color="auto"/>
              <w:left w:val="single" w:sz="4" w:space="0" w:color="auto"/>
              <w:bottom w:val="single" w:sz="4" w:space="0" w:color="auto"/>
              <w:right w:val="single" w:sz="4" w:space="0" w:color="auto"/>
            </w:tcBorders>
            <w:vAlign w:val="center"/>
            <w:hideMark/>
          </w:tcPr>
          <w:p w14:paraId="145D422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102</w:t>
            </w:r>
          </w:p>
        </w:tc>
      </w:tr>
      <w:tr w:rsidR="008862C7" w14:paraId="0051F068"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2AA6BCF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3.2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9ABB94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Temps de travaux en journée de travail (JT) par activité et par sexe.</w:t>
            </w:r>
          </w:p>
        </w:tc>
        <w:tc>
          <w:tcPr>
            <w:tcW w:w="439" w:type="pct"/>
            <w:tcBorders>
              <w:top w:val="single" w:sz="4" w:space="0" w:color="auto"/>
              <w:left w:val="single" w:sz="4" w:space="0" w:color="auto"/>
              <w:bottom w:val="single" w:sz="4" w:space="0" w:color="auto"/>
              <w:right w:val="single" w:sz="4" w:space="0" w:color="auto"/>
            </w:tcBorders>
            <w:vAlign w:val="center"/>
            <w:hideMark/>
          </w:tcPr>
          <w:p w14:paraId="2BEEB99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105</w:t>
            </w:r>
          </w:p>
        </w:tc>
      </w:tr>
      <w:tr w:rsidR="008862C7" w14:paraId="0FEA7738" w14:textId="77777777" w:rsidTr="008862C7">
        <w:trPr>
          <w:trHeight w:val="198"/>
        </w:trPr>
        <w:tc>
          <w:tcPr>
            <w:tcW w:w="898" w:type="pct"/>
            <w:tcBorders>
              <w:top w:val="single" w:sz="4" w:space="0" w:color="auto"/>
              <w:left w:val="single" w:sz="4" w:space="0" w:color="auto"/>
              <w:bottom w:val="single" w:sz="4" w:space="0" w:color="auto"/>
              <w:right w:val="single" w:sz="4" w:space="0" w:color="auto"/>
            </w:tcBorders>
            <w:vAlign w:val="center"/>
            <w:hideMark/>
          </w:tcPr>
          <w:p w14:paraId="62807B8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3.3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760EE6C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Coût moyen des intrants agricoles</w:t>
            </w:r>
          </w:p>
        </w:tc>
        <w:tc>
          <w:tcPr>
            <w:tcW w:w="439" w:type="pct"/>
            <w:tcBorders>
              <w:top w:val="single" w:sz="4" w:space="0" w:color="auto"/>
              <w:left w:val="single" w:sz="4" w:space="0" w:color="auto"/>
              <w:bottom w:val="single" w:sz="4" w:space="0" w:color="auto"/>
              <w:right w:val="single" w:sz="4" w:space="0" w:color="auto"/>
            </w:tcBorders>
            <w:vAlign w:val="center"/>
            <w:hideMark/>
          </w:tcPr>
          <w:p w14:paraId="34B7F2C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107</w:t>
            </w:r>
          </w:p>
        </w:tc>
      </w:tr>
      <w:tr w:rsidR="008862C7" w14:paraId="660EC6EB"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30EC6388"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3.4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77B3171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Amortissement des principaux matériels agricoles  </w:t>
            </w:r>
          </w:p>
        </w:tc>
        <w:tc>
          <w:tcPr>
            <w:tcW w:w="439" w:type="pct"/>
            <w:tcBorders>
              <w:top w:val="single" w:sz="4" w:space="0" w:color="auto"/>
              <w:left w:val="single" w:sz="4" w:space="0" w:color="auto"/>
              <w:bottom w:val="single" w:sz="4" w:space="0" w:color="auto"/>
              <w:right w:val="single" w:sz="4" w:space="0" w:color="auto"/>
            </w:tcBorders>
            <w:vAlign w:val="center"/>
            <w:hideMark/>
          </w:tcPr>
          <w:p w14:paraId="2C8ADB6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108</w:t>
            </w:r>
          </w:p>
        </w:tc>
      </w:tr>
      <w:tr w:rsidR="008862C7" w14:paraId="3889687C"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5FF2056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3.5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62C7218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Coût total moyen des principaux inputs dans la production cotonnière.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C5F2133"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109</w:t>
            </w:r>
          </w:p>
        </w:tc>
      </w:tr>
      <w:tr w:rsidR="008862C7" w14:paraId="7DA0D773"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0A7A376A"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Tableau 3.6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0DAC933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Evolution du prix aux producteurs de coton graine en RCA</w:t>
            </w:r>
          </w:p>
        </w:tc>
        <w:tc>
          <w:tcPr>
            <w:tcW w:w="439" w:type="pct"/>
            <w:tcBorders>
              <w:top w:val="single" w:sz="4" w:space="0" w:color="auto"/>
              <w:left w:val="single" w:sz="4" w:space="0" w:color="auto"/>
              <w:bottom w:val="single" w:sz="4" w:space="0" w:color="auto"/>
              <w:right w:val="single" w:sz="4" w:space="0" w:color="auto"/>
            </w:tcBorders>
            <w:vAlign w:val="center"/>
            <w:hideMark/>
          </w:tcPr>
          <w:p w14:paraId="3099215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110</w:t>
            </w:r>
          </w:p>
        </w:tc>
      </w:tr>
      <w:tr w:rsidR="008862C7" w14:paraId="2361494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1E76569B"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3.7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3CE54DA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Détermination des revenus coton</w:t>
            </w:r>
          </w:p>
        </w:tc>
        <w:tc>
          <w:tcPr>
            <w:tcW w:w="439" w:type="pct"/>
            <w:tcBorders>
              <w:top w:val="single" w:sz="4" w:space="0" w:color="auto"/>
              <w:left w:val="single" w:sz="4" w:space="0" w:color="auto"/>
              <w:bottom w:val="single" w:sz="4" w:space="0" w:color="auto"/>
              <w:right w:val="single" w:sz="4" w:space="0" w:color="auto"/>
            </w:tcBorders>
            <w:vAlign w:val="center"/>
            <w:hideMark/>
          </w:tcPr>
          <w:p w14:paraId="43E0D53C"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111</w:t>
            </w:r>
          </w:p>
        </w:tc>
      </w:tr>
      <w:tr w:rsidR="008862C7" w14:paraId="0DD7E4D8"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6644BA2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3.8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75A72F94"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Durée moyenne de collecte et d’évacuation du coton graine en jours </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D93BC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118</w:t>
            </w:r>
          </w:p>
        </w:tc>
      </w:tr>
      <w:tr w:rsidR="008862C7" w14:paraId="5174E0CB"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2E72DCE1"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3.9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0790763D" w14:textId="77777777" w:rsidR="008862C7" w:rsidRDefault="008862C7">
            <w:pPr>
              <w:tabs>
                <w:tab w:val="left" w:pos="708"/>
              </w:tabs>
              <w:spacing w:before="120" w:after="0" w:line="360" w:lineRule="auto"/>
              <w:rPr>
                <w:rFonts w:ascii="Arial" w:eastAsia="Times New Roman" w:hAnsi="Arial" w:cs="Arial"/>
                <w:sz w:val="24"/>
                <w:szCs w:val="24"/>
              </w:rPr>
            </w:pPr>
            <w:r>
              <w:rPr>
                <w:rFonts w:ascii="Arial" w:hAnsi="Arial" w:cs="Arial"/>
                <w:sz w:val="24"/>
                <w:szCs w:val="24"/>
              </w:rPr>
              <w:t xml:space="preserve">Coût total coton graine rendu usine et équivalent en coût coton fibre </w:t>
            </w:r>
          </w:p>
        </w:tc>
        <w:tc>
          <w:tcPr>
            <w:tcW w:w="439" w:type="pct"/>
            <w:tcBorders>
              <w:top w:val="single" w:sz="4" w:space="0" w:color="auto"/>
              <w:left w:val="single" w:sz="4" w:space="0" w:color="auto"/>
              <w:bottom w:val="single" w:sz="4" w:space="0" w:color="auto"/>
              <w:right w:val="single" w:sz="4" w:space="0" w:color="auto"/>
            </w:tcBorders>
            <w:vAlign w:val="center"/>
            <w:hideMark/>
          </w:tcPr>
          <w:p w14:paraId="4C14B51C" w14:textId="77777777" w:rsidR="008862C7" w:rsidRDefault="008862C7">
            <w:pPr>
              <w:tabs>
                <w:tab w:val="left" w:pos="708"/>
              </w:tabs>
              <w:spacing w:before="120" w:after="0" w:line="360" w:lineRule="auto"/>
              <w:rPr>
                <w:rFonts w:ascii="Arial" w:eastAsia="Times New Roman" w:hAnsi="Arial" w:cs="Arial"/>
                <w:sz w:val="24"/>
                <w:szCs w:val="24"/>
              </w:rPr>
            </w:pPr>
            <w:r>
              <w:rPr>
                <w:rFonts w:ascii="Arial" w:hAnsi="Arial" w:cs="Arial"/>
                <w:sz w:val="24"/>
                <w:szCs w:val="24"/>
              </w:rPr>
              <w:t>119</w:t>
            </w:r>
          </w:p>
        </w:tc>
      </w:tr>
      <w:tr w:rsidR="008862C7" w14:paraId="5EE9FC8F"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0BE09BA0"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3.10</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2BEEE5D"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Coûts liés au circuit externe. </w:t>
            </w:r>
          </w:p>
        </w:tc>
        <w:tc>
          <w:tcPr>
            <w:tcW w:w="439" w:type="pct"/>
            <w:tcBorders>
              <w:top w:val="single" w:sz="4" w:space="0" w:color="auto"/>
              <w:left w:val="single" w:sz="4" w:space="0" w:color="auto"/>
              <w:bottom w:val="single" w:sz="4" w:space="0" w:color="auto"/>
              <w:right w:val="single" w:sz="4" w:space="0" w:color="auto"/>
            </w:tcBorders>
            <w:vAlign w:val="center"/>
            <w:hideMark/>
          </w:tcPr>
          <w:p w14:paraId="31CB4A31"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120</w:t>
            </w:r>
          </w:p>
        </w:tc>
      </w:tr>
      <w:tr w:rsidR="008862C7" w14:paraId="785235EF"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518AF415"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3.11</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AC2A65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Coût de commercialisation du coton en RCA 2005/2006</w:t>
            </w:r>
          </w:p>
        </w:tc>
        <w:tc>
          <w:tcPr>
            <w:tcW w:w="439" w:type="pct"/>
            <w:tcBorders>
              <w:top w:val="single" w:sz="4" w:space="0" w:color="auto"/>
              <w:left w:val="single" w:sz="4" w:space="0" w:color="auto"/>
              <w:bottom w:val="single" w:sz="4" w:space="0" w:color="auto"/>
              <w:right w:val="single" w:sz="4" w:space="0" w:color="auto"/>
            </w:tcBorders>
            <w:vAlign w:val="center"/>
            <w:hideMark/>
          </w:tcPr>
          <w:p w14:paraId="78733F59"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121</w:t>
            </w:r>
          </w:p>
        </w:tc>
      </w:tr>
      <w:tr w:rsidR="008862C7" w14:paraId="71A5BF13"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04EC14BA"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3.12</w:t>
            </w:r>
          </w:p>
        </w:tc>
        <w:tc>
          <w:tcPr>
            <w:tcW w:w="3663" w:type="pct"/>
            <w:tcBorders>
              <w:top w:val="single" w:sz="4" w:space="0" w:color="auto"/>
              <w:left w:val="single" w:sz="4" w:space="0" w:color="auto"/>
              <w:bottom w:val="single" w:sz="4" w:space="0" w:color="auto"/>
              <w:right w:val="single" w:sz="4" w:space="0" w:color="auto"/>
            </w:tcBorders>
            <w:vAlign w:val="center"/>
            <w:hideMark/>
          </w:tcPr>
          <w:p w14:paraId="6FE3E3A2" w14:textId="77777777" w:rsidR="008862C7" w:rsidRDefault="008862C7">
            <w:pPr>
              <w:tabs>
                <w:tab w:val="left" w:pos="708"/>
              </w:tabs>
              <w:spacing w:before="120" w:after="0" w:line="360" w:lineRule="auto"/>
              <w:rPr>
                <w:rFonts w:ascii="Arial" w:eastAsia="Times New Roman" w:hAnsi="Arial" w:cs="Arial"/>
                <w:sz w:val="24"/>
                <w:szCs w:val="24"/>
              </w:rPr>
            </w:pPr>
            <w:r>
              <w:rPr>
                <w:rFonts w:ascii="Arial" w:hAnsi="Arial" w:cs="Arial"/>
                <w:sz w:val="24"/>
                <w:szCs w:val="24"/>
              </w:rPr>
              <w:t>Importances des coûts dans le circuit en 2005-2006.</w:t>
            </w:r>
          </w:p>
        </w:tc>
        <w:tc>
          <w:tcPr>
            <w:tcW w:w="439" w:type="pct"/>
            <w:tcBorders>
              <w:top w:val="single" w:sz="4" w:space="0" w:color="auto"/>
              <w:left w:val="single" w:sz="4" w:space="0" w:color="auto"/>
              <w:bottom w:val="single" w:sz="4" w:space="0" w:color="auto"/>
              <w:right w:val="single" w:sz="4" w:space="0" w:color="auto"/>
            </w:tcBorders>
            <w:vAlign w:val="center"/>
            <w:hideMark/>
          </w:tcPr>
          <w:p w14:paraId="14A0A34F" w14:textId="77777777" w:rsidR="008862C7" w:rsidRDefault="008862C7">
            <w:pPr>
              <w:tabs>
                <w:tab w:val="left" w:pos="708"/>
              </w:tabs>
              <w:spacing w:before="120" w:after="0" w:line="360" w:lineRule="auto"/>
              <w:rPr>
                <w:rFonts w:ascii="Arial" w:eastAsia="Times New Roman" w:hAnsi="Arial" w:cs="Arial"/>
                <w:sz w:val="24"/>
                <w:szCs w:val="24"/>
              </w:rPr>
            </w:pPr>
            <w:r>
              <w:rPr>
                <w:rFonts w:ascii="Arial" w:hAnsi="Arial" w:cs="Arial"/>
                <w:sz w:val="24"/>
                <w:szCs w:val="24"/>
              </w:rPr>
              <w:t>121</w:t>
            </w:r>
          </w:p>
        </w:tc>
      </w:tr>
      <w:tr w:rsidR="008862C7" w14:paraId="307844C2"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7EA030A3"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3.13</w:t>
            </w:r>
          </w:p>
        </w:tc>
        <w:tc>
          <w:tcPr>
            <w:tcW w:w="3663" w:type="pct"/>
            <w:tcBorders>
              <w:top w:val="single" w:sz="4" w:space="0" w:color="auto"/>
              <w:left w:val="single" w:sz="4" w:space="0" w:color="auto"/>
              <w:bottom w:val="single" w:sz="4" w:space="0" w:color="auto"/>
              <w:right w:val="single" w:sz="4" w:space="0" w:color="auto"/>
            </w:tcBorders>
            <w:vAlign w:val="center"/>
            <w:hideMark/>
          </w:tcPr>
          <w:p w14:paraId="6276DD6A"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Evolution des exportations cotonnières et leur part dans les recettes d’exportations de la RCA entre 1995 et 2009.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519239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129</w:t>
            </w:r>
          </w:p>
        </w:tc>
      </w:tr>
      <w:tr w:rsidR="008862C7" w14:paraId="7252DA99"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10F29095"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4.1</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4A17042"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Comparaison des coûts de production dans la filière coton entre la RCA et ses principaux concurrents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05C5C7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134</w:t>
            </w:r>
          </w:p>
        </w:tc>
      </w:tr>
      <w:tr w:rsidR="008862C7" w14:paraId="4F0D2DF7"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6F991C56"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4.2</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FE1081A"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Proportion du coût de transport </w:t>
            </w:r>
          </w:p>
        </w:tc>
        <w:tc>
          <w:tcPr>
            <w:tcW w:w="439" w:type="pct"/>
            <w:tcBorders>
              <w:top w:val="single" w:sz="4" w:space="0" w:color="auto"/>
              <w:left w:val="single" w:sz="4" w:space="0" w:color="auto"/>
              <w:bottom w:val="single" w:sz="4" w:space="0" w:color="auto"/>
              <w:right w:val="single" w:sz="4" w:space="0" w:color="auto"/>
            </w:tcBorders>
            <w:vAlign w:val="center"/>
            <w:hideMark/>
          </w:tcPr>
          <w:p w14:paraId="5700A6D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135</w:t>
            </w:r>
          </w:p>
        </w:tc>
      </w:tr>
      <w:tr w:rsidR="008862C7" w14:paraId="6E08DE25"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47A94ED9"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4.3</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542A6C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Prix du carburant en FCFA/L</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06341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136</w:t>
            </w:r>
          </w:p>
        </w:tc>
      </w:tr>
      <w:tr w:rsidR="008862C7" w14:paraId="0BC5FA5D"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653F2D72"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 xml:space="preserve">Tableau 4.4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43BF5FEE" w14:textId="77777777" w:rsidR="008862C7" w:rsidRDefault="008862C7">
            <w:pPr>
              <w:pStyle w:val="Textebrut"/>
              <w:spacing w:line="360" w:lineRule="auto"/>
              <w:rPr>
                <w:rFonts w:ascii="Arial" w:hAnsi="Arial" w:cs="Arial"/>
                <w:sz w:val="24"/>
                <w:szCs w:val="24"/>
              </w:rPr>
            </w:pPr>
            <w:r>
              <w:rPr>
                <w:rFonts w:ascii="Arial" w:hAnsi="Arial" w:cs="Arial"/>
                <w:sz w:val="24"/>
                <w:szCs w:val="24"/>
              </w:rPr>
              <w:t>Cours du dollar et cours de coton fibre Jiba (1-3/32 pouces) centrafricain sur le marché mondial</w:t>
            </w:r>
          </w:p>
        </w:tc>
        <w:tc>
          <w:tcPr>
            <w:tcW w:w="439" w:type="pct"/>
            <w:tcBorders>
              <w:top w:val="single" w:sz="4" w:space="0" w:color="auto"/>
              <w:left w:val="single" w:sz="4" w:space="0" w:color="auto"/>
              <w:bottom w:val="single" w:sz="4" w:space="0" w:color="auto"/>
              <w:right w:val="single" w:sz="4" w:space="0" w:color="auto"/>
            </w:tcBorders>
            <w:vAlign w:val="center"/>
            <w:hideMark/>
          </w:tcPr>
          <w:p w14:paraId="1FD00E6C" w14:textId="77777777" w:rsidR="008862C7" w:rsidRDefault="008862C7">
            <w:pPr>
              <w:pStyle w:val="Textebrut"/>
              <w:spacing w:line="360" w:lineRule="auto"/>
              <w:rPr>
                <w:rFonts w:ascii="Arial" w:hAnsi="Arial" w:cs="Arial"/>
                <w:sz w:val="24"/>
                <w:szCs w:val="24"/>
              </w:rPr>
            </w:pPr>
            <w:r>
              <w:rPr>
                <w:rFonts w:ascii="Arial" w:hAnsi="Arial" w:cs="Arial"/>
                <w:sz w:val="24"/>
                <w:szCs w:val="24"/>
              </w:rPr>
              <w:t>146</w:t>
            </w:r>
          </w:p>
        </w:tc>
      </w:tr>
      <w:tr w:rsidR="008862C7" w14:paraId="7798176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45226CF2"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 xml:space="preserve">Tableau 4.5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4BA4B5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 xml:space="preserve">Impact de la variation du dollar sur le revenu cotonnier de la RCA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9EA2B9F"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147</w:t>
            </w:r>
          </w:p>
        </w:tc>
      </w:tr>
      <w:tr w:rsidR="008862C7" w14:paraId="78A77E9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20C69D71" w14:textId="77777777" w:rsidR="008862C7" w:rsidRDefault="008862C7">
            <w:pPr>
              <w:tabs>
                <w:tab w:val="left" w:pos="708"/>
              </w:tabs>
              <w:spacing w:after="0" w:line="360" w:lineRule="auto"/>
              <w:rPr>
                <w:rFonts w:eastAsia="Times New Roman" w:cs="Times New Roman"/>
              </w:rPr>
            </w:pPr>
            <w:r>
              <w:rPr>
                <w:rFonts w:ascii="Arial" w:eastAsia="Comic Sans MS" w:hAnsi="Arial" w:cs="Arial"/>
                <w:sz w:val="24"/>
                <w:szCs w:val="24"/>
              </w:rPr>
              <w:t xml:space="preserve">Tableau 4.6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7E92B56A" w14:textId="77777777" w:rsidR="008862C7" w:rsidRDefault="008862C7">
            <w:pPr>
              <w:tabs>
                <w:tab w:val="left" w:pos="708"/>
              </w:tabs>
              <w:spacing w:after="0" w:line="360" w:lineRule="auto"/>
              <w:rPr>
                <w:rFonts w:ascii="Arial" w:eastAsia="Comic Sans MS" w:hAnsi="Arial" w:cs="Arial"/>
                <w:sz w:val="24"/>
                <w:szCs w:val="24"/>
              </w:rPr>
            </w:pPr>
            <w:r>
              <w:rPr>
                <w:rFonts w:ascii="Arial" w:eastAsia="Comic Sans MS" w:hAnsi="Arial" w:cs="Arial"/>
                <w:sz w:val="24"/>
                <w:szCs w:val="24"/>
              </w:rPr>
              <w:t>Différents marchés du coton centrafricain et leur importance</w:t>
            </w:r>
          </w:p>
        </w:tc>
        <w:tc>
          <w:tcPr>
            <w:tcW w:w="439" w:type="pct"/>
            <w:tcBorders>
              <w:top w:val="single" w:sz="4" w:space="0" w:color="auto"/>
              <w:left w:val="single" w:sz="4" w:space="0" w:color="auto"/>
              <w:bottom w:val="single" w:sz="4" w:space="0" w:color="auto"/>
              <w:right w:val="single" w:sz="4" w:space="0" w:color="auto"/>
            </w:tcBorders>
            <w:vAlign w:val="center"/>
            <w:hideMark/>
          </w:tcPr>
          <w:p w14:paraId="5D469AA4" w14:textId="77777777" w:rsidR="008862C7" w:rsidRDefault="008862C7">
            <w:pPr>
              <w:tabs>
                <w:tab w:val="left" w:pos="708"/>
              </w:tabs>
              <w:spacing w:after="0" w:line="360" w:lineRule="auto"/>
              <w:rPr>
                <w:rFonts w:ascii="Arial" w:eastAsia="Comic Sans MS" w:hAnsi="Arial" w:cs="Arial"/>
                <w:sz w:val="24"/>
                <w:szCs w:val="24"/>
              </w:rPr>
            </w:pPr>
            <w:r>
              <w:rPr>
                <w:rFonts w:ascii="Arial" w:eastAsia="Comic Sans MS" w:hAnsi="Arial" w:cs="Arial"/>
                <w:sz w:val="24"/>
                <w:szCs w:val="24"/>
              </w:rPr>
              <w:t>151</w:t>
            </w:r>
          </w:p>
        </w:tc>
      </w:tr>
      <w:tr w:rsidR="008862C7" w14:paraId="45280F56"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4CB027BE"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 xml:space="preserve">Tableau 4.7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1CF1898E"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Indicateurs de commerce intra région</w:t>
            </w:r>
          </w:p>
        </w:tc>
        <w:tc>
          <w:tcPr>
            <w:tcW w:w="439" w:type="pct"/>
            <w:tcBorders>
              <w:top w:val="single" w:sz="4" w:space="0" w:color="auto"/>
              <w:left w:val="single" w:sz="4" w:space="0" w:color="auto"/>
              <w:bottom w:val="single" w:sz="4" w:space="0" w:color="auto"/>
              <w:right w:val="single" w:sz="4" w:space="0" w:color="auto"/>
            </w:tcBorders>
            <w:vAlign w:val="center"/>
            <w:hideMark/>
          </w:tcPr>
          <w:p w14:paraId="7936C4C7"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152</w:t>
            </w:r>
          </w:p>
        </w:tc>
      </w:tr>
      <w:tr w:rsidR="008862C7" w14:paraId="396E4B20"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2CE138A0"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lastRenderedPageBreak/>
              <w:t xml:space="preserve">Tableau 4.8 </w:t>
            </w:r>
          </w:p>
        </w:tc>
        <w:tc>
          <w:tcPr>
            <w:tcW w:w="3663" w:type="pct"/>
            <w:tcBorders>
              <w:top w:val="single" w:sz="4" w:space="0" w:color="auto"/>
              <w:left w:val="single" w:sz="4" w:space="0" w:color="auto"/>
              <w:bottom w:val="single" w:sz="4" w:space="0" w:color="auto"/>
              <w:right w:val="single" w:sz="4" w:space="0" w:color="auto"/>
            </w:tcBorders>
            <w:vAlign w:val="center"/>
            <w:hideMark/>
          </w:tcPr>
          <w:p w14:paraId="5746188E"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Résultat du modèle à effets fixes</w:t>
            </w:r>
          </w:p>
        </w:tc>
        <w:tc>
          <w:tcPr>
            <w:tcW w:w="439" w:type="pct"/>
            <w:tcBorders>
              <w:top w:val="single" w:sz="4" w:space="0" w:color="auto"/>
              <w:left w:val="single" w:sz="4" w:space="0" w:color="auto"/>
              <w:bottom w:val="single" w:sz="4" w:space="0" w:color="auto"/>
              <w:right w:val="single" w:sz="4" w:space="0" w:color="auto"/>
            </w:tcBorders>
            <w:vAlign w:val="center"/>
            <w:hideMark/>
          </w:tcPr>
          <w:p w14:paraId="3728F5E6"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154</w:t>
            </w:r>
          </w:p>
        </w:tc>
      </w:tr>
      <w:tr w:rsidR="008862C7" w14:paraId="5ABA9B5C"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5744EAE8" w14:textId="77777777" w:rsidR="008862C7" w:rsidRDefault="008862C7">
            <w:pPr>
              <w:tabs>
                <w:tab w:val="left" w:pos="708"/>
              </w:tabs>
              <w:spacing w:after="0" w:line="360" w:lineRule="auto"/>
              <w:rPr>
                <w:rFonts w:eastAsia="Times New Roman" w:cs="Times New Roman"/>
              </w:rPr>
            </w:pPr>
            <w:r>
              <w:rPr>
                <w:rFonts w:ascii="Arial" w:hAnsi="Arial" w:cs="Arial"/>
                <w:spacing w:val="1"/>
                <w:sz w:val="24"/>
                <w:szCs w:val="24"/>
              </w:rPr>
              <w:t>Tabl</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4"/>
                <w:sz w:val="24"/>
                <w:szCs w:val="24"/>
              </w:rPr>
              <w:t xml:space="preserve"> </w:t>
            </w:r>
            <w:r>
              <w:rPr>
                <w:rFonts w:ascii="Arial" w:hAnsi="Arial" w:cs="Arial"/>
                <w:spacing w:val="1"/>
                <w:sz w:val="24"/>
                <w:szCs w:val="24"/>
              </w:rPr>
              <w:t>4</w:t>
            </w:r>
            <w:r>
              <w:rPr>
                <w:rFonts w:ascii="Arial" w:hAnsi="Arial" w:cs="Arial"/>
                <w:spacing w:val="-2"/>
                <w:sz w:val="24"/>
                <w:szCs w:val="24"/>
              </w:rPr>
              <w:t>.</w:t>
            </w:r>
            <w:r>
              <w:rPr>
                <w:rFonts w:ascii="Arial" w:hAnsi="Arial" w:cs="Arial"/>
                <w:spacing w:val="1"/>
                <w:sz w:val="24"/>
                <w:szCs w:val="24"/>
              </w:rPr>
              <w:t>9</w:t>
            </w:r>
          </w:p>
        </w:tc>
        <w:tc>
          <w:tcPr>
            <w:tcW w:w="3663" w:type="pct"/>
            <w:tcBorders>
              <w:top w:val="single" w:sz="4" w:space="0" w:color="auto"/>
              <w:left w:val="single" w:sz="4" w:space="0" w:color="auto"/>
              <w:bottom w:val="single" w:sz="4" w:space="0" w:color="auto"/>
              <w:right w:val="single" w:sz="4" w:space="0" w:color="auto"/>
            </w:tcBorders>
            <w:vAlign w:val="center"/>
            <w:hideMark/>
          </w:tcPr>
          <w:p w14:paraId="09F4AFC9" w14:textId="77777777" w:rsidR="008862C7" w:rsidRDefault="008862C7">
            <w:pPr>
              <w:widowControl w:val="0"/>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Co</w:t>
            </w:r>
            <w:r>
              <w:rPr>
                <w:rFonts w:ascii="Arial" w:hAnsi="Arial" w:cs="Arial"/>
                <w:spacing w:val="-1"/>
                <w:sz w:val="24"/>
                <w:szCs w:val="24"/>
              </w:rPr>
              <w:t>rr</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ut</w:t>
            </w:r>
            <w:r>
              <w:rPr>
                <w:rFonts w:ascii="Arial" w:hAnsi="Arial" w:cs="Arial"/>
                <w:spacing w:val="2"/>
                <w:sz w:val="24"/>
                <w:szCs w:val="24"/>
              </w:rPr>
              <w:t>o</w:t>
            </w:r>
            <w:r>
              <w:rPr>
                <w:rFonts w:ascii="Arial" w:hAnsi="Arial" w:cs="Arial"/>
                <w:spacing w:val="-1"/>
                <w:sz w:val="24"/>
                <w:szCs w:val="24"/>
              </w:rPr>
              <w:t>co</w:t>
            </w:r>
            <w:r>
              <w:rPr>
                <w:rFonts w:ascii="Arial" w:hAnsi="Arial" w:cs="Arial"/>
                <w:spacing w:val="2"/>
                <w:sz w:val="24"/>
                <w:szCs w:val="24"/>
              </w:rPr>
              <w:t>r</w:t>
            </w:r>
            <w:r>
              <w:rPr>
                <w:rFonts w:ascii="Arial" w:hAnsi="Arial" w:cs="Arial"/>
                <w:spacing w:val="-1"/>
                <w:sz w:val="24"/>
                <w:szCs w:val="24"/>
              </w:rPr>
              <w:t>ré</w:t>
            </w:r>
            <w:r>
              <w:rPr>
                <w:rFonts w:ascii="Arial" w:hAnsi="Arial" w:cs="Arial"/>
                <w:sz w:val="24"/>
                <w:szCs w:val="24"/>
              </w:rPr>
              <w:t>l</w:t>
            </w:r>
            <w:r>
              <w:rPr>
                <w:rFonts w:ascii="Arial" w:hAnsi="Arial" w:cs="Arial"/>
                <w:spacing w:val="1"/>
                <w:sz w:val="24"/>
                <w:szCs w:val="24"/>
              </w:rPr>
              <w:t>at</w:t>
            </w:r>
            <w:r>
              <w:rPr>
                <w:rFonts w:ascii="Arial" w:hAnsi="Arial" w:cs="Arial"/>
                <w:sz w:val="24"/>
                <w:szCs w:val="24"/>
              </w:rPr>
              <w:t>i</w:t>
            </w:r>
            <w:r>
              <w:rPr>
                <w:rFonts w:ascii="Arial" w:hAnsi="Arial" w:cs="Arial"/>
                <w:spacing w:val="1"/>
                <w:sz w:val="24"/>
                <w:szCs w:val="24"/>
              </w:rPr>
              <w:t>o</w:t>
            </w:r>
            <w:r>
              <w:rPr>
                <w:rFonts w:ascii="Arial" w:hAnsi="Arial" w:cs="Arial"/>
                <w:spacing w:val="-2"/>
                <w:sz w:val="24"/>
                <w:szCs w:val="24"/>
              </w:rPr>
              <w:t>n</w:t>
            </w:r>
            <w:r>
              <w:rPr>
                <w:rFonts w:ascii="Arial" w:hAnsi="Arial" w:cs="Arial"/>
                <w:spacing w:val="-11"/>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3"/>
                <w:sz w:val="24"/>
                <w:szCs w:val="24"/>
              </w:rPr>
              <w:t>m</w:t>
            </w:r>
            <w:r>
              <w:rPr>
                <w:rFonts w:ascii="Arial" w:hAnsi="Arial" w:cs="Arial"/>
                <w:sz w:val="24"/>
                <w:szCs w:val="24"/>
              </w:rPr>
              <w:t>une</w:t>
            </w:r>
            <w:r>
              <w:rPr>
                <w:rFonts w:ascii="Arial" w:hAnsi="Arial" w:cs="Arial"/>
                <w:spacing w:val="-6"/>
                <w:sz w:val="24"/>
                <w:szCs w:val="24"/>
              </w:rPr>
              <w:t xml:space="preserve"> </w:t>
            </w:r>
            <w:r>
              <w:rPr>
                <w:rFonts w:ascii="Arial" w:hAnsi="Arial" w:cs="Arial"/>
                <w:sz w:val="24"/>
                <w:szCs w:val="24"/>
              </w:rPr>
              <w:t>et</w:t>
            </w:r>
            <w:r>
              <w:rPr>
                <w:rFonts w:ascii="Arial" w:hAnsi="Arial" w:cs="Arial"/>
                <w:spacing w:val="-1"/>
                <w:sz w:val="24"/>
                <w:szCs w:val="24"/>
              </w:rPr>
              <w:t xml:space="preserve"> </w:t>
            </w:r>
            <w:r>
              <w:rPr>
                <w:rFonts w:ascii="Arial" w:hAnsi="Arial" w:cs="Arial"/>
                <w:sz w:val="24"/>
                <w:szCs w:val="24"/>
              </w:rPr>
              <w:t>hété</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sc</w:t>
            </w:r>
            <w:r>
              <w:rPr>
                <w:rFonts w:ascii="Arial" w:hAnsi="Arial" w:cs="Arial"/>
                <w:spacing w:val="2"/>
                <w:sz w:val="24"/>
                <w:szCs w:val="24"/>
              </w:rPr>
              <w:t>é</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té du modèle 1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B085BE8" w14:textId="77777777" w:rsidR="008862C7" w:rsidRDefault="008862C7">
            <w:pPr>
              <w:widowControl w:val="0"/>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155</w:t>
            </w:r>
          </w:p>
        </w:tc>
      </w:tr>
      <w:tr w:rsidR="008862C7" w14:paraId="46DBBB8E"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43E70E95" w14:textId="77777777" w:rsidR="008862C7" w:rsidRDefault="008862C7">
            <w:pPr>
              <w:tabs>
                <w:tab w:val="left" w:pos="708"/>
              </w:tabs>
              <w:spacing w:after="0" w:line="360" w:lineRule="auto"/>
              <w:rPr>
                <w:rFonts w:eastAsia="Times New Roman" w:cs="Times New Roman"/>
              </w:rPr>
            </w:pPr>
            <w:r>
              <w:rPr>
                <w:rFonts w:ascii="Arial" w:hAnsi="Arial" w:cs="Arial"/>
                <w:spacing w:val="1"/>
                <w:sz w:val="24"/>
                <w:szCs w:val="24"/>
              </w:rPr>
              <w:t>Tabl</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4"/>
                <w:sz w:val="24"/>
                <w:szCs w:val="24"/>
              </w:rPr>
              <w:t xml:space="preserve"> </w:t>
            </w:r>
            <w:r>
              <w:rPr>
                <w:rFonts w:ascii="Arial" w:hAnsi="Arial" w:cs="Arial"/>
                <w:spacing w:val="1"/>
                <w:sz w:val="24"/>
                <w:szCs w:val="24"/>
              </w:rPr>
              <w:t>4</w:t>
            </w:r>
            <w:r>
              <w:rPr>
                <w:rFonts w:ascii="Arial" w:hAnsi="Arial" w:cs="Arial"/>
                <w:spacing w:val="-2"/>
                <w:sz w:val="24"/>
                <w:szCs w:val="24"/>
              </w:rPr>
              <w:t>.</w:t>
            </w:r>
            <w:r>
              <w:rPr>
                <w:rFonts w:ascii="Arial" w:hAnsi="Arial" w:cs="Arial"/>
                <w:spacing w:val="1"/>
                <w:sz w:val="24"/>
                <w:szCs w:val="24"/>
              </w:rPr>
              <w:t>10</w:t>
            </w:r>
          </w:p>
        </w:tc>
        <w:tc>
          <w:tcPr>
            <w:tcW w:w="3663" w:type="pct"/>
            <w:tcBorders>
              <w:top w:val="single" w:sz="4" w:space="0" w:color="auto"/>
              <w:left w:val="single" w:sz="4" w:space="0" w:color="auto"/>
              <w:bottom w:val="single" w:sz="4" w:space="0" w:color="auto"/>
              <w:right w:val="single" w:sz="4" w:space="0" w:color="auto"/>
            </w:tcBorders>
            <w:vAlign w:val="center"/>
            <w:hideMark/>
          </w:tcPr>
          <w:p w14:paraId="12275521" w14:textId="77777777" w:rsidR="008862C7" w:rsidRDefault="008862C7">
            <w:pPr>
              <w:widowControl w:val="0"/>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Co</w:t>
            </w:r>
            <w:r>
              <w:rPr>
                <w:rFonts w:ascii="Arial" w:hAnsi="Arial" w:cs="Arial"/>
                <w:spacing w:val="-1"/>
                <w:sz w:val="24"/>
                <w:szCs w:val="24"/>
              </w:rPr>
              <w:t>rr</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ut</w:t>
            </w:r>
            <w:r>
              <w:rPr>
                <w:rFonts w:ascii="Arial" w:hAnsi="Arial" w:cs="Arial"/>
                <w:spacing w:val="2"/>
                <w:sz w:val="24"/>
                <w:szCs w:val="24"/>
              </w:rPr>
              <w:t>o</w:t>
            </w:r>
            <w:r>
              <w:rPr>
                <w:rFonts w:ascii="Arial" w:hAnsi="Arial" w:cs="Arial"/>
                <w:spacing w:val="-1"/>
                <w:sz w:val="24"/>
                <w:szCs w:val="24"/>
              </w:rPr>
              <w:t>co</w:t>
            </w:r>
            <w:r>
              <w:rPr>
                <w:rFonts w:ascii="Arial" w:hAnsi="Arial" w:cs="Arial"/>
                <w:spacing w:val="2"/>
                <w:sz w:val="24"/>
                <w:szCs w:val="24"/>
              </w:rPr>
              <w:t>r</w:t>
            </w:r>
            <w:r>
              <w:rPr>
                <w:rFonts w:ascii="Arial" w:hAnsi="Arial" w:cs="Arial"/>
                <w:spacing w:val="-1"/>
                <w:sz w:val="24"/>
                <w:szCs w:val="24"/>
              </w:rPr>
              <w:t>ré</w:t>
            </w:r>
            <w:r>
              <w:rPr>
                <w:rFonts w:ascii="Arial" w:hAnsi="Arial" w:cs="Arial"/>
                <w:sz w:val="24"/>
                <w:szCs w:val="24"/>
              </w:rPr>
              <w:t>l</w:t>
            </w:r>
            <w:r>
              <w:rPr>
                <w:rFonts w:ascii="Arial" w:hAnsi="Arial" w:cs="Arial"/>
                <w:spacing w:val="1"/>
                <w:sz w:val="24"/>
                <w:szCs w:val="24"/>
              </w:rPr>
              <w:t>at</w:t>
            </w:r>
            <w:r>
              <w:rPr>
                <w:rFonts w:ascii="Arial" w:hAnsi="Arial" w:cs="Arial"/>
                <w:sz w:val="24"/>
                <w:szCs w:val="24"/>
              </w:rPr>
              <w:t>i</w:t>
            </w:r>
            <w:r>
              <w:rPr>
                <w:rFonts w:ascii="Arial" w:hAnsi="Arial" w:cs="Arial"/>
                <w:spacing w:val="1"/>
                <w:sz w:val="24"/>
                <w:szCs w:val="24"/>
              </w:rPr>
              <w:t>o</w:t>
            </w:r>
            <w:r>
              <w:rPr>
                <w:rFonts w:ascii="Arial" w:hAnsi="Arial" w:cs="Arial"/>
                <w:spacing w:val="-2"/>
                <w:sz w:val="24"/>
                <w:szCs w:val="24"/>
              </w:rPr>
              <w:t>n</w:t>
            </w:r>
            <w:r>
              <w:rPr>
                <w:rFonts w:ascii="Arial" w:hAnsi="Arial" w:cs="Arial"/>
                <w:spacing w:val="-11"/>
                <w:sz w:val="24"/>
                <w:szCs w:val="24"/>
              </w:rPr>
              <w:t xml:space="preserve"> </w:t>
            </w:r>
            <w:r>
              <w:rPr>
                <w:rFonts w:ascii="Arial" w:hAnsi="Arial" w:cs="Arial"/>
                <w:spacing w:val="2"/>
                <w:sz w:val="24"/>
                <w:szCs w:val="24"/>
              </w:rPr>
              <w:t>s</w:t>
            </w:r>
            <w:r>
              <w:rPr>
                <w:rFonts w:ascii="Arial" w:hAnsi="Arial" w:cs="Arial"/>
                <w:spacing w:val="-1"/>
                <w:sz w:val="24"/>
                <w:szCs w:val="24"/>
              </w:rPr>
              <w:t>p</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iq</w:t>
            </w:r>
            <w:r>
              <w:rPr>
                <w:rFonts w:ascii="Arial" w:hAnsi="Arial" w:cs="Arial"/>
                <w:sz w:val="24"/>
                <w:szCs w:val="24"/>
              </w:rPr>
              <w:t>ue</w:t>
            </w:r>
            <w:r>
              <w:rPr>
                <w:rFonts w:ascii="Arial" w:hAnsi="Arial" w:cs="Arial"/>
                <w:spacing w:val="-5"/>
                <w:sz w:val="24"/>
                <w:szCs w:val="24"/>
              </w:rPr>
              <w:t xml:space="preserve"> </w:t>
            </w:r>
            <w:r>
              <w:rPr>
                <w:rFonts w:ascii="Arial" w:hAnsi="Arial" w:cs="Arial"/>
                <w:sz w:val="24"/>
                <w:szCs w:val="24"/>
              </w:rPr>
              <w:t>et</w:t>
            </w:r>
            <w:r>
              <w:rPr>
                <w:rFonts w:ascii="Arial" w:hAnsi="Arial" w:cs="Arial"/>
                <w:spacing w:val="-1"/>
                <w:sz w:val="24"/>
                <w:szCs w:val="24"/>
              </w:rPr>
              <w:t xml:space="preserve"> </w:t>
            </w:r>
            <w:r>
              <w:rPr>
                <w:rFonts w:ascii="Arial" w:hAnsi="Arial" w:cs="Arial"/>
                <w:sz w:val="24"/>
                <w:szCs w:val="24"/>
              </w:rPr>
              <w:t>hété</w:t>
            </w:r>
            <w:r>
              <w:rPr>
                <w:rFonts w:ascii="Arial" w:hAnsi="Arial" w:cs="Arial"/>
                <w:spacing w:val="-1"/>
                <w:sz w:val="24"/>
                <w:szCs w:val="24"/>
              </w:rPr>
              <w:t>r</w:t>
            </w:r>
            <w:r>
              <w:rPr>
                <w:rFonts w:ascii="Arial" w:hAnsi="Arial" w:cs="Arial"/>
                <w:sz w:val="24"/>
                <w:szCs w:val="24"/>
              </w:rPr>
              <w:t>o</w:t>
            </w:r>
            <w:r>
              <w:rPr>
                <w:rFonts w:ascii="Arial" w:hAnsi="Arial" w:cs="Arial"/>
                <w:spacing w:val="2"/>
                <w:sz w:val="24"/>
                <w:szCs w:val="24"/>
              </w:rPr>
              <w:t>s</w:t>
            </w:r>
            <w:r>
              <w:rPr>
                <w:rFonts w:ascii="Arial" w:hAnsi="Arial" w:cs="Arial"/>
                <w:spacing w:val="-1"/>
                <w:sz w:val="24"/>
                <w:szCs w:val="24"/>
              </w:rPr>
              <w:t>c</w:t>
            </w:r>
            <w:r>
              <w:rPr>
                <w:rFonts w:ascii="Arial" w:hAnsi="Arial" w:cs="Arial"/>
                <w:sz w:val="24"/>
                <w:szCs w:val="24"/>
              </w:rPr>
              <w:t>é</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té </w:t>
            </w:r>
          </w:p>
        </w:tc>
        <w:tc>
          <w:tcPr>
            <w:tcW w:w="439" w:type="pct"/>
            <w:tcBorders>
              <w:top w:val="single" w:sz="4" w:space="0" w:color="auto"/>
              <w:left w:val="single" w:sz="4" w:space="0" w:color="auto"/>
              <w:bottom w:val="single" w:sz="4" w:space="0" w:color="auto"/>
              <w:right w:val="single" w:sz="4" w:space="0" w:color="auto"/>
            </w:tcBorders>
            <w:vAlign w:val="center"/>
            <w:hideMark/>
          </w:tcPr>
          <w:p w14:paraId="09F99527" w14:textId="77777777" w:rsidR="008862C7" w:rsidRDefault="008862C7">
            <w:pPr>
              <w:widowControl w:val="0"/>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156</w:t>
            </w:r>
          </w:p>
        </w:tc>
      </w:tr>
      <w:tr w:rsidR="008862C7" w14:paraId="624A0ED5"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76B70DE0"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Tableau 4.11</w:t>
            </w:r>
          </w:p>
        </w:tc>
        <w:tc>
          <w:tcPr>
            <w:tcW w:w="3663" w:type="pct"/>
            <w:tcBorders>
              <w:top w:val="single" w:sz="4" w:space="0" w:color="auto"/>
              <w:left w:val="single" w:sz="4" w:space="0" w:color="auto"/>
              <w:bottom w:val="single" w:sz="4" w:space="0" w:color="auto"/>
              <w:right w:val="single" w:sz="4" w:space="0" w:color="auto"/>
            </w:tcBorders>
            <w:vAlign w:val="center"/>
            <w:hideMark/>
          </w:tcPr>
          <w:p w14:paraId="679C3BAA"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Modèle de classification des exportations cotonnières par rapport à leur performance-prix et performance qualité.</w:t>
            </w:r>
          </w:p>
        </w:tc>
        <w:tc>
          <w:tcPr>
            <w:tcW w:w="439" w:type="pct"/>
            <w:tcBorders>
              <w:top w:val="single" w:sz="4" w:space="0" w:color="auto"/>
              <w:left w:val="single" w:sz="4" w:space="0" w:color="auto"/>
              <w:bottom w:val="single" w:sz="4" w:space="0" w:color="auto"/>
              <w:right w:val="single" w:sz="4" w:space="0" w:color="auto"/>
            </w:tcBorders>
            <w:vAlign w:val="center"/>
            <w:hideMark/>
          </w:tcPr>
          <w:p w14:paraId="6FA9DB2C"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157</w:t>
            </w:r>
          </w:p>
        </w:tc>
      </w:tr>
      <w:tr w:rsidR="008862C7" w14:paraId="4F09D271" w14:textId="77777777" w:rsidTr="008862C7">
        <w:tc>
          <w:tcPr>
            <w:tcW w:w="898" w:type="pct"/>
            <w:tcBorders>
              <w:top w:val="single" w:sz="4" w:space="0" w:color="auto"/>
              <w:left w:val="single" w:sz="4" w:space="0" w:color="auto"/>
              <w:bottom w:val="single" w:sz="4" w:space="0" w:color="auto"/>
              <w:right w:val="single" w:sz="4" w:space="0" w:color="auto"/>
            </w:tcBorders>
            <w:vAlign w:val="center"/>
            <w:hideMark/>
          </w:tcPr>
          <w:p w14:paraId="4E27F84A"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Tableau 4.12</w:t>
            </w:r>
          </w:p>
        </w:tc>
        <w:tc>
          <w:tcPr>
            <w:tcW w:w="3663" w:type="pct"/>
            <w:tcBorders>
              <w:top w:val="single" w:sz="4" w:space="0" w:color="auto"/>
              <w:left w:val="single" w:sz="4" w:space="0" w:color="auto"/>
              <w:bottom w:val="single" w:sz="4" w:space="0" w:color="auto"/>
              <w:right w:val="single" w:sz="4" w:space="0" w:color="auto"/>
            </w:tcBorders>
            <w:vAlign w:val="center"/>
            <w:hideMark/>
          </w:tcPr>
          <w:p w14:paraId="6E6D12D6"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Classification des exportations cotonnières : compétitivité-prix et compétitivité qualité</w:t>
            </w:r>
          </w:p>
        </w:tc>
        <w:tc>
          <w:tcPr>
            <w:tcW w:w="439" w:type="pct"/>
            <w:tcBorders>
              <w:top w:val="single" w:sz="4" w:space="0" w:color="auto"/>
              <w:left w:val="single" w:sz="4" w:space="0" w:color="auto"/>
              <w:bottom w:val="single" w:sz="4" w:space="0" w:color="auto"/>
              <w:right w:val="single" w:sz="4" w:space="0" w:color="auto"/>
            </w:tcBorders>
            <w:vAlign w:val="center"/>
            <w:hideMark/>
          </w:tcPr>
          <w:p w14:paraId="6978816B" w14:textId="77777777" w:rsidR="008862C7" w:rsidRDefault="008862C7">
            <w:pPr>
              <w:tabs>
                <w:tab w:val="left" w:pos="708"/>
              </w:tabs>
              <w:autoSpaceDE w:val="0"/>
              <w:autoSpaceDN w:val="0"/>
              <w:adjustRightInd w:val="0"/>
              <w:spacing w:after="0" w:line="360" w:lineRule="auto"/>
              <w:rPr>
                <w:rFonts w:ascii="Arial" w:eastAsia="Times New Roman" w:hAnsi="Arial" w:cs="Arial"/>
                <w:sz w:val="24"/>
                <w:szCs w:val="24"/>
              </w:rPr>
            </w:pPr>
            <w:r>
              <w:rPr>
                <w:rFonts w:ascii="Arial" w:hAnsi="Arial" w:cs="Arial"/>
                <w:sz w:val="24"/>
                <w:szCs w:val="24"/>
              </w:rPr>
              <w:t>158</w:t>
            </w:r>
          </w:p>
        </w:tc>
      </w:tr>
    </w:tbl>
    <w:p w14:paraId="46DB1A75" w14:textId="77777777" w:rsidR="008862C7" w:rsidRDefault="008862C7" w:rsidP="008862C7">
      <w:pPr>
        <w:spacing w:after="0"/>
        <w:rPr>
          <w:rFonts w:ascii="Arial" w:eastAsia="Times New Roman" w:hAnsi="Arial" w:cs="Arial"/>
          <w:sz w:val="24"/>
          <w:szCs w:val="24"/>
        </w:rPr>
      </w:pPr>
    </w:p>
    <w:p w14:paraId="5E92D970" w14:textId="77777777" w:rsidR="008862C7" w:rsidRDefault="008862C7" w:rsidP="008862C7">
      <w:pPr>
        <w:rPr>
          <w:rFonts w:ascii="Arial" w:hAnsi="Arial" w:cs="Arial"/>
          <w:sz w:val="24"/>
          <w:szCs w:val="24"/>
        </w:rPr>
      </w:pPr>
    </w:p>
    <w:p w14:paraId="42AC7CD9" w14:textId="77777777" w:rsidR="008862C7" w:rsidRDefault="008862C7" w:rsidP="008862C7">
      <w:pPr>
        <w:rPr>
          <w:rFonts w:ascii="Arial" w:hAnsi="Arial" w:cs="Arial"/>
          <w:sz w:val="24"/>
          <w:szCs w:val="24"/>
        </w:rPr>
      </w:pPr>
    </w:p>
    <w:p w14:paraId="6E3E5E88" w14:textId="77777777" w:rsidR="008862C7" w:rsidRDefault="008862C7" w:rsidP="008862C7">
      <w:pPr>
        <w:rPr>
          <w:rFonts w:ascii="Arial" w:hAnsi="Arial" w:cs="Arial"/>
          <w:sz w:val="24"/>
          <w:szCs w:val="24"/>
        </w:rPr>
      </w:pPr>
    </w:p>
    <w:p w14:paraId="69BD6F1B" w14:textId="77777777" w:rsidR="008862C7" w:rsidRDefault="008862C7" w:rsidP="008862C7">
      <w:pPr>
        <w:rPr>
          <w:rFonts w:ascii="Arial" w:hAnsi="Arial" w:cs="Arial"/>
          <w:sz w:val="24"/>
          <w:szCs w:val="24"/>
        </w:rPr>
      </w:pPr>
    </w:p>
    <w:p w14:paraId="235C47A3" w14:textId="77777777" w:rsidR="008862C7" w:rsidRDefault="008862C7" w:rsidP="008862C7">
      <w:pPr>
        <w:rPr>
          <w:rFonts w:ascii="Arial" w:hAnsi="Arial" w:cs="Arial"/>
          <w:sz w:val="24"/>
          <w:szCs w:val="24"/>
        </w:rPr>
      </w:pPr>
    </w:p>
    <w:p w14:paraId="2634F01D" w14:textId="77777777" w:rsidR="008862C7" w:rsidRDefault="008862C7" w:rsidP="008862C7">
      <w:pPr>
        <w:rPr>
          <w:rFonts w:ascii="Arial" w:hAnsi="Arial" w:cs="Arial"/>
          <w:sz w:val="24"/>
          <w:szCs w:val="24"/>
        </w:rPr>
      </w:pPr>
    </w:p>
    <w:p w14:paraId="57EC4F57" w14:textId="77777777" w:rsidR="008862C7" w:rsidRDefault="008862C7" w:rsidP="008862C7">
      <w:pPr>
        <w:rPr>
          <w:rFonts w:ascii="Arial" w:hAnsi="Arial" w:cs="Arial"/>
          <w:sz w:val="24"/>
          <w:szCs w:val="24"/>
        </w:rPr>
      </w:pPr>
    </w:p>
    <w:p w14:paraId="1FACAF66" w14:textId="77777777" w:rsidR="008862C7" w:rsidRDefault="008862C7" w:rsidP="008862C7">
      <w:pPr>
        <w:rPr>
          <w:rFonts w:ascii="Arial" w:hAnsi="Arial" w:cs="Arial"/>
          <w:sz w:val="24"/>
          <w:szCs w:val="24"/>
        </w:rPr>
      </w:pPr>
    </w:p>
    <w:p w14:paraId="3ED19A05" w14:textId="77777777" w:rsidR="008862C7" w:rsidRDefault="008862C7" w:rsidP="008862C7">
      <w:pPr>
        <w:rPr>
          <w:rFonts w:ascii="Arial" w:hAnsi="Arial" w:cs="Arial"/>
          <w:sz w:val="24"/>
          <w:szCs w:val="24"/>
        </w:rPr>
      </w:pPr>
    </w:p>
    <w:p w14:paraId="0A0E93FA" w14:textId="77777777" w:rsidR="008862C7" w:rsidRDefault="008862C7" w:rsidP="008862C7">
      <w:pPr>
        <w:rPr>
          <w:rFonts w:ascii="Arial" w:hAnsi="Arial" w:cs="Arial"/>
          <w:sz w:val="24"/>
          <w:szCs w:val="24"/>
        </w:rPr>
      </w:pPr>
    </w:p>
    <w:p w14:paraId="6C4F8F58" w14:textId="77777777" w:rsidR="008862C7" w:rsidRDefault="008862C7" w:rsidP="008862C7">
      <w:pPr>
        <w:rPr>
          <w:rFonts w:ascii="Arial" w:hAnsi="Arial" w:cs="Arial"/>
          <w:sz w:val="24"/>
          <w:szCs w:val="24"/>
        </w:rPr>
      </w:pPr>
    </w:p>
    <w:p w14:paraId="433B25A5" w14:textId="77777777" w:rsidR="008862C7" w:rsidRDefault="008862C7" w:rsidP="008862C7">
      <w:pPr>
        <w:rPr>
          <w:rFonts w:ascii="Arial" w:hAnsi="Arial" w:cs="Arial"/>
          <w:sz w:val="24"/>
          <w:szCs w:val="24"/>
        </w:rPr>
      </w:pPr>
    </w:p>
    <w:p w14:paraId="4F1FFC63" w14:textId="77777777" w:rsidR="008862C7" w:rsidRDefault="008862C7" w:rsidP="008862C7">
      <w:pPr>
        <w:rPr>
          <w:rFonts w:ascii="Arial" w:hAnsi="Arial" w:cs="Arial"/>
          <w:sz w:val="24"/>
          <w:szCs w:val="24"/>
        </w:rPr>
      </w:pPr>
    </w:p>
    <w:p w14:paraId="19224CD1" w14:textId="77777777" w:rsidR="00E72C3F" w:rsidRDefault="00E72C3F" w:rsidP="008862C7">
      <w:pPr>
        <w:rPr>
          <w:rFonts w:ascii="Arial" w:hAnsi="Arial" w:cs="Arial"/>
          <w:sz w:val="24"/>
          <w:szCs w:val="24"/>
        </w:rPr>
      </w:pPr>
    </w:p>
    <w:p w14:paraId="53E9A226" w14:textId="77777777" w:rsidR="00E72C3F" w:rsidRDefault="00E72C3F" w:rsidP="008862C7">
      <w:pPr>
        <w:rPr>
          <w:rFonts w:ascii="Arial" w:hAnsi="Arial" w:cs="Arial"/>
          <w:sz w:val="24"/>
          <w:szCs w:val="24"/>
        </w:rPr>
      </w:pPr>
    </w:p>
    <w:p w14:paraId="44FE7CCC" w14:textId="77777777" w:rsidR="00E72C3F" w:rsidRDefault="00E72C3F" w:rsidP="008862C7">
      <w:pPr>
        <w:rPr>
          <w:rFonts w:ascii="Arial" w:hAnsi="Arial" w:cs="Arial"/>
          <w:sz w:val="24"/>
          <w:szCs w:val="24"/>
        </w:rPr>
      </w:pPr>
    </w:p>
    <w:p w14:paraId="720674A6" w14:textId="77777777" w:rsidR="00E72C3F" w:rsidRDefault="00E72C3F" w:rsidP="008862C7">
      <w:pPr>
        <w:rPr>
          <w:rFonts w:ascii="Arial" w:hAnsi="Arial" w:cs="Arial"/>
          <w:sz w:val="24"/>
          <w:szCs w:val="24"/>
        </w:rPr>
      </w:pPr>
    </w:p>
    <w:p w14:paraId="7CB5FCA3" w14:textId="77777777" w:rsidR="00E72C3F" w:rsidRDefault="00E72C3F" w:rsidP="008862C7">
      <w:pPr>
        <w:rPr>
          <w:rFonts w:ascii="Arial" w:hAnsi="Arial" w:cs="Arial"/>
          <w:sz w:val="24"/>
          <w:szCs w:val="24"/>
        </w:rPr>
      </w:pPr>
    </w:p>
    <w:p w14:paraId="6CA9EEA0" w14:textId="77777777" w:rsidR="00E72C3F" w:rsidRDefault="00E72C3F" w:rsidP="008862C7">
      <w:pPr>
        <w:rPr>
          <w:rFonts w:ascii="Arial" w:hAnsi="Arial" w:cs="Arial"/>
          <w:sz w:val="24"/>
          <w:szCs w:val="24"/>
        </w:rPr>
      </w:pPr>
    </w:p>
    <w:p w14:paraId="4E34623E" w14:textId="77777777" w:rsidR="00E72C3F" w:rsidRDefault="00E72C3F" w:rsidP="008862C7">
      <w:pPr>
        <w:rPr>
          <w:rFonts w:ascii="Arial" w:hAnsi="Arial" w:cs="Arial"/>
          <w:sz w:val="24"/>
          <w:szCs w:val="24"/>
        </w:rPr>
      </w:pPr>
    </w:p>
    <w:p w14:paraId="4AA9B093" w14:textId="77777777" w:rsidR="008862C7" w:rsidRDefault="008862C7" w:rsidP="008862C7">
      <w:pPr>
        <w:rPr>
          <w:rFonts w:ascii="Arial" w:hAnsi="Arial" w:cs="Arial"/>
          <w:sz w:val="24"/>
          <w:szCs w:val="24"/>
        </w:rPr>
      </w:pPr>
    </w:p>
    <w:p w14:paraId="6AE7DF40" w14:textId="77777777" w:rsidR="008862C7" w:rsidRDefault="008862C7" w:rsidP="008862C7">
      <w:pPr>
        <w:rPr>
          <w:rFonts w:ascii="Arial" w:hAnsi="Arial" w:cs="Arial"/>
          <w:sz w:val="24"/>
          <w:szCs w:val="24"/>
        </w:rPr>
      </w:pPr>
    </w:p>
    <w:p w14:paraId="5C6C9103" w14:textId="77777777" w:rsidR="008862C7" w:rsidRDefault="008862C7" w:rsidP="008862C7">
      <w:pPr>
        <w:spacing w:after="0" w:line="360" w:lineRule="auto"/>
        <w:jc w:val="center"/>
        <w:rPr>
          <w:rFonts w:ascii="Arial" w:hAnsi="Arial" w:cs="Arial"/>
          <w:b/>
          <w:sz w:val="24"/>
          <w:szCs w:val="24"/>
        </w:rPr>
      </w:pPr>
      <w:r>
        <w:rPr>
          <w:rFonts w:ascii="Arial" w:hAnsi="Arial" w:cs="Arial"/>
          <w:b/>
          <w:sz w:val="24"/>
          <w:szCs w:val="24"/>
        </w:rPr>
        <w:lastRenderedPageBreak/>
        <w:t xml:space="preserve">LISTE DES FIGURES ET GRAPHIQUES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7579"/>
        <w:gridCol w:w="928"/>
      </w:tblGrid>
      <w:tr w:rsidR="008862C7" w14:paraId="6FC5631C" w14:textId="77777777" w:rsidTr="008862C7">
        <w:tc>
          <w:tcPr>
            <w:tcW w:w="974"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C03F62F" w14:textId="77777777" w:rsidR="008862C7" w:rsidRDefault="008862C7">
            <w:pPr>
              <w:tabs>
                <w:tab w:val="left" w:pos="708"/>
              </w:tabs>
              <w:spacing w:after="0" w:line="360" w:lineRule="auto"/>
              <w:jc w:val="center"/>
              <w:rPr>
                <w:rFonts w:ascii="Arial" w:eastAsia="Times New Roman" w:hAnsi="Arial" w:cs="Arial"/>
                <w:b/>
                <w:sz w:val="24"/>
                <w:szCs w:val="24"/>
              </w:rPr>
            </w:pPr>
            <w:r>
              <w:rPr>
                <w:rFonts w:ascii="Arial" w:hAnsi="Arial" w:cs="Arial"/>
                <w:b/>
                <w:sz w:val="24"/>
                <w:szCs w:val="24"/>
              </w:rPr>
              <w:t>Numéro</w:t>
            </w:r>
          </w:p>
        </w:tc>
        <w:tc>
          <w:tcPr>
            <w:tcW w:w="3587" w:type="pct"/>
            <w:tcBorders>
              <w:top w:val="single" w:sz="4" w:space="0" w:color="auto"/>
              <w:left w:val="single" w:sz="4" w:space="0" w:color="auto"/>
              <w:bottom w:val="single" w:sz="4" w:space="0" w:color="auto"/>
              <w:right w:val="single" w:sz="4" w:space="0" w:color="auto"/>
            </w:tcBorders>
            <w:shd w:val="clear" w:color="auto" w:fill="D6E3BC"/>
            <w:hideMark/>
          </w:tcPr>
          <w:p w14:paraId="4F083799" w14:textId="77777777" w:rsidR="008862C7" w:rsidRDefault="008862C7">
            <w:pPr>
              <w:tabs>
                <w:tab w:val="left" w:pos="708"/>
              </w:tabs>
              <w:spacing w:after="0" w:line="360" w:lineRule="auto"/>
              <w:jc w:val="center"/>
              <w:rPr>
                <w:rFonts w:ascii="Arial" w:eastAsia="Times New Roman" w:hAnsi="Arial" w:cs="Arial"/>
                <w:b/>
                <w:sz w:val="24"/>
                <w:szCs w:val="24"/>
              </w:rPr>
            </w:pPr>
            <w:r>
              <w:rPr>
                <w:rFonts w:ascii="Arial" w:hAnsi="Arial" w:cs="Arial"/>
                <w:b/>
                <w:sz w:val="24"/>
                <w:szCs w:val="24"/>
              </w:rPr>
              <w:t xml:space="preserve">TITRE </w:t>
            </w:r>
          </w:p>
        </w:tc>
        <w:tc>
          <w:tcPr>
            <w:tcW w:w="439" w:type="pct"/>
            <w:tcBorders>
              <w:top w:val="single" w:sz="4" w:space="0" w:color="auto"/>
              <w:left w:val="single" w:sz="4" w:space="0" w:color="auto"/>
              <w:bottom w:val="single" w:sz="4" w:space="0" w:color="auto"/>
              <w:right w:val="single" w:sz="4" w:space="0" w:color="auto"/>
            </w:tcBorders>
            <w:shd w:val="clear" w:color="auto" w:fill="D6E3BC"/>
            <w:hideMark/>
          </w:tcPr>
          <w:p w14:paraId="0949D036" w14:textId="77777777" w:rsidR="008862C7" w:rsidRDefault="008862C7">
            <w:pPr>
              <w:tabs>
                <w:tab w:val="left" w:pos="708"/>
              </w:tabs>
              <w:spacing w:after="0" w:line="360" w:lineRule="auto"/>
              <w:jc w:val="center"/>
              <w:rPr>
                <w:rFonts w:ascii="Arial" w:eastAsia="Times New Roman" w:hAnsi="Arial" w:cs="Arial"/>
                <w:b/>
                <w:sz w:val="24"/>
                <w:szCs w:val="24"/>
              </w:rPr>
            </w:pPr>
            <w:r>
              <w:rPr>
                <w:rFonts w:ascii="Arial" w:hAnsi="Arial" w:cs="Arial"/>
                <w:b/>
                <w:sz w:val="24"/>
                <w:szCs w:val="24"/>
              </w:rPr>
              <w:t>Page</w:t>
            </w:r>
          </w:p>
        </w:tc>
      </w:tr>
      <w:tr w:rsidR="008862C7" w14:paraId="2A9ADAAB"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02780B8F"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Figure 1.1</w:t>
            </w:r>
          </w:p>
        </w:tc>
        <w:tc>
          <w:tcPr>
            <w:tcW w:w="3587" w:type="pct"/>
            <w:tcBorders>
              <w:top w:val="single" w:sz="4" w:space="0" w:color="auto"/>
              <w:left w:val="single" w:sz="4" w:space="0" w:color="auto"/>
              <w:bottom w:val="single" w:sz="4" w:space="0" w:color="auto"/>
              <w:right w:val="single" w:sz="4" w:space="0" w:color="auto"/>
            </w:tcBorders>
            <w:hideMark/>
          </w:tcPr>
          <w:p w14:paraId="52600D18"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z w:val="24"/>
                <w:szCs w:val="24"/>
              </w:rPr>
              <w:t>Dynamique concurrentielle selon Porter</w:t>
            </w:r>
          </w:p>
        </w:tc>
        <w:tc>
          <w:tcPr>
            <w:tcW w:w="439" w:type="pct"/>
            <w:tcBorders>
              <w:top w:val="single" w:sz="4" w:space="0" w:color="auto"/>
              <w:left w:val="single" w:sz="4" w:space="0" w:color="auto"/>
              <w:bottom w:val="single" w:sz="4" w:space="0" w:color="auto"/>
              <w:right w:val="single" w:sz="4" w:space="0" w:color="auto"/>
            </w:tcBorders>
            <w:hideMark/>
          </w:tcPr>
          <w:p w14:paraId="49E328A3"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z w:val="24"/>
                <w:szCs w:val="24"/>
              </w:rPr>
              <w:t>24</w:t>
            </w:r>
          </w:p>
        </w:tc>
      </w:tr>
      <w:tr w:rsidR="008862C7" w14:paraId="6E286152"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11C3A9B7"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Figure 1.2</w:t>
            </w:r>
          </w:p>
        </w:tc>
        <w:tc>
          <w:tcPr>
            <w:tcW w:w="3587" w:type="pct"/>
            <w:tcBorders>
              <w:top w:val="single" w:sz="4" w:space="0" w:color="auto"/>
              <w:left w:val="single" w:sz="4" w:space="0" w:color="auto"/>
              <w:bottom w:val="single" w:sz="4" w:space="0" w:color="auto"/>
              <w:right w:val="single" w:sz="4" w:space="0" w:color="auto"/>
            </w:tcBorders>
            <w:hideMark/>
          </w:tcPr>
          <w:p w14:paraId="1A5291EC"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Principaux facteurs de la compétitivité prix et structurelle</w:t>
            </w:r>
          </w:p>
        </w:tc>
        <w:tc>
          <w:tcPr>
            <w:tcW w:w="439" w:type="pct"/>
            <w:tcBorders>
              <w:top w:val="single" w:sz="4" w:space="0" w:color="auto"/>
              <w:left w:val="single" w:sz="4" w:space="0" w:color="auto"/>
              <w:bottom w:val="single" w:sz="4" w:space="0" w:color="auto"/>
              <w:right w:val="single" w:sz="4" w:space="0" w:color="auto"/>
            </w:tcBorders>
            <w:hideMark/>
          </w:tcPr>
          <w:p w14:paraId="6CB4C64D"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29</w:t>
            </w:r>
          </w:p>
        </w:tc>
      </w:tr>
      <w:tr w:rsidR="008862C7" w14:paraId="3B16F930"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1E2A6F9E"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 xml:space="preserve">Figure 1.3 </w:t>
            </w:r>
          </w:p>
        </w:tc>
        <w:tc>
          <w:tcPr>
            <w:tcW w:w="3587" w:type="pct"/>
            <w:tcBorders>
              <w:top w:val="single" w:sz="4" w:space="0" w:color="auto"/>
              <w:left w:val="single" w:sz="4" w:space="0" w:color="auto"/>
              <w:bottom w:val="single" w:sz="4" w:space="0" w:color="auto"/>
              <w:right w:val="single" w:sz="4" w:space="0" w:color="auto"/>
            </w:tcBorders>
            <w:hideMark/>
          </w:tcPr>
          <w:p w14:paraId="5D08B85E"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Principaux facteurs de la compétitivité interne et externe</w:t>
            </w:r>
          </w:p>
        </w:tc>
        <w:tc>
          <w:tcPr>
            <w:tcW w:w="439" w:type="pct"/>
            <w:tcBorders>
              <w:top w:val="single" w:sz="4" w:space="0" w:color="auto"/>
              <w:left w:val="single" w:sz="4" w:space="0" w:color="auto"/>
              <w:bottom w:val="single" w:sz="4" w:space="0" w:color="auto"/>
              <w:right w:val="single" w:sz="4" w:space="0" w:color="auto"/>
            </w:tcBorders>
            <w:hideMark/>
          </w:tcPr>
          <w:p w14:paraId="3295E24A"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30</w:t>
            </w:r>
          </w:p>
        </w:tc>
      </w:tr>
      <w:tr w:rsidR="008862C7" w14:paraId="20128243"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7B628B23"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Figure</w:t>
            </w:r>
            <w:r>
              <w:rPr>
                <w:rFonts w:ascii="Arial" w:hAnsi="Arial" w:cs="Arial"/>
                <w:spacing w:val="1"/>
                <w:position w:val="-1"/>
                <w:sz w:val="24"/>
                <w:szCs w:val="24"/>
              </w:rPr>
              <w:t xml:space="preserve"> 1.4</w:t>
            </w:r>
          </w:p>
        </w:tc>
        <w:tc>
          <w:tcPr>
            <w:tcW w:w="3587" w:type="pct"/>
            <w:tcBorders>
              <w:top w:val="single" w:sz="4" w:space="0" w:color="auto"/>
              <w:left w:val="single" w:sz="4" w:space="0" w:color="auto"/>
              <w:bottom w:val="single" w:sz="4" w:space="0" w:color="auto"/>
              <w:right w:val="single" w:sz="4" w:space="0" w:color="auto"/>
            </w:tcBorders>
            <w:hideMark/>
          </w:tcPr>
          <w:p w14:paraId="0E80C2B7" w14:textId="77777777" w:rsidR="008862C7" w:rsidRDefault="008862C7">
            <w:pPr>
              <w:widowControl w:val="0"/>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pacing w:val="-1"/>
                <w:sz w:val="24"/>
                <w:szCs w:val="24"/>
              </w:rPr>
              <w:t>T</w:t>
            </w:r>
            <w:r>
              <w:rPr>
                <w:rFonts w:ascii="Arial" w:hAnsi="Arial" w:cs="Arial"/>
                <w:sz w:val="24"/>
                <w:szCs w:val="24"/>
              </w:rPr>
              <w:t>ypologie</w:t>
            </w:r>
            <w:r>
              <w:rPr>
                <w:rFonts w:ascii="Arial" w:hAnsi="Arial" w:cs="Arial"/>
                <w:spacing w:val="53"/>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56"/>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es coton en Afrique</w:t>
            </w:r>
          </w:p>
        </w:tc>
        <w:tc>
          <w:tcPr>
            <w:tcW w:w="439" w:type="pct"/>
            <w:tcBorders>
              <w:top w:val="single" w:sz="4" w:space="0" w:color="auto"/>
              <w:left w:val="single" w:sz="4" w:space="0" w:color="auto"/>
              <w:bottom w:val="single" w:sz="4" w:space="0" w:color="auto"/>
              <w:right w:val="single" w:sz="4" w:space="0" w:color="auto"/>
            </w:tcBorders>
            <w:hideMark/>
          </w:tcPr>
          <w:p w14:paraId="7CBAA9D6" w14:textId="77777777" w:rsidR="008862C7" w:rsidRDefault="008862C7">
            <w:pPr>
              <w:widowControl w:val="0"/>
              <w:tabs>
                <w:tab w:val="left" w:pos="708"/>
              </w:tabs>
              <w:autoSpaceDE w:val="0"/>
              <w:autoSpaceDN w:val="0"/>
              <w:adjustRightInd w:val="0"/>
              <w:spacing w:after="0" w:line="360" w:lineRule="auto"/>
              <w:jc w:val="both"/>
              <w:rPr>
                <w:rFonts w:ascii="Arial" w:eastAsia="Times New Roman" w:hAnsi="Arial" w:cs="Arial"/>
                <w:spacing w:val="-1"/>
                <w:sz w:val="24"/>
                <w:szCs w:val="24"/>
              </w:rPr>
            </w:pPr>
            <w:r>
              <w:rPr>
                <w:rFonts w:ascii="Arial" w:hAnsi="Arial" w:cs="Arial"/>
                <w:spacing w:val="-1"/>
                <w:sz w:val="24"/>
                <w:szCs w:val="24"/>
              </w:rPr>
              <w:t>42</w:t>
            </w:r>
          </w:p>
        </w:tc>
      </w:tr>
      <w:tr w:rsidR="008862C7" w14:paraId="33FA7CE5"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011C0036"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Figure</w:t>
            </w:r>
            <w:r>
              <w:rPr>
                <w:rStyle w:val="Appeldenote"/>
                <w:rFonts w:ascii="Arial" w:hAnsi="Arial" w:cs="Arial"/>
              </w:rPr>
              <w:t xml:space="preserve"> 2.1</w:t>
            </w:r>
            <w:r>
              <w:rPr>
                <w:rStyle w:val="Appeldenote"/>
                <w:rFonts w:ascii="Arial" w:hAnsi="Arial" w:cs="Arial"/>
                <w:sz w:val="24"/>
                <w:szCs w:val="24"/>
              </w:rPr>
              <w:t> </w:t>
            </w:r>
          </w:p>
        </w:tc>
        <w:tc>
          <w:tcPr>
            <w:tcW w:w="3587" w:type="pct"/>
            <w:tcBorders>
              <w:top w:val="single" w:sz="4" w:space="0" w:color="auto"/>
              <w:left w:val="single" w:sz="4" w:space="0" w:color="auto"/>
              <w:bottom w:val="single" w:sz="4" w:space="0" w:color="auto"/>
              <w:right w:val="single" w:sz="4" w:space="0" w:color="auto"/>
            </w:tcBorders>
            <w:hideMark/>
          </w:tcPr>
          <w:p w14:paraId="2A40D01D" w14:textId="77777777" w:rsidR="008862C7" w:rsidRDefault="008862C7">
            <w:pPr>
              <w:pStyle w:val="texte"/>
              <w:spacing w:after="0" w:line="360" w:lineRule="auto"/>
              <w:jc w:val="both"/>
              <w:rPr>
                <w:rStyle w:val="Appeldenote"/>
                <w:rFonts w:ascii="Arial" w:hAnsi="Arial" w:cs="Arial"/>
              </w:rPr>
            </w:pPr>
            <w:r>
              <w:rPr>
                <w:rStyle w:val="Appeldenote"/>
                <w:rFonts w:ascii="Arial" w:hAnsi="Arial" w:cs="Arial"/>
              </w:rPr>
              <w:t>Zones cotonnières principale et marginale en RCA</w:t>
            </w:r>
          </w:p>
        </w:tc>
        <w:tc>
          <w:tcPr>
            <w:tcW w:w="439" w:type="pct"/>
            <w:tcBorders>
              <w:top w:val="single" w:sz="4" w:space="0" w:color="auto"/>
              <w:left w:val="single" w:sz="4" w:space="0" w:color="auto"/>
              <w:bottom w:val="single" w:sz="4" w:space="0" w:color="auto"/>
              <w:right w:val="single" w:sz="4" w:space="0" w:color="auto"/>
            </w:tcBorders>
          </w:tcPr>
          <w:p w14:paraId="137CC0BB" w14:textId="77777777" w:rsidR="008862C7" w:rsidRDefault="008862C7">
            <w:pPr>
              <w:tabs>
                <w:tab w:val="left" w:pos="708"/>
              </w:tabs>
              <w:spacing w:after="0" w:line="360" w:lineRule="auto"/>
              <w:jc w:val="both"/>
              <w:rPr>
                <w:rFonts w:ascii="Arial" w:eastAsia="Times New Roman" w:hAnsi="Arial" w:cs="Arial"/>
                <w:sz w:val="24"/>
                <w:szCs w:val="24"/>
              </w:rPr>
            </w:pPr>
          </w:p>
        </w:tc>
      </w:tr>
      <w:tr w:rsidR="008862C7" w14:paraId="4481CB1E"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2B962CCE"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Figure 2.</w:t>
            </w:r>
            <w:r>
              <w:rPr>
                <w:rFonts w:ascii="Arial" w:hAnsi="Arial" w:cs="Arial"/>
              </w:rPr>
              <w:t>2</w:t>
            </w:r>
          </w:p>
        </w:tc>
        <w:tc>
          <w:tcPr>
            <w:tcW w:w="3587" w:type="pct"/>
            <w:tcBorders>
              <w:top w:val="single" w:sz="4" w:space="0" w:color="auto"/>
              <w:left w:val="single" w:sz="4" w:space="0" w:color="auto"/>
              <w:bottom w:val="single" w:sz="4" w:space="0" w:color="auto"/>
              <w:right w:val="single" w:sz="4" w:space="0" w:color="auto"/>
            </w:tcBorders>
            <w:hideMark/>
          </w:tcPr>
          <w:p w14:paraId="3B41A13B" w14:textId="77777777" w:rsidR="008862C7" w:rsidRDefault="008862C7">
            <w:pPr>
              <w:pStyle w:val="Standard"/>
              <w:spacing w:after="0" w:line="360" w:lineRule="auto"/>
              <w:jc w:val="both"/>
              <w:rPr>
                <w:rFonts w:ascii="Arial" w:hAnsi="Arial" w:cs="Arial"/>
              </w:rPr>
            </w:pPr>
            <w:r>
              <w:rPr>
                <w:rFonts w:ascii="Arial" w:hAnsi="Arial" w:cs="Arial"/>
              </w:rPr>
              <w:t>Zone de production cotonnière en RCA</w:t>
            </w:r>
          </w:p>
        </w:tc>
        <w:tc>
          <w:tcPr>
            <w:tcW w:w="439" w:type="pct"/>
            <w:tcBorders>
              <w:top w:val="single" w:sz="4" w:space="0" w:color="auto"/>
              <w:left w:val="single" w:sz="4" w:space="0" w:color="auto"/>
              <w:bottom w:val="single" w:sz="4" w:space="0" w:color="auto"/>
              <w:right w:val="single" w:sz="4" w:space="0" w:color="auto"/>
            </w:tcBorders>
          </w:tcPr>
          <w:p w14:paraId="5FD33414" w14:textId="77777777" w:rsidR="008862C7" w:rsidRDefault="008862C7">
            <w:pPr>
              <w:tabs>
                <w:tab w:val="left" w:pos="708"/>
              </w:tabs>
              <w:spacing w:after="0" w:line="360" w:lineRule="auto"/>
              <w:jc w:val="both"/>
              <w:rPr>
                <w:rFonts w:ascii="Arial" w:eastAsia="Times New Roman" w:hAnsi="Arial" w:cs="Arial"/>
                <w:sz w:val="24"/>
                <w:szCs w:val="24"/>
              </w:rPr>
            </w:pPr>
          </w:p>
        </w:tc>
      </w:tr>
      <w:tr w:rsidR="008862C7" w14:paraId="51B2E0BE"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425A0E4C"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Graphique 2.1</w:t>
            </w:r>
          </w:p>
        </w:tc>
        <w:tc>
          <w:tcPr>
            <w:tcW w:w="3587" w:type="pct"/>
            <w:tcBorders>
              <w:top w:val="single" w:sz="4" w:space="0" w:color="auto"/>
              <w:left w:val="single" w:sz="4" w:space="0" w:color="auto"/>
              <w:bottom w:val="single" w:sz="4" w:space="0" w:color="auto"/>
              <w:right w:val="single" w:sz="4" w:space="0" w:color="auto"/>
            </w:tcBorders>
            <w:hideMark/>
          </w:tcPr>
          <w:p w14:paraId="13E34FA1"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 xml:space="preserve">Evolution de la production mondiale de coton de 1999-2015 </w:t>
            </w:r>
          </w:p>
        </w:tc>
        <w:tc>
          <w:tcPr>
            <w:tcW w:w="439" w:type="pct"/>
            <w:tcBorders>
              <w:top w:val="single" w:sz="4" w:space="0" w:color="auto"/>
              <w:left w:val="single" w:sz="4" w:space="0" w:color="auto"/>
              <w:bottom w:val="single" w:sz="4" w:space="0" w:color="auto"/>
              <w:right w:val="single" w:sz="4" w:space="0" w:color="auto"/>
            </w:tcBorders>
            <w:hideMark/>
          </w:tcPr>
          <w:p w14:paraId="12729B0C"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56</w:t>
            </w:r>
          </w:p>
        </w:tc>
      </w:tr>
      <w:tr w:rsidR="008862C7" w14:paraId="4A7056AC"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5664BA81"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 xml:space="preserve">Graphique 2.2 </w:t>
            </w:r>
          </w:p>
        </w:tc>
        <w:tc>
          <w:tcPr>
            <w:tcW w:w="3587" w:type="pct"/>
            <w:tcBorders>
              <w:top w:val="single" w:sz="4" w:space="0" w:color="auto"/>
              <w:left w:val="single" w:sz="4" w:space="0" w:color="auto"/>
              <w:bottom w:val="single" w:sz="4" w:space="0" w:color="auto"/>
              <w:right w:val="single" w:sz="4" w:space="0" w:color="auto"/>
            </w:tcBorders>
            <w:hideMark/>
          </w:tcPr>
          <w:p w14:paraId="7153CCC3"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bCs/>
                <w:sz w:val="24"/>
                <w:szCs w:val="24"/>
              </w:rPr>
            </w:pPr>
            <w:r>
              <w:rPr>
                <w:rFonts w:ascii="Arial" w:hAnsi="Arial" w:cs="Arial"/>
                <w:bCs/>
                <w:sz w:val="24"/>
                <w:szCs w:val="24"/>
              </w:rPr>
              <w:t xml:space="preserve">Evolution des prix du coton selon l’Indice A Cotton  Outlook trimestriel </w:t>
            </w:r>
          </w:p>
        </w:tc>
        <w:tc>
          <w:tcPr>
            <w:tcW w:w="439" w:type="pct"/>
            <w:tcBorders>
              <w:top w:val="single" w:sz="4" w:space="0" w:color="auto"/>
              <w:left w:val="single" w:sz="4" w:space="0" w:color="auto"/>
              <w:bottom w:val="single" w:sz="4" w:space="0" w:color="auto"/>
              <w:right w:val="single" w:sz="4" w:space="0" w:color="auto"/>
            </w:tcBorders>
            <w:hideMark/>
          </w:tcPr>
          <w:p w14:paraId="36E3563E"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bCs/>
                <w:sz w:val="24"/>
                <w:szCs w:val="24"/>
              </w:rPr>
            </w:pPr>
            <w:r>
              <w:rPr>
                <w:rFonts w:ascii="Arial" w:hAnsi="Arial" w:cs="Arial"/>
                <w:bCs/>
                <w:sz w:val="24"/>
                <w:szCs w:val="24"/>
              </w:rPr>
              <w:t>67</w:t>
            </w:r>
          </w:p>
        </w:tc>
      </w:tr>
      <w:tr w:rsidR="008862C7" w14:paraId="45C4CA0F"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52B9EFA2"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Graphique 3.1</w:t>
            </w:r>
          </w:p>
        </w:tc>
        <w:tc>
          <w:tcPr>
            <w:tcW w:w="3587" w:type="pct"/>
            <w:tcBorders>
              <w:top w:val="single" w:sz="4" w:space="0" w:color="auto"/>
              <w:left w:val="single" w:sz="4" w:space="0" w:color="auto"/>
              <w:bottom w:val="single" w:sz="4" w:space="0" w:color="auto"/>
              <w:right w:val="single" w:sz="4" w:space="0" w:color="auto"/>
            </w:tcBorders>
            <w:hideMark/>
          </w:tcPr>
          <w:p w14:paraId="422AE9F3" w14:textId="77777777" w:rsidR="008862C7" w:rsidRDefault="008862C7">
            <w:pPr>
              <w:tabs>
                <w:tab w:val="left" w:pos="708"/>
              </w:tabs>
              <w:spacing w:after="0" w:line="360" w:lineRule="auto"/>
              <w:jc w:val="both"/>
              <w:rPr>
                <w:rFonts w:eastAsia="Times New Roman" w:cs="Times New Roman"/>
              </w:rPr>
            </w:pPr>
            <w:r>
              <w:rPr>
                <w:rFonts w:ascii="Arial" w:hAnsi="Arial" w:cs="Arial"/>
                <w:sz w:val="24"/>
                <w:szCs w:val="24"/>
              </w:rPr>
              <w:t>Incidence de l’âge du producteur sur la taille et la répartition de la production</w:t>
            </w:r>
          </w:p>
        </w:tc>
        <w:tc>
          <w:tcPr>
            <w:tcW w:w="439" w:type="pct"/>
            <w:tcBorders>
              <w:top w:val="single" w:sz="4" w:space="0" w:color="auto"/>
              <w:left w:val="single" w:sz="4" w:space="0" w:color="auto"/>
              <w:bottom w:val="single" w:sz="4" w:space="0" w:color="auto"/>
              <w:right w:val="single" w:sz="4" w:space="0" w:color="auto"/>
            </w:tcBorders>
            <w:hideMark/>
          </w:tcPr>
          <w:p w14:paraId="035DEFCA"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94</w:t>
            </w:r>
          </w:p>
        </w:tc>
      </w:tr>
      <w:tr w:rsidR="008862C7" w14:paraId="2E701074"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29888BB3"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 xml:space="preserve">Graphique 3.2 </w:t>
            </w:r>
          </w:p>
        </w:tc>
        <w:tc>
          <w:tcPr>
            <w:tcW w:w="3587" w:type="pct"/>
            <w:tcBorders>
              <w:top w:val="single" w:sz="4" w:space="0" w:color="auto"/>
              <w:left w:val="single" w:sz="4" w:space="0" w:color="auto"/>
              <w:bottom w:val="single" w:sz="4" w:space="0" w:color="auto"/>
              <w:right w:val="single" w:sz="4" w:space="0" w:color="auto"/>
            </w:tcBorders>
            <w:hideMark/>
          </w:tcPr>
          <w:p w14:paraId="76641B3B"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 xml:space="preserve">Situation matrimoniale des producteurs de coton </w:t>
            </w:r>
          </w:p>
        </w:tc>
        <w:tc>
          <w:tcPr>
            <w:tcW w:w="439" w:type="pct"/>
            <w:tcBorders>
              <w:top w:val="single" w:sz="4" w:space="0" w:color="auto"/>
              <w:left w:val="single" w:sz="4" w:space="0" w:color="auto"/>
              <w:bottom w:val="single" w:sz="4" w:space="0" w:color="auto"/>
              <w:right w:val="single" w:sz="4" w:space="0" w:color="auto"/>
            </w:tcBorders>
            <w:hideMark/>
          </w:tcPr>
          <w:p w14:paraId="79759207"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97</w:t>
            </w:r>
          </w:p>
        </w:tc>
      </w:tr>
      <w:tr w:rsidR="008862C7" w14:paraId="18E35ED7"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1C33FA00" w14:textId="77777777" w:rsidR="008862C7" w:rsidRDefault="008862C7">
            <w:pPr>
              <w:tabs>
                <w:tab w:val="left" w:pos="708"/>
              </w:tabs>
              <w:spacing w:after="0" w:line="360" w:lineRule="auto"/>
              <w:rPr>
                <w:rFonts w:ascii="Arial" w:eastAsia="Times New Roman" w:hAnsi="Arial" w:cs="Arial"/>
                <w:bCs/>
                <w:sz w:val="24"/>
                <w:szCs w:val="24"/>
              </w:rPr>
            </w:pPr>
            <w:r>
              <w:rPr>
                <w:rFonts w:ascii="Arial" w:hAnsi="Arial" w:cs="Arial"/>
                <w:bCs/>
                <w:sz w:val="24"/>
                <w:szCs w:val="24"/>
              </w:rPr>
              <w:t>Graphique 3.3</w:t>
            </w:r>
          </w:p>
        </w:tc>
        <w:tc>
          <w:tcPr>
            <w:tcW w:w="3587" w:type="pct"/>
            <w:tcBorders>
              <w:top w:val="single" w:sz="4" w:space="0" w:color="auto"/>
              <w:left w:val="single" w:sz="4" w:space="0" w:color="auto"/>
              <w:bottom w:val="single" w:sz="4" w:space="0" w:color="auto"/>
              <w:right w:val="single" w:sz="4" w:space="0" w:color="auto"/>
            </w:tcBorders>
            <w:hideMark/>
          </w:tcPr>
          <w:p w14:paraId="110A8CE6"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Niveau d’instruction des producteurs de coton</w:t>
            </w:r>
          </w:p>
        </w:tc>
        <w:tc>
          <w:tcPr>
            <w:tcW w:w="439" w:type="pct"/>
            <w:tcBorders>
              <w:top w:val="single" w:sz="4" w:space="0" w:color="auto"/>
              <w:left w:val="single" w:sz="4" w:space="0" w:color="auto"/>
              <w:bottom w:val="single" w:sz="4" w:space="0" w:color="auto"/>
              <w:right w:val="single" w:sz="4" w:space="0" w:color="auto"/>
            </w:tcBorders>
            <w:hideMark/>
          </w:tcPr>
          <w:p w14:paraId="5CCBFE30"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98</w:t>
            </w:r>
          </w:p>
        </w:tc>
      </w:tr>
      <w:tr w:rsidR="008862C7" w14:paraId="0BB58074"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65BA2B0E"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 xml:space="preserve">Graphique 3.4 </w:t>
            </w:r>
          </w:p>
        </w:tc>
        <w:tc>
          <w:tcPr>
            <w:tcW w:w="3587" w:type="pct"/>
            <w:tcBorders>
              <w:top w:val="single" w:sz="4" w:space="0" w:color="auto"/>
              <w:left w:val="single" w:sz="4" w:space="0" w:color="auto"/>
              <w:bottom w:val="single" w:sz="4" w:space="0" w:color="auto"/>
              <w:right w:val="single" w:sz="4" w:space="0" w:color="auto"/>
            </w:tcBorders>
            <w:hideMark/>
          </w:tcPr>
          <w:p w14:paraId="3212A6D5" w14:textId="77777777" w:rsidR="008862C7" w:rsidRDefault="008862C7">
            <w:pPr>
              <w:tabs>
                <w:tab w:val="left" w:pos="708"/>
              </w:tabs>
              <w:spacing w:after="0" w:line="360" w:lineRule="auto"/>
              <w:jc w:val="both"/>
              <w:rPr>
                <w:rFonts w:eastAsia="Times New Roman" w:cs="Times New Roman"/>
              </w:rPr>
            </w:pPr>
            <w:r>
              <w:rPr>
                <w:rFonts w:ascii="Arial" w:hAnsi="Arial" w:cs="Arial"/>
                <w:sz w:val="24"/>
                <w:szCs w:val="24"/>
              </w:rPr>
              <w:t>Evolution de la production, des superficies et des rendements du coton</w:t>
            </w:r>
          </w:p>
        </w:tc>
        <w:tc>
          <w:tcPr>
            <w:tcW w:w="439" w:type="pct"/>
            <w:tcBorders>
              <w:top w:val="single" w:sz="4" w:space="0" w:color="auto"/>
              <w:left w:val="single" w:sz="4" w:space="0" w:color="auto"/>
              <w:bottom w:val="single" w:sz="4" w:space="0" w:color="auto"/>
              <w:right w:val="single" w:sz="4" w:space="0" w:color="auto"/>
            </w:tcBorders>
            <w:hideMark/>
          </w:tcPr>
          <w:p w14:paraId="1096FEB1"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99</w:t>
            </w:r>
          </w:p>
        </w:tc>
      </w:tr>
      <w:tr w:rsidR="008862C7" w14:paraId="75F2437B"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4D0DA5CD"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Graphique 3.5</w:t>
            </w:r>
          </w:p>
        </w:tc>
        <w:tc>
          <w:tcPr>
            <w:tcW w:w="3587" w:type="pct"/>
            <w:tcBorders>
              <w:top w:val="single" w:sz="4" w:space="0" w:color="auto"/>
              <w:left w:val="single" w:sz="4" w:space="0" w:color="auto"/>
              <w:bottom w:val="single" w:sz="4" w:space="0" w:color="auto"/>
              <w:right w:val="single" w:sz="4" w:space="0" w:color="auto"/>
            </w:tcBorders>
            <w:hideMark/>
          </w:tcPr>
          <w:p w14:paraId="1F9E8423"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 xml:space="preserve">Part de la main d'œuvre utilisée sur l'exploitation selon les sources </w:t>
            </w:r>
          </w:p>
        </w:tc>
        <w:tc>
          <w:tcPr>
            <w:tcW w:w="439" w:type="pct"/>
            <w:tcBorders>
              <w:top w:val="single" w:sz="4" w:space="0" w:color="auto"/>
              <w:left w:val="single" w:sz="4" w:space="0" w:color="auto"/>
              <w:bottom w:val="single" w:sz="4" w:space="0" w:color="auto"/>
              <w:right w:val="single" w:sz="4" w:space="0" w:color="auto"/>
            </w:tcBorders>
            <w:hideMark/>
          </w:tcPr>
          <w:p w14:paraId="1F400450"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106</w:t>
            </w:r>
          </w:p>
        </w:tc>
      </w:tr>
      <w:tr w:rsidR="008862C7" w14:paraId="3DB986A6"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6A13BE64"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Graphique 3.6</w:t>
            </w:r>
          </w:p>
        </w:tc>
        <w:tc>
          <w:tcPr>
            <w:tcW w:w="3587" w:type="pct"/>
            <w:tcBorders>
              <w:top w:val="single" w:sz="4" w:space="0" w:color="auto"/>
              <w:left w:val="single" w:sz="4" w:space="0" w:color="auto"/>
              <w:bottom w:val="single" w:sz="4" w:space="0" w:color="auto"/>
              <w:right w:val="single" w:sz="4" w:space="0" w:color="auto"/>
            </w:tcBorders>
            <w:hideMark/>
          </w:tcPr>
          <w:p w14:paraId="127BF426"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Répartition de la main d'œuvre extérieure entre les différentes activités de l'itinéraire technique</w:t>
            </w:r>
          </w:p>
        </w:tc>
        <w:tc>
          <w:tcPr>
            <w:tcW w:w="439" w:type="pct"/>
            <w:tcBorders>
              <w:top w:val="single" w:sz="4" w:space="0" w:color="auto"/>
              <w:left w:val="single" w:sz="4" w:space="0" w:color="auto"/>
              <w:bottom w:val="single" w:sz="4" w:space="0" w:color="auto"/>
              <w:right w:val="single" w:sz="4" w:space="0" w:color="auto"/>
            </w:tcBorders>
            <w:hideMark/>
          </w:tcPr>
          <w:p w14:paraId="385205E9"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107</w:t>
            </w:r>
          </w:p>
        </w:tc>
      </w:tr>
      <w:tr w:rsidR="008862C7" w14:paraId="1D15AA06"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116F6154" w14:textId="77777777" w:rsidR="008862C7" w:rsidRDefault="008862C7">
            <w:pPr>
              <w:tabs>
                <w:tab w:val="left" w:pos="708"/>
              </w:tabs>
              <w:spacing w:after="0" w:line="360" w:lineRule="auto"/>
              <w:rPr>
                <w:rFonts w:eastAsia="Times New Roman" w:cs="Times New Roman"/>
              </w:rPr>
            </w:pPr>
            <w:r>
              <w:rPr>
                <w:rFonts w:ascii="Arial" w:hAnsi="Arial" w:cs="Arial"/>
                <w:bCs/>
                <w:iCs/>
                <w:sz w:val="24"/>
                <w:szCs w:val="24"/>
              </w:rPr>
              <w:t>Graphique 4.1</w:t>
            </w:r>
          </w:p>
        </w:tc>
        <w:tc>
          <w:tcPr>
            <w:tcW w:w="3587" w:type="pct"/>
            <w:tcBorders>
              <w:top w:val="single" w:sz="4" w:space="0" w:color="auto"/>
              <w:left w:val="single" w:sz="4" w:space="0" w:color="auto"/>
              <w:bottom w:val="single" w:sz="4" w:space="0" w:color="auto"/>
              <w:right w:val="single" w:sz="4" w:space="0" w:color="auto"/>
            </w:tcBorders>
            <w:hideMark/>
          </w:tcPr>
          <w:p w14:paraId="78F590E1"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 xml:space="preserve">Salaire moyenne effectif de la RCA, du Cameroun et du Congo </w:t>
            </w:r>
          </w:p>
        </w:tc>
        <w:tc>
          <w:tcPr>
            <w:tcW w:w="439" w:type="pct"/>
            <w:tcBorders>
              <w:top w:val="single" w:sz="4" w:space="0" w:color="auto"/>
              <w:left w:val="single" w:sz="4" w:space="0" w:color="auto"/>
              <w:bottom w:val="single" w:sz="4" w:space="0" w:color="auto"/>
              <w:right w:val="single" w:sz="4" w:space="0" w:color="auto"/>
            </w:tcBorders>
            <w:hideMark/>
          </w:tcPr>
          <w:p w14:paraId="7FC3FEDF"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137</w:t>
            </w:r>
          </w:p>
        </w:tc>
      </w:tr>
      <w:tr w:rsidR="008862C7" w14:paraId="0AB2AA62"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63286924"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 xml:space="preserve">Graphique 4.2 </w:t>
            </w:r>
          </w:p>
        </w:tc>
        <w:tc>
          <w:tcPr>
            <w:tcW w:w="3587" w:type="pct"/>
            <w:tcBorders>
              <w:top w:val="single" w:sz="4" w:space="0" w:color="auto"/>
              <w:left w:val="single" w:sz="4" w:space="0" w:color="auto"/>
              <w:bottom w:val="single" w:sz="4" w:space="0" w:color="auto"/>
              <w:right w:val="single" w:sz="4" w:space="0" w:color="auto"/>
            </w:tcBorders>
            <w:hideMark/>
          </w:tcPr>
          <w:p w14:paraId="2056766D"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Evolution des subventions et de la superficie du coton.</w:t>
            </w:r>
          </w:p>
        </w:tc>
        <w:tc>
          <w:tcPr>
            <w:tcW w:w="439" w:type="pct"/>
            <w:tcBorders>
              <w:top w:val="single" w:sz="4" w:space="0" w:color="auto"/>
              <w:left w:val="single" w:sz="4" w:space="0" w:color="auto"/>
              <w:bottom w:val="single" w:sz="4" w:space="0" w:color="auto"/>
              <w:right w:val="single" w:sz="4" w:space="0" w:color="auto"/>
            </w:tcBorders>
            <w:hideMark/>
          </w:tcPr>
          <w:p w14:paraId="300A001A"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141</w:t>
            </w:r>
          </w:p>
        </w:tc>
      </w:tr>
      <w:tr w:rsidR="008862C7" w14:paraId="738E3759"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033F2947"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Graphique 4.3</w:t>
            </w:r>
          </w:p>
        </w:tc>
        <w:tc>
          <w:tcPr>
            <w:tcW w:w="3587" w:type="pct"/>
            <w:tcBorders>
              <w:top w:val="single" w:sz="4" w:space="0" w:color="auto"/>
              <w:left w:val="single" w:sz="4" w:space="0" w:color="auto"/>
              <w:bottom w:val="single" w:sz="4" w:space="0" w:color="auto"/>
              <w:right w:val="single" w:sz="4" w:space="0" w:color="auto"/>
            </w:tcBorders>
            <w:hideMark/>
          </w:tcPr>
          <w:p w14:paraId="291F3AB2"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bCs/>
                <w:sz w:val="24"/>
                <w:szCs w:val="24"/>
              </w:rPr>
              <w:t>Evolution</w:t>
            </w:r>
            <w:r>
              <w:rPr>
                <w:rFonts w:ascii="Arial" w:hAnsi="Arial" w:cs="Arial"/>
                <w:sz w:val="24"/>
                <w:szCs w:val="24"/>
              </w:rPr>
              <w:t xml:space="preserve"> des subventions et du rendement à l'hectare de coton </w:t>
            </w:r>
          </w:p>
        </w:tc>
        <w:tc>
          <w:tcPr>
            <w:tcW w:w="439" w:type="pct"/>
            <w:tcBorders>
              <w:top w:val="single" w:sz="4" w:space="0" w:color="auto"/>
              <w:left w:val="single" w:sz="4" w:space="0" w:color="auto"/>
              <w:bottom w:val="single" w:sz="4" w:space="0" w:color="auto"/>
              <w:right w:val="single" w:sz="4" w:space="0" w:color="auto"/>
            </w:tcBorders>
            <w:hideMark/>
          </w:tcPr>
          <w:p w14:paraId="2E1B9775" w14:textId="77777777" w:rsidR="008862C7" w:rsidRDefault="008862C7">
            <w:pPr>
              <w:tabs>
                <w:tab w:val="left" w:pos="708"/>
              </w:tabs>
              <w:spacing w:after="0" w:line="360" w:lineRule="auto"/>
              <w:jc w:val="both"/>
              <w:rPr>
                <w:rFonts w:ascii="Arial" w:eastAsia="Times New Roman" w:hAnsi="Arial" w:cs="Arial"/>
                <w:bCs/>
                <w:sz w:val="24"/>
                <w:szCs w:val="24"/>
              </w:rPr>
            </w:pPr>
            <w:r>
              <w:rPr>
                <w:rFonts w:ascii="Arial" w:hAnsi="Arial" w:cs="Arial"/>
                <w:bCs/>
                <w:sz w:val="24"/>
                <w:szCs w:val="24"/>
              </w:rPr>
              <w:t>142</w:t>
            </w:r>
          </w:p>
        </w:tc>
      </w:tr>
      <w:tr w:rsidR="008862C7" w14:paraId="136C51CE"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31EE34FD" w14:textId="77777777" w:rsidR="008862C7" w:rsidRDefault="008862C7">
            <w:pPr>
              <w:tabs>
                <w:tab w:val="left" w:pos="708"/>
              </w:tabs>
              <w:spacing w:after="0" w:line="360" w:lineRule="auto"/>
              <w:rPr>
                <w:rFonts w:eastAsia="Times New Roman" w:cs="Times New Roman"/>
              </w:rPr>
            </w:pPr>
            <w:r>
              <w:rPr>
                <w:rFonts w:ascii="Arial" w:hAnsi="Arial" w:cs="Arial"/>
                <w:sz w:val="24"/>
                <w:szCs w:val="24"/>
              </w:rPr>
              <w:t xml:space="preserve">Graphique 4.4 </w:t>
            </w:r>
          </w:p>
        </w:tc>
        <w:tc>
          <w:tcPr>
            <w:tcW w:w="3587" w:type="pct"/>
            <w:tcBorders>
              <w:top w:val="single" w:sz="4" w:space="0" w:color="auto"/>
              <w:left w:val="single" w:sz="4" w:space="0" w:color="auto"/>
              <w:bottom w:val="single" w:sz="4" w:space="0" w:color="auto"/>
              <w:right w:val="single" w:sz="4" w:space="0" w:color="auto"/>
            </w:tcBorders>
            <w:hideMark/>
          </w:tcPr>
          <w:p w14:paraId="1A7397DE"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Impact des subventions sur le niveau de la production</w:t>
            </w:r>
          </w:p>
        </w:tc>
        <w:tc>
          <w:tcPr>
            <w:tcW w:w="439" w:type="pct"/>
            <w:tcBorders>
              <w:top w:val="single" w:sz="4" w:space="0" w:color="auto"/>
              <w:left w:val="single" w:sz="4" w:space="0" w:color="auto"/>
              <w:bottom w:val="single" w:sz="4" w:space="0" w:color="auto"/>
              <w:right w:val="single" w:sz="4" w:space="0" w:color="auto"/>
            </w:tcBorders>
            <w:hideMark/>
          </w:tcPr>
          <w:p w14:paraId="5F95DDD6" w14:textId="77777777" w:rsidR="008862C7" w:rsidRDefault="008862C7">
            <w:pPr>
              <w:tabs>
                <w:tab w:val="left" w:pos="708"/>
              </w:tabs>
              <w:spacing w:after="0" w:line="360" w:lineRule="auto"/>
              <w:jc w:val="both"/>
              <w:rPr>
                <w:rFonts w:ascii="Arial" w:eastAsia="Times New Roman" w:hAnsi="Arial" w:cs="Arial"/>
                <w:sz w:val="24"/>
                <w:szCs w:val="24"/>
              </w:rPr>
            </w:pPr>
            <w:r>
              <w:rPr>
                <w:rFonts w:ascii="Arial" w:hAnsi="Arial" w:cs="Arial"/>
                <w:sz w:val="24"/>
                <w:szCs w:val="24"/>
              </w:rPr>
              <w:t>142</w:t>
            </w:r>
          </w:p>
        </w:tc>
      </w:tr>
      <w:tr w:rsidR="008862C7" w14:paraId="72FB493F"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3D8B175D"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Graphique 4.5</w:t>
            </w:r>
          </w:p>
        </w:tc>
        <w:tc>
          <w:tcPr>
            <w:tcW w:w="3587" w:type="pct"/>
            <w:tcBorders>
              <w:top w:val="single" w:sz="4" w:space="0" w:color="auto"/>
              <w:left w:val="single" w:sz="4" w:space="0" w:color="auto"/>
              <w:bottom w:val="single" w:sz="4" w:space="0" w:color="auto"/>
              <w:right w:val="single" w:sz="4" w:space="0" w:color="auto"/>
            </w:tcBorders>
            <w:hideMark/>
          </w:tcPr>
          <w:p w14:paraId="1C0C2839" w14:textId="77777777" w:rsidR="008862C7" w:rsidRDefault="008862C7">
            <w:pPr>
              <w:pStyle w:val="Textebrut"/>
              <w:spacing w:line="360" w:lineRule="auto"/>
              <w:jc w:val="both"/>
              <w:rPr>
                <w:rFonts w:ascii="Arial" w:hAnsi="Arial" w:cs="Arial"/>
                <w:sz w:val="24"/>
                <w:szCs w:val="24"/>
              </w:rPr>
            </w:pPr>
            <w:r>
              <w:rPr>
                <w:rFonts w:ascii="Arial" w:hAnsi="Arial" w:cs="Arial"/>
                <w:sz w:val="24"/>
                <w:szCs w:val="24"/>
              </w:rPr>
              <w:t>Part annuelle de chaque qualité de fibre exporté</w:t>
            </w:r>
          </w:p>
        </w:tc>
        <w:tc>
          <w:tcPr>
            <w:tcW w:w="439" w:type="pct"/>
            <w:tcBorders>
              <w:top w:val="single" w:sz="4" w:space="0" w:color="auto"/>
              <w:left w:val="single" w:sz="4" w:space="0" w:color="auto"/>
              <w:bottom w:val="single" w:sz="4" w:space="0" w:color="auto"/>
              <w:right w:val="single" w:sz="4" w:space="0" w:color="auto"/>
            </w:tcBorders>
            <w:hideMark/>
          </w:tcPr>
          <w:p w14:paraId="196FD998" w14:textId="77777777" w:rsidR="008862C7" w:rsidRDefault="008862C7">
            <w:pPr>
              <w:pStyle w:val="Textebrut"/>
              <w:spacing w:line="360" w:lineRule="auto"/>
              <w:jc w:val="both"/>
              <w:rPr>
                <w:rFonts w:ascii="Arial" w:hAnsi="Arial" w:cs="Arial"/>
                <w:sz w:val="24"/>
                <w:szCs w:val="24"/>
              </w:rPr>
            </w:pPr>
            <w:r>
              <w:rPr>
                <w:rFonts w:ascii="Arial" w:hAnsi="Arial" w:cs="Arial"/>
                <w:sz w:val="24"/>
                <w:szCs w:val="24"/>
              </w:rPr>
              <w:t>144</w:t>
            </w:r>
          </w:p>
        </w:tc>
      </w:tr>
      <w:tr w:rsidR="008862C7" w14:paraId="61C8A348"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2D35FC76" w14:textId="77777777" w:rsidR="008862C7" w:rsidRDefault="008862C7">
            <w:pPr>
              <w:tabs>
                <w:tab w:val="left" w:pos="708"/>
              </w:tabs>
              <w:spacing w:after="0" w:line="360" w:lineRule="auto"/>
              <w:rPr>
                <w:rFonts w:eastAsia="Times New Roman" w:cs="Times New Roman"/>
              </w:rPr>
            </w:pPr>
            <w:r>
              <w:rPr>
                <w:rFonts w:ascii="Arial" w:hAnsi="Arial" w:cs="Arial"/>
                <w:bCs/>
                <w:sz w:val="24"/>
                <w:szCs w:val="24"/>
              </w:rPr>
              <w:t xml:space="preserve">Graphique 4.6 </w:t>
            </w:r>
            <w:r>
              <w:rPr>
                <w:rFonts w:ascii="Arial" w:hAnsi="Arial" w:cs="Arial"/>
                <w:sz w:val="24"/>
                <w:szCs w:val="24"/>
              </w:rPr>
              <w:t xml:space="preserve"> </w:t>
            </w:r>
          </w:p>
        </w:tc>
        <w:tc>
          <w:tcPr>
            <w:tcW w:w="3587" w:type="pct"/>
            <w:tcBorders>
              <w:top w:val="single" w:sz="4" w:space="0" w:color="auto"/>
              <w:left w:val="single" w:sz="4" w:space="0" w:color="auto"/>
              <w:bottom w:val="single" w:sz="4" w:space="0" w:color="auto"/>
              <w:right w:val="single" w:sz="4" w:space="0" w:color="auto"/>
            </w:tcBorders>
            <w:hideMark/>
          </w:tcPr>
          <w:p w14:paraId="0B22F70A" w14:textId="77777777" w:rsidR="008862C7" w:rsidRDefault="008862C7">
            <w:pPr>
              <w:pStyle w:val="Textebrut"/>
              <w:spacing w:line="360" w:lineRule="auto"/>
              <w:jc w:val="both"/>
              <w:rPr>
                <w:rFonts w:ascii="Arial" w:hAnsi="Arial" w:cs="Arial"/>
                <w:sz w:val="24"/>
                <w:szCs w:val="24"/>
              </w:rPr>
            </w:pPr>
            <w:r>
              <w:rPr>
                <w:rFonts w:ascii="Arial" w:hAnsi="Arial" w:cs="Arial"/>
                <w:sz w:val="24"/>
                <w:szCs w:val="24"/>
              </w:rPr>
              <w:t>Taux de change effectif réel de la filière cotonnière Centrafricaine</w:t>
            </w:r>
          </w:p>
        </w:tc>
        <w:tc>
          <w:tcPr>
            <w:tcW w:w="439" w:type="pct"/>
            <w:tcBorders>
              <w:top w:val="single" w:sz="4" w:space="0" w:color="auto"/>
              <w:left w:val="single" w:sz="4" w:space="0" w:color="auto"/>
              <w:bottom w:val="single" w:sz="4" w:space="0" w:color="auto"/>
              <w:right w:val="single" w:sz="4" w:space="0" w:color="auto"/>
            </w:tcBorders>
            <w:hideMark/>
          </w:tcPr>
          <w:p w14:paraId="576BE8A3" w14:textId="77777777" w:rsidR="008862C7" w:rsidRDefault="008862C7">
            <w:pPr>
              <w:pStyle w:val="Textebrut"/>
              <w:spacing w:line="360" w:lineRule="auto"/>
              <w:jc w:val="both"/>
              <w:rPr>
                <w:rFonts w:ascii="Arial" w:hAnsi="Arial" w:cs="Arial"/>
                <w:sz w:val="24"/>
                <w:szCs w:val="24"/>
              </w:rPr>
            </w:pPr>
            <w:r>
              <w:rPr>
                <w:rFonts w:ascii="Arial" w:hAnsi="Arial" w:cs="Arial"/>
                <w:sz w:val="24"/>
                <w:szCs w:val="24"/>
              </w:rPr>
              <w:t>145</w:t>
            </w:r>
          </w:p>
        </w:tc>
      </w:tr>
      <w:tr w:rsidR="008862C7" w14:paraId="5D02E0E8"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692CFAD6"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Graphique 4.7</w:t>
            </w:r>
          </w:p>
        </w:tc>
        <w:tc>
          <w:tcPr>
            <w:tcW w:w="3587" w:type="pct"/>
            <w:tcBorders>
              <w:top w:val="single" w:sz="4" w:space="0" w:color="auto"/>
              <w:left w:val="single" w:sz="4" w:space="0" w:color="auto"/>
              <w:bottom w:val="single" w:sz="4" w:space="0" w:color="auto"/>
              <w:right w:val="single" w:sz="4" w:space="0" w:color="auto"/>
            </w:tcBorders>
            <w:hideMark/>
          </w:tcPr>
          <w:p w14:paraId="7D9FE357"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noProof/>
                <w:sz w:val="24"/>
                <w:szCs w:val="24"/>
              </w:rPr>
            </w:pPr>
            <w:r>
              <w:rPr>
                <w:rFonts w:ascii="Arial" w:hAnsi="Arial" w:cs="Arial"/>
                <w:sz w:val="24"/>
                <w:szCs w:val="24"/>
              </w:rPr>
              <w:t>Evolution du cours mondial des fibres : coton et polyesters</w:t>
            </w:r>
          </w:p>
        </w:tc>
        <w:tc>
          <w:tcPr>
            <w:tcW w:w="439" w:type="pct"/>
            <w:tcBorders>
              <w:top w:val="single" w:sz="4" w:space="0" w:color="auto"/>
              <w:left w:val="single" w:sz="4" w:space="0" w:color="auto"/>
              <w:bottom w:val="single" w:sz="4" w:space="0" w:color="auto"/>
              <w:right w:val="single" w:sz="4" w:space="0" w:color="auto"/>
            </w:tcBorders>
            <w:hideMark/>
          </w:tcPr>
          <w:p w14:paraId="79E18D9E"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z w:val="24"/>
                <w:szCs w:val="24"/>
              </w:rPr>
              <w:t>148</w:t>
            </w:r>
          </w:p>
        </w:tc>
      </w:tr>
      <w:tr w:rsidR="008862C7" w14:paraId="5646E895" w14:textId="77777777" w:rsidTr="008862C7">
        <w:tc>
          <w:tcPr>
            <w:tcW w:w="974" w:type="pct"/>
            <w:tcBorders>
              <w:top w:val="single" w:sz="4" w:space="0" w:color="auto"/>
              <w:left w:val="single" w:sz="4" w:space="0" w:color="auto"/>
              <w:bottom w:val="single" w:sz="4" w:space="0" w:color="auto"/>
              <w:right w:val="single" w:sz="4" w:space="0" w:color="auto"/>
            </w:tcBorders>
            <w:vAlign w:val="center"/>
            <w:hideMark/>
          </w:tcPr>
          <w:p w14:paraId="527AFD85" w14:textId="77777777" w:rsidR="008862C7" w:rsidRDefault="008862C7">
            <w:pPr>
              <w:tabs>
                <w:tab w:val="left" w:pos="708"/>
              </w:tabs>
              <w:spacing w:after="0" w:line="360" w:lineRule="auto"/>
              <w:rPr>
                <w:rFonts w:ascii="Arial" w:eastAsia="Times New Roman" w:hAnsi="Arial" w:cs="Arial"/>
                <w:sz w:val="24"/>
                <w:szCs w:val="24"/>
              </w:rPr>
            </w:pPr>
            <w:r>
              <w:rPr>
                <w:rFonts w:ascii="Arial" w:hAnsi="Arial" w:cs="Arial"/>
                <w:sz w:val="24"/>
                <w:szCs w:val="24"/>
              </w:rPr>
              <w:t>Graphique 4.8</w:t>
            </w:r>
          </w:p>
        </w:tc>
        <w:tc>
          <w:tcPr>
            <w:tcW w:w="3587" w:type="pct"/>
            <w:tcBorders>
              <w:top w:val="single" w:sz="4" w:space="0" w:color="auto"/>
              <w:left w:val="single" w:sz="4" w:space="0" w:color="auto"/>
              <w:bottom w:val="single" w:sz="4" w:space="0" w:color="auto"/>
              <w:right w:val="single" w:sz="4" w:space="0" w:color="auto"/>
            </w:tcBorders>
            <w:hideMark/>
          </w:tcPr>
          <w:p w14:paraId="535CBDF8"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z w:val="24"/>
                <w:szCs w:val="24"/>
              </w:rPr>
              <w:t>Rapport des prix coton/polyester et part de marché du coton</w:t>
            </w:r>
          </w:p>
        </w:tc>
        <w:tc>
          <w:tcPr>
            <w:tcW w:w="439" w:type="pct"/>
            <w:tcBorders>
              <w:top w:val="single" w:sz="4" w:space="0" w:color="auto"/>
              <w:left w:val="single" w:sz="4" w:space="0" w:color="auto"/>
              <w:bottom w:val="single" w:sz="4" w:space="0" w:color="auto"/>
              <w:right w:val="single" w:sz="4" w:space="0" w:color="auto"/>
            </w:tcBorders>
            <w:hideMark/>
          </w:tcPr>
          <w:p w14:paraId="27F0A717" w14:textId="77777777" w:rsidR="008862C7" w:rsidRDefault="008862C7">
            <w:pPr>
              <w:tabs>
                <w:tab w:val="left" w:pos="708"/>
              </w:tabs>
              <w:autoSpaceDE w:val="0"/>
              <w:autoSpaceDN w:val="0"/>
              <w:adjustRightInd w:val="0"/>
              <w:spacing w:after="0" w:line="360" w:lineRule="auto"/>
              <w:jc w:val="both"/>
              <w:rPr>
                <w:rFonts w:ascii="Arial" w:eastAsia="Times New Roman" w:hAnsi="Arial" w:cs="Arial"/>
                <w:sz w:val="24"/>
                <w:szCs w:val="24"/>
              </w:rPr>
            </w:pPr>
            <w:r>
              <w:rPr>
                <w:rFonts w:ascii="Arial" w:hAnsi="Arial" w:cs="Arial"/>
                <w:sz w:val="24"/>
                <w:szCs w:val="24"/>
              </w:rPr>
              <w:t>149</w:t>
            </w:r>
          </w:p>
        </w:tc>
      </w:tr>
    </w:tbl>
    <w:p w14:paraId="7955840D" w14:textId="77777777" w:rsidR="008862C7" w:rsidRDefault="008862C7" w:rsidP="008862C7">
      <w:pPr>
        <w:rPr>
          <w:rFonts w:ascii="Arial" w:eastAsia="Times New Roman" w:hAnsi="Arial" w:cs="Arial"/>
          <w:b/>
          <w:sz w:val="24"/>
          <w:szCs w:val="24"/>
        </w:rPr>
      </w:pPr>
    </w:p>
    <w:p w14:paraId="60B7E473" w14:textId="77777777" w:rsidR="00E72C3F" w:rsidRDefault="00E72C3F" w:rsidP="008862C7">
      <w:pPr>
        <w:jc w:val="center"/>
        <w:rPr>
          <w:rFonts w:ascii="Arial" w:hAnsi="Arial" w:cs="Arial"/>
          <w:b/>
          <w:sz w:val="24"/>
          <w:szCs w:val="24"/>
        </w:rPr>
      </w:pPr>
    </w:p>
    <w:p w14:paraId="09C40831" w14:textId="77777777" w:rsidR="00E72C3F" w:rsidRDefault="00E72C3F" w:rsidP="008862C7">
      <w:pPr>
        <w:jc w:val="center"/>
        <w:rPr>
          <w:rFonts w:ascii="Arial" w:hAnsi="Arial" w:cs="Arial"/>
          <w:b/>
          <w:sz w:val="24"/>
          <w:szCs w:val="24"/>
        </w:rPr>
      </w:pPr>
    </w:p>
    <w:p w14:paraId="407AEF4E" w14:textId="77777777" w:rsidR="00E72C3F" w:rsidRDefault="00E72C3F" w:rsidP="008862C7">
      <w:pPr>
        <w:jc w:val="center"/>
        <w:rPr>
          <w:rFonts w:ascii="Arial" w:hAnsi="Arial" w:cs="Arial"/>
          <w:b/>
          <w:sz w:val="24"/>
          <w:szCs w:val="24"/>
        </w:rPr>
      </w:pPr>
    </w:p>
    <w:p w14:paraId="473B6352" w14:textId="77777777" w:rsidR="00E72C3F" w:rsidRDefault="00E72C3F" w:rsidP="008862C7">
      <w:pPr>
        <w:jc w:val="center"/>
        <w:rPr>
          <w:rFonts w:ascii="Arial" w:hAnsi="Arial" w:cs="Arial"/>
          <w:b/>
          <w:sz w:val="24"/>
          <w:szCs w:val="24"/>
        </w:rPr>
      </w:pPr>
    </w:p>
    <w:p w14:paraId="4C5E0E6A" w14:textId="77777777" w:rsidR="008862C7" w:rsidRDefault="008862C7" w:rsidP="008862C7">
      <w:pPr>
        <w:jc w:val="center"/>
        <w:rPr>
          <w:rFonts w:ascii="Arial" w:hAnsi="Arial" w:cs="Arial"/>
          <w:b/>
          <w:sz w:val="24"/>
          <w:szCs w:val="24"/>
        </w:rPr>
      </w:pPr>
      <w:r>
        <w:rPr>
          <w:rFonts w:ascii="Arial" w:hAnsi="Arial" w:cs="Arial"/>
          <w:b/>
          <w:sz w:val="24"/>
          <w:szCs w:val="24"/>
        </w:rPr>
        <w:lastRenderedPageBreak/>
        <w:t>RESUME</w:t>
      </w:r>
    </w:p>
    <w:p w14:paraId="4F5BD93D"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Le coton, produit agricole et industriel majeur parmi les plus répandus au monde, est en fait une des cultures les plus importantes en termes d’occupation des sols après les céréales vivrières et le soja. Dans bien de pays, ses exportations sont non seulement une source essentielle de devises mais contribuent aussi pour une part significative au Produit Intérieur Brut (PIB) et aux recettes fiscales. La filière mondiale du coton et celle d’Afrique subsaharienne ont connu des changements spectaculaires ces 20 dernières années. </w:t>
      </w:r>
      <w:r>
        <w:rPr>
          <w:rFonts w:ascii="Arial" w:hAnsi="Arial" w:cs="Arial"/>
          <w:sz w:val="24"/>
          <w:szCs w:val="24"/>
          <w:lang w:bidi="he-IL"/>
        </w:rPr>
        <w:t xml:space="preserve">Mutations face auxquelles la République Centrafricaine a engagé des restructurations de sa filière. Ces réformes visaient à libéraliser et à rendre plus compétitive la filière. Mais, des facteurs internes qu’externes à la filière semblent compromettre la compétitivité de cette dernière. Ainsi, cette étude vise à </w:t>
      </w:r>
      <w:r>
        <w:rPr>
          <w:rFonts w:ascii="Arial" w:hAnsi="Arial" w:cs="Arial"/>
          <w:sz w:val="24"/>
          <w:szCs w:val="24"/>
        </w:rPr>
        <w:t xml:space="preserve">analyser les facteurs qui déterminent la compétitivité du coton centrafricain. Pour y parvenir, quatre modèles d'analyses  sont mobilisés : les modèles d’analyses de discours, financière, statistique et économétrique. Les résultats montrent que l’évolution de la situation sur le marché mondiale du coton et plus spécifiquement celle des pays d’Afrique de l’Ouest et du Centre, connaît une évolution cyclique de la production mondiale couplée avec des prix anormalement bas. Ce constat est pour beaucoup dans la perte des performances à l’exportation du coton centrafricain. Aussi, la filière nationale est organisée au tour de deux systèmes étroitement liés et dépendants l’un de l’autre : le système productif et le système de commercialisation. L’évolution de la superficie cotonnière dans le total de superficies cultivées en RCA est fonction décroissante de l’âge de l’exploitant. Les exploitations recourant le plus à la traction animale ont les meilleures performances en termes de productivité et de rentabilité. Le système de commercialisation a pour principale contrainte le coût de transport. Le circuit externe par sa structure présente une organisation relativement simple mais, trop dépendant du marché mondial. L’analyse de la structure des coûts montre que le système interne représente 68% des coûts de commercialisation alors que le système externe représente 17% des coûts. Les 15% restant sont attribués aux activités d’intermédiation entre les deux circuits. Cette étude, révèle que la Centrafrique est beaucoup plus défavorisée par les facteurs externes que les facteurs internes. </w:t>
      </w:r>
    </w:p>
    <w:p w14:paraId="11A9E61C" w14:textId="77777777" w:rsidR="008862C7" w:rsidRDefault="008862C7" w:rsidP="008862C7">
      <w:pPr>
        <w:spacing w:after="0" w:line="360" w:lineRule="auto"/>
        <w:jc w:val="both"/>
        <w:rPr>
          <w:rFonts w:ascii="Arial" w:hAnsi="Arial" w:cs="Arial"/>
          <w:sz w:val="24"/>
          <w:szCs w:val="24"/>
        </w:rPr>
      </w:pPr>
    </w:p>
    <w:p w14:paraId="3DED77B2"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Mots clés :</w:t>
      </w:r>
      <w:r>
        <w:rPr>
          <w:rFonts w:ascii="Arial" w:hAnsi="Arial" w:cs="Arial"/>
          <w:sz w:val="24"/>
          <w:szCs w:val="24"/>
        </w:rPr>
        <w:t xml:space="preserve"> Déterminants, rentabilité, compétitivité, concurrence, coton, Centrafrique.</w:t>
      </w:r>
    </w:p>
    <w:p w14:paraId="5A15B1FE" w14:textId="77777777" w:rsidR="00E72C3F" w:rsidRPr="00067461" w:rsidRDefault="00E72C3F" w:rsidP="008862C7">
      <w:pPr>
        <w:spacing w:line="360" w:lineRule="auto"/>
        <w:jc w:val="center"/>
        <w:rPr>
          <w:rFonts w:ascii="Arial" w:hAnsi="Arial" w:cs="Arial"/>
          <w:b/>
          <w:sz w:val="24"/>
          <w:szCs w:val="24"/>
        </w:rPr>
      </w:pPr>
    </w:p>
    <w:p w14:paraId="0D5A3E4F" w14:textId="77777777" w:rsidR="00E72C3F" w:rsidRPr="00067461" w:rsidRDefault="00E72C3F" w:rsidP="008862C7">
      <w:pPr>
        <w:spacing w:line="360" w:lineRule="auto"/>
        <w:jc w:val="center"/>
        <w:rPr>
          <w:rFonts w:ascii="Arial" w:hAnsi="Arial" w:cs="Arial"/>
          <w:b/>
          <w:sz w:val="24"/>
          <w:szCs w:val="24"/>
        </w:rPr>
      </w:pPr>
    </w:p>
    <w:p w14:paraId="5A1518CA" w14:textId="77777777" w:rsidR="00E72C3F" w:rsidRPr="00067461" w:rsidRDefault="00E72C3F" w:rsidP="008862C7">
      <w:pPr>
        <w:spacing w:line="360" w:lineRule="auto"/>
        <w:jc w:val="center"/>
        <w:rPr>
          <w:rFonts w:ascii="Arial" w:hAnsi="Arial" w:cs="Arial"/>
          <w:b/>
          <w:sz w:val="24"/>
          <w:szCs w:val="24"/>
        </w:rPr>
      </w:pPr>
    </w:p>
    <w:p w14:paraId="7664F125" w14:textId="77777777" w:rsidR="008862C7" w:rsidRDefault="00E72C3F" w:rsidP="008862C7">
      <w:pPr>
        <w:spacing w:line="360" w:lineRule="auto"/>
        <w:jc w:val="center"/>
        <w:rPr>
          <w:rFonts w:ascii="Arial" w:hAnsi="Arial" w:cs="Arial"/>
          <w:b/>
          <w:sz w:val="24"/>
          <w:szCs w:val="24"/>
          <w:lang w:val="en-US"/>
        </w:rPr>
      </w:pPr>
      <w:r>
        <w:rPr>
          <w:rFonts w:ascii="Arial" w:hAnsi="Arial" w:cs="Arial"/>
          <w:b/>
          <w:sz w:val="24"/>
          <w:szCs w:val="24"/>
          <w:lang w:val="en-US"/>
        </w:rPr>
        <w:lastRenderedPageBreak/>
        <w:t>EXECUTIVE SUMMARY</w:t>
      </w:r>
    </w:p>
    <w:p w14:paraId="19840AA3" w14:textId="77777777" w:rsidR="008862C7" w:rsidRDefault="008862C7" w:rsidP="008862C7">
      <w:pPr>
        <w:spacing w:line="360" w:lineRule="auto"/>
        <w:jc w:val="both"/>
        <w:rPr>
          <w:rFonts w:ascii="Arial" w:hAnsi="Arial" w:cs="Arial"/>
          <w:sz w:val="24"/>
          <w:szCs w:val="24"/>
          <w:lang w:val="en-US"/>
        </w:rPr>
      </w:pPr>
      <w:r>
        <w:rPr>
          <w:rFonts w:ascii="Arial" w:hAnsi="Arial" w:cs="Arial"/>
          <w:sz w:val="24"/>
          <w:szCs w:val="24"/>
          <w:lang w:val="en-US"/>
        </w:rPr>
        <w:t xml:space="preserve">Cotton, agricultural and industrial product key among the most popular in the world, is in fact one of the most important crops in terms of land after food grains and soybeans. In many countries, exports are not only a vital source of foreign exchange but also contribute a significant share to the Gross Domestic Product (GDP) and tax revenues. World cotton sector and the sub-Saharan Africa have experienced dramatic changes over the last 20 years. Mutations against which the Central African Republic has initiated restructuring of its industry. These institutional and structural reforms aimed at liberalizing and make it more competitive the industry. However, internal and external factors in the industry appear to compromise the competitiveness of the latter. Thus, this study aims to analyze the factors that determine the competitiveness of the Central African cotton. To achieve this, three models of analysis are mobilized: the statistical and econometric models financial analysis of discourse. The results show that the evolution of the situation on the world cotton market and more specifically the countries of West Africa and Central experiencing a cyclical pattern of world production coupled with abnormally low prices. This finding is largely responsible for the loss of export performance of the Central African cotton. Also, the national network is organized around two interrelated and dependent systems from each other: the production system and marketing system. The evolution of the cotton area in total cultivated area in the CAR is a decreasing function of the age of the operator. Farms using more animal traction have the best performance in terms of productivity and profitability. The weakness of family labor (58% of working time requested) requires farms to use hand outside work (42%) in different forms. The marketing system composed of the internal system and the external system transport costs for major constraint. The external circuit structure has a relatively simple organization but too dependent the world market. Analysis of the cost structure of the system shows that the internal system represents 68% of marketing costs while the external system accounts for 17% of costs. The remaining 15% is allocated to intermediation between the two circuits. The study of the determinants of competitiveness of Central cotton reveals that the CAR is much favored by the external factors of competitiveness as internal factors. </w:t>
      </w:r>
    </w:p>
    <w:p w14:paraId="7998BBCB" w14:textId="77777777" w:rsidR="008862C7" w:rsidRDefault="008862C7" w:rsidP="008862C7">
      <w:pPr>
        <w:spacing w:line="360" w:lineRule="auto"/>
        <w:jc w:val="both"/>
        <w:rPr>
          <w:rFonts w:ascii="Arial" w:hAnsi="Arial" w:cs="Arial"/>
          <w:sz w:val="24"/>
          <w:szCs w:val="24"/>
          <w:lang w:val="en-US"/>
        </w:rPr>
      </w:pPr>
      <w:r>
        <w:rPr>
          <w:rFonts w:ascii="Arial" w:hAnsi="Arial" w:cs="Arial"/>
          <w:b/>
          <w:sz w:val="24"/>
          <w:szCs w:val="24"/>
          <w:lang w:val="en-US"/>
        </w:rPr>
        <w:t>Keywords:</w:t>
      </w:r>
      <w:r>
        <w:rPr>
          <w:rFonts w:ascii="Arial" w:hAnsi="Arial" w:cs="Arial"/>
          <w:sz w:val="24"/>
          <w:szCs w:val="24"/>
          <w:lang w:val="en-US"/>
        </w:rPr>
        <w:t xml:space="preserve"> Determinants, profitability, competitiveness, competition, cotton, CAR.</w:t>
      </w:r>
    </w:p>
    <w:p w14:paraId="73695DDE" w14:textId="77777777" w:rsidR="008862C7" w:rsidRDefault="008862C7" w:rsidP="008862C7">
      <w:pPr>
        <w:spacing w:line="240" w:lineRule="auto"/>
        <w:jc w:val="center"/>
        <w:rPr>
          <w:rFonts w:ascii="Arial" w:hAnsi="Arial" w:cs="Arial"/>
          <w:b/>
          <w:sz w:val="24"/>
          <w:szCs w:val="24"/>
          <w:lang w:val="en-US"/>
        </w:rPr>
      </w:pPr>
    </w:p>
    <w:p w14:paraId="2C43090F" w14:textId="77777777" w:rsidR="008862C7" w:rsidRDefault="008862C7" w:rsidP="008862C7">
      <w:pPr>
        <w:spacing w:line="240" w:lineRule="auto"/>
        <w:jc w:val="center"/>
        <w:rPr>
          <w:rFonts w:ascii="Arial" w:hAnsi="Arial" w:cs="Arial"/>
          <w:b/>
          <w:sz w:val="24"/>
          <w:szCs w:val="24"/>
          <w:lang w:val="en-US"/>
        </w:rPr>
      </w:pPr>
    </w:p>
    <w:p w14:paraId="22BF3E39" w14:textId="77777777" w:rsidR="008862C7" w:rsidRDefault="008862C7" w:rsidP="008862C7">
      <w:pPr>
        <w:spacing w:line="240" w:lineRule="auto"/>
        <w:jc w:val="center"/>
        <w:rPr>
          <w:rFonts w:ascii="Arial" w:hAnsi="Arial" w:cs="Arial"/>
          <w:b/>
          <w:sz w:val="24"/>
          <w:szCs w:val="24"/>
          <w:lang w:val="en-US"/>
        </w:rPr>
      </w:pPr>
    </w:p>
    <w:p w14:paraId="1DC2C5E9" w14:textId="77777777" w:rsidR="008862C7" w:rsidRDefault="008862C7" w:rsidP="008862C7">
      <w:pPr>
        <w:spacing w:line="240" w:lineRule="auto"/>
        <w:jc w:val="center"/>
        <w:rPr>
          <w:rFonts w:ascii="Arial" w:hAnsi="Arial" w:cs="Arial"/>
          <w:b/>
          <w:sz w:val="24"/>
          <w:szCs w:val="24"/>
          <w:lang w:val="en-US"/>
        </w:rPr>
      </w:pPr>
    </w:p>
    <w:p w14:paraId="542F2DC5" w14:textId="77777777" w:rsidR="008862C7" w:rsidRDefault="008862C7" w:rsidP="008862C7">
      <w:pPr>
        <w:spacing w:line="240" w:lineRule="auto"/>
        <w:jc w:val="center"/>
        <w:rPr>
          <w:rFonts w:ascii="Arial" w:hAnsi="Arial" w:cs="Arial"/>
          <w:b/>
          <w:sz w:val="24"/>
          <w:szCs w:val="24"/>
          <w:lang w:val="en-US"/>
        </w:rPr>
      </w:pPr>
    </w:p>
    <w:p w14:paraId="30FBCC43" w14:textId="77777777" w:rsidR="008862C7" w:rsidRDefault="008862C7" w:rsidP="008862C7">
      <w:pPr>
        <w:spacing w:line="240" w:lineRule="auto"/>
        <w:jc w:val="center"/>
        <w:rPr>
          <w:rFonts w:ascii="Arial" w:hAnsi="Arial" w:cs="Arial"/>
          <w:b/>
          <w:sz w:val="24"/>
          <w:szCs w:val="24"/>
          <w:lang w:val="en-US"/>
        </w:rPr>
      </w:pPr>
    </w:p>
    <w:p w14:paraId="46D7FD2F" w14:textId="77777777" w:rsidR="008862C7" w:rsidRDefault="008862C7" w:rsidP="008862C7">
      <w:pPr>
        <w:spacing w:line="240" w:lineRule="auto"/>
        <w:jc w:val="center"/>
        <w:rPr>
          <w:rFonts w:ascii="Arial" w:hAnsi="Arial" w:cs="Arial"/>
          <w:b/>
          <w:sz w:val="24"/>
          <w:szCs w:val="24"/>
          <w:lang w:val="en-US"/>
        </w:rPr>
      </w:pPr>
    </w:p>
    <w:p w14:paraId="6718BB8E" w14:textId="77777777" w:rsidR="008862C7" w:rsidRDefault="008862C7" w:rsidP="008862C7">
      <w:pPr>
        <w:spacing w:line="240" w:lineRule="auto"/>
        <w:jc w:val="center"/>
        <w:rPr>
          <w:rFonts w:ascii="Arial" w:hAnsi="Arial" w:cs="Arial"/>
          <w:b/>
          <w:sz w:val="24"/>
          <w:szCs w:val="24"/>
          <w:lang w:val="en-US"/>
        </w:rPr>
      </w:pPr>
    </w:p>
    <w:p w14:paraId="3AE01B5D" w14:textId="77777777" w:rsidR="008862C7" w:rsidRDefault="008862C7" w:rsidP="008862C7">
      <w:pPr>
        <w:spacing w:line="240" w:lineRule="auto"/>
        <w:jc w:val="center"/>
        <w:rPr>
          <w:rFonts w:ascii="Arial" w:hAnsi="Arial" w:cs="Arial"/>
          <w:b/>
          <w:sz w:val="24"/>
          <w:szCs w:val="24"/>
          <w:lang w:val="en-US"/>
        </w:rPr>
      </w:pPr>
    </w:p>
    <w:p w14:paraId="4286A463" w14:textId="77777777" w:rsidR="008862C7" w:rsidRDefault="008862C7" w:rsidP="008862C7">
      <w:pPr>
        <w:spacing w:line="240" w:lineRule="auto"/>
        <w:jc w:val="center"/>
        <w:rPr>
          <w:rFonts w:ascii="Arial" w:hAnsi="Arial" w:cs="Arial"/>
          <w:b/>
          <w:sz w:val="24"/>
          <w:szCs w:val="24"/>
          <w:lang w:val="en-US"/>
        </w:rPr>
      </w:pPr>
    </w:p>
    <w:p w14:paraId="425D4F7E" w14:textId="77777777" w:rsidR="00E72C3F" w:rsidRDefault="00E72C3F" w:rsidP="008862C7">
      <w:pPr>
        <w:spacing w:line="240" w:lineRule="auto"/>
        <w:jc w:val="center"/>
        <w:rPr>
          <w:rFonts w:ascii="Arial" w:hAnsi="Arial" w:cs="Arial"/>
          <w:b/>
          <w:sz w:val="24"/>
          <w:szCs w:val="24"/>
          <w:lang w:val="en-US"/>
        </w:rPr>
      </w:pPr>
    </w:p>
    <w:p w14:paraId="10BF7356" w14:textId="77777777" w:rsidR="00E72C3F" w:rsidRDefault="00E72C3F" w:rsidP="008862C7">
      <w:pPr>
        <w:spacing w:line="240" w:lineRule="auto"/>
        <w:jc w:val="center"/>
        <w:rPr>
          <w:rFonts w:ascii="Arial" w:hAnsi="Arial" w:cs="Arial"/>
          <w:b/>
          <w:sz w:val="24"/>
          <w:szCs w:val="24"/>
          <w:lang w:val="en-US"/>
        </w:rPr>
      </w:pPr>
    </w:p>
    <w:p w14:paraId="1BB86690" w14:textId="77777777" w:rsidR="00E72C3F" w:rsidRDefault="00E72C3F" w:rsidP="008862C7">
      <w:pPr>
        <w:spacing w:line="240" w:lineRule="auto"/>
        <w:jc w:val="center"/>
        <w:rPr>
          <w:rFonts w:ascii="Arial" w:hAnsi="Arial" w:cs="Arial"/>
          <w:b/>
          <w:sz w:val="24"/>
          <w:szCs w:val="24"/>
          <w:lang w:val="en-US"/>
        </w:rPr>
      </w:pPr>
    </w:p>
    <w:p w14:paraId="0C435E42" w14:textId="77777777" w:rsidR="00E72C3F" w:rsidRDefault="00E72C3F" w:rsidP="008862C7">
      <w:pPr>
        <w:spacing w:line="240" w:lineRule="auto"/>
        <w:jc w:val="center"/>
        <w:rPr>
          <w:rFonts w:ascii="Arial" w:hAnsi="Arial" w:cs="Arial"/>
          <w:b/>
          <w:sz w:val="24"/>
          <w:szCs w:val="24"/>
          <w:lang w:val="en-US"/>
        </w:rPr>
      </w:pPr>
    </w:p>
    <w:p w14:paraId="0F83C972" w14:textId="77777777" w:rsidR="008862C7" w:rsidRDefault="008862C7" w:rsidP="008862C7">
      <w:pPr>
        <w:spacing w:line="240" w:lineRule="auto"/>
        <w:jc w:val="center"/>
        <w:rPr>
          <w:rFonts w:ascii="Arial" w:hAnsi="Arial" w:cs="Arial"/>
          <w:b/>
          <w:sz w:val="24"/>
          <w:szCs w:val="24"/>
          <w:lang w:val="en-US"/>
        </w:rPr>
      </w:pPr>
    </w:p>
    <w:p w14:paraId="4DD3C81F" w14:textId="77777777" w:rsidR="008862C7" w:rsidRDefault="008862C7" w:rsidP="008862C7">
      <w:pPr>
        <w:pStyle w:val="Titre1"/>
        <w:jc w:val="center"/>
        <w:rPr>
          <w:sz w:val="24"/>
          <w:szCs w:val="24"/>
        </w:rPr>
      </w:pPr>
      <w:bookmarkStart w:id="0" w:name="_Toc395107507"/>
      <w:bookmarkStart w:id="1" w:name="_Toc394954760"/>
      <w:r>
        <w:rPr>
          <w:sz w:val="24"/>
          <w:szCs w:val="24"/>
        </w:rPr>
        <w:t>INTRODUCTION GENERALE</w:t>
      </w:r>
      <w:bookmarkEnd w:id="0"/>
      <w:bookmarkEnd w:id="1"/>
    </w:p>
    <w:p w14:paraId="50B11F75" w14:textId="77777777" w:rsidR="008862C7" w:rsidRDefault="008862C7" w:rsidP="008862C7">
      <w:pPr>
        <w:spacing w:line="240" w:lineRule="auto"/>
        <w:jc w:val="center"/>
        <w:rPr>
          <w:rFonts w:ascii="Arial" w:hAnsi="Arial" w:cs="Arial"/>
          <w:b/>
          <w:sz w:val="24"/>
          <w:szCs w:val="24"/>
        </w:rPr>
      </w:pPr>
    </w:p>
    <w:p w14:paraId="3610AF4F" w14:textId="77777777" w:rsidR="008862C7" w:rsidRDefault="008862C7" w:rsidP="008862C7">
      <w:pPr>
        <w:spacing w:line="240" w:lineRule="auto"/>
        <w:jc w:val="center"/>
        <w:rPr>
          <w:rFonts w:ascii="Arial" w:hAnsi="Arial" w:cs="Arial"/>
          <w:b/>
          <w:sz w:val="24"/>
          <w:szCs w:val="24"/>
        </w:rPr>
      </w:pPr>
    </w:p>
    <w:p w14:paraId="39224171" w14:textId="77777777" w:rsidR="008862C7" w:rsidRDefault="008862C7" w:rsidP="008862C7">
      <w:pPr>
        <w:spacing w:line="240" w:lineRule="auto"/>
        <w:jc w:val="center"/>
        <w:rPr>
          <w:rFonts w:ascii="Arial" w:hAnsi="Arial" w:cs="Arial"/>
          <w:b/>
          <w:sz w:val="24"/>
          <w:szCs w:val="24"/>
        </w:rPr>
      </w:pPr>
    </w:p>
    <w:p w14:paraId="72355A6C" w14:textId="77777777" w:rsidR="008862C7" w:rsidRDefault="008862C7" w:rsidP="008862C7">
      <w:pPr>
        <w:spacing w:line="240" w:lineRule="auto"/>
        <w:jc w:val="center"/>
        <w:rPr>
          <w:rFonts w:ascii="Arial" w:hAnsi="Arial" w:cs="Arial"/>
          <w:b/>
          <w:sz w:val="24"/>
          <w:szCs w:val="24"/>
        </w:rPr>
      </w:pPr>
    </w:p>
    <w:p w14:paraId="03DAE14A" w14:textId="77777777" w:rsidR="008862C7" w:rsidRDefault="008862C7" w:rsidP="008862C7">
      <w:pPr>
        <w:spacing w:line="240" w:lineRule="auto"/>
        <w:jc w:val="center"/>
        <w:rPr>
          <w:rFonts w:ascii="Arial" w:hAnsi="Arial" w:cs="Arial"/>
          <w:b/>
          <w:sz w:val="24"/>
          <w:szCs w:val="24"/>
        </w:rPr>
      </w:pPr>
    </w:p>
    <w:p w14:paraId="7F0197B0" w14:textId="77777777" w:rsidR="008862C7" w:rsidRDefault="008862C7" w:rsidP="008862C7">
      <w:pPr>
        <w:spacing w:line="240" w:lineRule="auto"/>
        <w:jc w:val="center"/>
        <w:rPr>
          <w:rFonts w:ascii="Arial" w:hAnsi="Arial" w:cs="Arial"/>
          <w:b/>
          <w:sz w:val="24"/>
          <w:szCs w:val="24"/>
        </w:rPr>
      </w:pPr>
    </w:p>
    <w:p w14:paraId="7B2549E6" w14:textId="77777777" w:rsidR="008862C7" w:rsidRDefault="008862C7" w:rsidP="008862C7">
      <w:pPr>
        <w:spacing w:line="240" w:lineRule="auto"/>
        <w:jc w:val="center"/>
        <w:rPr>
          <w:rFonts w:ascii="Arial" w:hAnsi="Arial" w:cs="Arial"/>
          <w:b/>
          <w:sz w:val="24"/>
          <w:szCs w:val="24"/>
        </w:rPr>
      </w:pPr>
    </w:p>
    <w:p w14:paraId="6090EC45" w14:textId="77777777" w:rsidR="008862C7" w:rsidRDefault="008862C7" w:rsidP="008862C7">
      <w:pPr>
        <w:spacing w:line="240" w:lineRule="auto"/>
        <w:jc w:val="center"/>
        <w:rPr>
          <w:rFonts w:ascii="Arial" w:hAnsi="Arial" w:cs="Arial"/>
          <w:b/>
          <w:sz w:val="24"/>
          <w:szCs w:val="24"/>
        </w:rPr>
      </w:pPr>
    </w:p>
    <w:p w14:paraId="32C50CAD" w14:textId="77777777" w:rsidR="008862C7" w:rsidRDefault="008862C7" w:rsidP="008862C7">
      <w:pPr>
        <w:spacing w:line="240" w:lineRule="auto"/>
        <w:jc w:val="center"/>
        <w:rPr>
          <w:rFonts w:ascii="Arial" w:hAnsi="Arial" w:cs="Arial"/>
          <w:b/>
          <w:sz w:val="24"/>
          <w:szCs w:val="24"/>
        </w:rPr>
      </w:pPr>
    </w:p>
    <w:p w14:paraId="4C841B1E" w14:textId="77777777" w:rsidR="008862C7" w:rsidRDefault="008862C7" w:rsidP="008862C7">
      <w:pPr>
        <w:spacing w:line="240" w:lineRule="auto"/>
        <w:jc w:val="center"/>
        <w:rPr>
          <w:rFonts w:ascii="Arial" w:hAnsi="Arial" w:cs="Arial"/>
          <w:b/>
          <w:sz w:val="24"/>
          <w:szCs w:val="24"/>
        </w:rPr>
      </w:pPr>
    </w:p>
    <w:p w14:paraId="031138AD" w14:textId="77777777" w:rsidR="008862C7" w:rsidRDefault="008862C7" w:rsidP="008862C7">
      <w:pPr>
        <w:spacing w:after="0" w:line="240" w:lineRule="auto"/>
        <w:rPr>
          <w:rFonts w:ascii="Arial" w:hAnsi="Arial" w:cs="Arial"/>
          <w:b/>
          <w:sz w:val="24"/>
          <w:szCs w:val="24"/>
        </w:rPr>
      </w:pPr>
      <w:r>
        <w:rPr>
          <w:rFonts w:ascii="Arial" w:hAnsi="Arial" w:cs="Arial"/>
          <w:b/>
          <w:sz w:val="24"/>
          <w:szCs w:val="24"/>
        </w:rPr>
        <w:br w:type="page"/>
      </w:r>
    </w:p>
    <w:p w14:paraId="46B7F21B" w14:textId="77777777" w:rsidR="008862C7" w:rsidRDefault="008862C7" w:rsidP="008862C7">
      <w:pPr>
        <w:pStyle w:val="Paragraphedeliste"/>
        <w:numPr>
          <w:ilvl w:val="0"/>
          <w:numId w:val="5"/>
        </w:numPr>
        <w:spacing w:line="240" w:lineRule="auto"/>
        <w:jc w:val="both"/>
        <w:outlineLvl w:val="2"/>
        <w:rPr>
          <w:rFonts w:ascii="Arial" w:hAnsi="Arial" w:cs="Arial"/>
          <w:b/>
          <w:sz w:val="24"/>
          <w:szCs w:val="24"/>
        </w:rPr>
      </w:pPr>
      <w:bookmarkStart w:id="2" w:name="_Toc395107508"/>
      <w:bookmarkStart w:id="3" w:name="_Toc394954761"/>
      <w:r>
        <w:rPr>
          <w:rFonts w:ascii="Arial" w:hAnsi="Arial" w:cs="Arial"/>
          <w:b/>
          <w:sz w:val="24"/>
          <w:szCs w:val="24"/>
        </w:rPr>
        <w:lastRenderedPageBreak/>
        <w:t>Contexte de l’étude</w:t>
      </w:r>
      <w:bookmarkEnd w:id="2"/>
      <w:bookmarkEnd w:id="3"/>
    </w:p>
    <w:p w14:paraId="19CFC490" w14:textId="77777777" w:rsidR="008862C7" w:rsidRDefault="008862C7" w:rsidP="008862C7">
      <w:pPr>
        <w:pStyle w:val="Standard"/>
        <w:spacing w:line="360" w:lineRule="auto"/>
        <w:jc w:val="both"/>
        <w:rPr>
          <w:rFonts w:ascii="Arial" w:hAnsi="Arial" w:cs="Arial"/>
        </w:rPr>
      </w:pPr>
      <w:r>
        <w:rPr>
          <w:rFonts w:ascii="Arial" w:hAnsi="Arial" w:cs="Arial"/>
        </w:rPr>
        <w:t>Le secteur agricole est un des plus importants pour les pays du sud où il représente une part élevée de leurs échanges internationaux et de l’emploi. Il est caractérisé par sa dualité : une agriculture vivrière traditionnelle et une agriculture de rente orientée vers l’exportation et caractérisée par des niveaux de productivité relativement faibles. Au nombre de ces productions de rente, le coton n’est pas des moindres. Il est un produit agricole et industriel majeur parmi les plus répandus au monde. Il est cultivé dans plus de 100 pays, sur environ 2,5% des terres arables mondiales. C’est en fait une des cultures les plus importantes en termes d’occupation des sols après les céréales vivrières et le soja. Aussi, le coton fait-il l’objet d’un commerce international très important, il est importé par plus de 150 pays et est exporté par plus de 100 pays. Il est donc d’une importance capitale pour l’économie mondiale, représentant des échanges commerciaux d’une valeur de quelques 12 milliards de dollars américain pour la campagne 2005/06 (CCI, 2007).</w:t>
      </w:r>
    </w:p>
    <w:p w14:paraId="52B48F1E" w14:textId="77777777" w:rsidR="008862C7" w:rsidRDefault="008862C7" w:rsidP="008862C7">
      <w:pPr>
        <w:pStyle w:val="Standard"/>
        <w:spacing w:line="360" w:lineRule="auto"/>
        <w:jc w:val="both"/>
        <w:rPr>
          <w:rFonts w:ascii="Arial" w:hAnsi="Arial" w:cs="Arial"/>
        </w:rPr>
      </w:pPr>
      <w:r>
        <w:rPr>
          <w:rFonts w:ascii="Arial" w:hAnsi="Arial" w:cs="Arial"/>
        </w:rPr>
        <w:t xml:space="preserve">Dans bien de pays, les exportations de coton sont non seulement une source essentielle de devises mais contribuent aussi pour une part significative au Produit Intérieur Brut (PIB) et aux recettes fiscales. Ceci explique le rôle de plus en plus prépondérant que joue le commerce international du coton dans les stratégies et les politiques internationales. </w:t>
      </w:r>
    </w:p>
    <w:p w14:paraId="73E364B0" w14:textId="77777777" w:rsidR="008862C7" w:rsidRDefault="008862C7" w:rsidP="008862C7">
      <w:pPr>
        <w:pStyle w:val="Standard"/>
        <w:spacing w:line="360" w:lineRule="auto"/>
        <w:jc w:val="both"/>
        <w:rPr>
          <w:rFonts w:ascii="Arial" w:hAnsi="Arial" w:cs="Arial"/>
        </w:rPr>
      </w:pPr>
      <w:r>
        <w:rPr>
          <w:rFonts w:ascii="Arial" w:hAnsi="Arial" w:cs="Arial"/>
        </w:rPr>
        <w:t xml:space="preserve">La filière mondiale du coton a connu des changements spectaculaires ces 50 dernières années ; la production a pratiquement quadruplé passant de 6,6 millions de tonnes en 1950/51 à un chiffre record de 26,3 millions de tonnes en 2004/05. Pendant cette période, la superficie mondiale consacrée à la culture du coton a fluctué entre 28 millions et 36 millions d’hectares ; la moyenne se situe à 32,7 millions d’hectares. Si dans certaines régions les zones plantées se sont réduites, cette diminution a été compensée par une augmentation des surfaces cultivées en Afrique francophone (Moussone, 2009). </w:t>
      </w:r>
    </w:p>
    <w:p w14:paraId="759A9843" w14:textId="77777777" w:rsidR="008862C7" w:rsidRDefault="008862C7" w:rsidP="008862C7">
      <w:pPr>
        <w:pStyle w:val="Standard"/>
        <w:spacing w:line="360" w:lineRule="auto"/>
        <w:jc w:val="both"/>
        <w:rPr>
          <w:rFonts w:ascii="Arial" w:hAnsi="Arial" w:cs="Arial"/>
          <w:lang w:bidi="he-IL"/>
        </w:rPr>
      </w:pPr>
      <w:r>
        <w:rPr>
          <w:rFonts w:ascii="Arial" w:hAnsi="Arial" w:cs="Arial"/>
          <w:lang w:bidi="he-IL"/>
        </w:rPr>
        <w:t>Au cours des quinze dernières années, les filières coton en Afrique sub-saharienne ont connu d’importantes transformations sous l’effet de la libéralisation des économies, de la globalisation des échanges et de la notable diminution des interventions gouvernementales.</w:t>
      </w:r>
    </w:p>
    <w:p w14:paraId="46D04AEF" w14:textId="77777777" w:rsidR="008862C7" w:rsidRDefault="008862C7" w:rsidP="008862C7">
      <w:pPr>
        <w:pStyle w:val="Standard"/>
        <w:spacing w:line="360" w:lineRule="auto"/>
        <w:jc w:val="both"/>
        <w:rPr>
          <w:rFonts w:ascii="Arial" w:hAnsi="Arial" w:cs="Arial"/>
        </w:rPr>
      </w:pPr>
      <w:r>
        <w:rPr>
          <w:rFonts w:ascii="Arial" w:hAnsi="Arial" w:cs="Arial"/>
          <w:lang w:bidi="he-IL"/>
        </w:rPr>
        <w:t xml:space="preserve">La filière cotonnière de la République Centrafricaine (RCA) n’a pas échappé à ces mutations auxquelles s’ajoute la baisse du cours mondial de coton. Ainsi, cette filière adoptant une stratégie de développement intégré était considérée par les institutions de Bretton Wood, inspiratrices des politiques d’ajustement structurelles comme ayant un caractère monopolistique, ce qui est contraire aux principes du libéralisme économique. Ces institutions ont fini par imposer au pays </w:t>
      </w:r>
      <w:r>
        <w:rPr>
          <w:rFonts w:ascii="Arial" w:hAnsi="Arial" w:cs="Arial"/>
          <w:lang w:bidi="he-IL"/>
        </w:rPr>
        <w:lastRenderedPageBreak/>
        <w:t>diverses reformes de restructuration de la filière coton comme conditionnalités à remplir avant de pouvoir bénéficier de leurs aides financières.</w:t>
      </w:r>
    </w:p>
    <w:p w14:paraId="3FD791C2" w14:textId="77777777" w:rsidR="008862C7" w:rsidRDefault="008862C7" w:rsidP="008862C7">
      <w:pPr>
        <w:pStyle w:val="Standard"/>
        <w:spacing w:line="360" w:lineRule="auto"/>
        <w:jc w:val="both"/>
        <w:rPr>
          <w:rFonts w:ascii="Arial" w:hAnsi="Arial" w:cs="Arial"/>
          <w:lang w:bidi="he-IL"/>
        </w:rPr>
      </w:pPr>
      <w:r>
        <w:rPr>
          <w:rFonts w:ascii="Arial" w:hAnsi="Arial" w:cs="Arial"/>
          <w:lang w:bidi="he-IL"/>
        </w:rPr>
        <w:t>Ces réformes institutionnelles et structurelles qui visaient à libéraliser la filière devraient selon la pensée néo-classique rendre plus compétitive la filière cotonnière centrafricaine grâce à l’institution d’un marché parfaitement compétitif (MPC). Mais, des facteurs internes qu’externes à la filière semblent affecter très négativement la compétitivité du coton centrafricain. Au nombre de ces derniers, on peut citer des facteurs liés au marché international tels que le dumping à l’exportation, les subventions des pays développés à leurs producteurs, la faiblesse de l’investissement direct étranger (IDE) dans le secteur, le cours anormalement bas du dollar et l’évolution de la demande mondiale de coton fibre. Au niveau national, on a l’état des infrastructures économiques notamment routières, et la nature des politiques économiques dans la filière. Ainsi, l’ouverture du marché, la libéralisation de la filière et la soumission aux règles du marché de libre échange constituent une sérieuse menace pour les petits agriculteurs centrafricains qui pourront difficilement soutenir la concurrence provenant des producteurs du nord nettement plus performants et qui bénéficient de multiples subventions de leur gouvernement.</w:t>
      </w:r>
    </w:p>
    <w:p w14:paraId="4BFF9EA3" w14:textId="77777777" w:rsidR="008862C7" w:rsidRDefault="008862C7" w:rsidP="008862C7">
      <w:pPr>
        <w:pStyle w:val="Standard"/>
        <w:spacing w:line="360" w:lineRule="auto"/>
        <w:jc w:val="both"/>
        <w:rPr>
          <w:rFonts w:ascii="Arial" w:hAnsi="Arial" w:cs="Arial"/>
          <w:lang w:bidi="he-IL"/>
        </w:rPr>
      </w:pPr>
      <w:r>
        <w:rPr>
          <w:rFonts w:ascii="Arial" w:hAnsi="Arial" w:cs="Arial"/>
          <w:lang w:bidi="he-IL"/>
        </w:rPr>
        <w:t xml:space="preserve">La Centrafrique, tout comme bon nombre des pays du sud, dispose d’ailleurs de fortes potentialités dans le commerce du coton mais est soumis à une concurrence déloyale de la part des pays du nord (notamment la chine, les Etats Unis d’Amérique et les pays de l’Union Européenne). Ces pays accordent des subventions colossales à leurs producteurs maintenant ainsi le prix du coton sur le marché mondial à un niveau anormalement bas. Cette situation compromet sérieusement la capacité des pays du sud tels que la Centrafrique d’accroître leur part de marché. </w:t>
      </w:r>
    </w:p>
    <w:p w14:paraId="2875A0EB" w14:textId="77777777" w:rsidR="008862C7" w:rsidRDefault="008862C7" w:rsidP="008862C7">
      <w:pPr>
        <w:pStyle w:val="Standard"/>
        <w:spacing w:line="360" w:lineRule="auto"/>
        <w:jc w:val="both"/>
        <w:rPr>
          <w:rFonts w:ascii="Arial" w:hAnsi="Arial" w:cs="Arial"/>
        </w:rPr>
      </w:pPr>
      <w:r>
        <w:rPr>
          <w:rFonts w:ascii="Arial" w:hAnsi="Arial" w:cs="Arial"/>
          <w:lang w:bidi="he-IL"/>
        </w:rPr>
        <w:t xml:space="preserve">Toutefois, les actions intentées auprès de l’Organisation Mondiale du Commerce (OMC) par certains pays en développement, notamment le Brésil, obligeant les pays du nord à diminuer leurs subventions, devront permettre une amélioration des prix sur le marché mondial. Dans ce contexte, l’accès au marché deviendra de plus en plus dépendant de la capacité de chaque pays à capter une partie de la clientèle, soit par une bonne politique de prix, soit en mettant sur le marché des produits de meilleure qualité capable de satisfaire les exigences des filateurs. Face à cette situation, l’on est amené à se poser les </w:t>
      </w:r>
      <w:r>
        <w:rPr>
          <w:rFonts w:ascii="Arial" w:hAnsi="Arial" w:cs="Arial"/>
        </w:rPr>
        <w:t>questions de savoir, quels</w:t>
      </w:r>
      <w:r>
        <w:rPr>
          <w:rStyle w:val="paranumber"/>
          <w:rFonts w:ascii="Arial" w:hAnsi="Arial" w:cs="Arial"/>
        </w:rPr>
        <w:t xml:space="preserve"> sont les facteurs qui permettront à la Centrafrique d’accroître ses parts de marché à l’international ? </w:t>
      </w:r>
      <w:r>
        <w:rPr>
          <w:rFonts w:ascii="Arial" w:hAnsi="Arial" w:cs="Arial"/>
        </w:rPr>
        <w:t xml:space="preserve">Lesquels de ces facteurs ont une plus grande incidence sur la compétitivité de la filière ? Quel est le poids </w:t>
      </w:r>
      <w:r>
        <w:rPr>
          <w:rFonts w:ascii="Arial" w:hAnsi="Arial" w:cs="Arial"/>
        </w:rPr>
        <w:lastRenderedPageBreak/>
        <w:t xml:space="preserve">respectif des facteurs structurels et des facteurs prix dans la construction de la compétitivité du coton centrafricain ? La réponse à ces questions passe par une analyse économique approfondie des déterminants de la compétitivité du coton centrafricain. </w:t>
      </w:r>
    </w:p>
    <w:p w14:paraId="43AB18B5" w14:textId="77777777" w:rsidR="008862C7" w:rsidRDefault="008862C7" w:rsidP="008862C7">
      <w:pPr>
        <w:pStyle w:val="Standard"/>
        <w:numPr>
          <w:ilvl w:val="0"/>
          <w:numId w:val="5"/>
        </w:numPr>
        <w:spacing w:line="360" w:lineRule="auto"/>
        <w:jc w:val="both"/>
        <w:outlineLvl w:val="2"/>
        <w:rPr>
          <w:rFonts w:ascii="Arial" w:hAnsi="Arial" w:cs="Arial"/>
          <w:b/>
        </w:rPr>
      </w:pPr>
      <w:bookmarkStart w:id="4" w:name="_Toc395107509"/>
      <w:bookmarkStart w:id="5" w:name="_Toc394954762"/>
      <w:r>
        <w:rPr>
          <w:rFonts w:ascii="Arial" w:hAnsi="Arial" w:cs="Arial"/>
          <w:b/>
        </w:rPr>
        <w:t>Problématique</w:t>
      </w:r>
      <w:bookmarkEnd w:id="4"/>
      <w:bookmarkEnd w:id="5"/>
    </w:p>
    <w:p w14:paraId="15DFC095" w14:textId="77777777" w:rsidR="008862C7" w:rsidRDefault="008862C7" w:rsidP="008862C7">
      <w:pPr>
        <w:pStyle w:val="Standard"/>
        <w:spacing w:line="360" w:lineRule="auto"/>
        <w:jc w:val="both"/>
        <w:rPr>
          <w:rFonts w:ascii="Arial" w:hAnsi="Arial" w:cs="Arial"/>
        </w:rPr>
      </w:pPr>
      <w:r>
        <w:rPr>
          <w:rFonts w:ascii="Arial" w:hAnsi="Arial" w:cs="Arial"/>
          <w:lang w:bidi="he-IL"/>
        </w:rPr>
        <w:t>Pour les pères de l’économie classique, notamment Adam Smith (1765) puis David Ricardo (1817), chaque pays a intérêt à se spécialiser dans les produits pour lesquels il est le plus avantagé. C’est-à-dire les produits pour lesquels il dispose d’un avantage absolu ou comparatif. Ceci mène naturellement à la spécialisation internationale et à la mise en place d’une division internationale du travail. Ainsi, Smith et Ricardo furent les premiers à définir les avantages que peuvent tirer les pays de la libéralisation des échanges. Les théoriciens modernes du commerce international ont approfondi leur thèse en renouvelant l’analyse des déterminants et gains de l’échange tout en restant profondément défenseur du libre-échange. C’est dans ce même ordre d’idée que les courants favorables à la dotation factorielle, notamment le théorème de Hecksher-Ohlin-Samuelson (HOS)</w:t>
      </w:r>
      <w:r>
        <w:rPr>
          <w:rStyle w:val="Appelnotedebasdep"/>
          <w:rFonts w:ascii="Arial" w:hAnsi="Arial" w:cs="Arial"/>
          <w:lang w:bidi="he-IL"/>
        </w:rPr>
        <w:footnoteReference w:id="1"/>
      </w:r>
      <w:r>
        <w:rPr>
          <w:rFonts w:ascii="Arial" w:hAnsi="Arial" w:cs="Arial"/>
          <w:lang w:bidi="he-IL"/>
        </w:rPr>
        <w:t xml:space="preserve"> fut établi en 1933. Pour ces auteurs, les différentes Nations sont amenées à exporter les produits incorporant une forte quantité de facteurs de production dont elles sont fortement dotées.</w:t>
      </w:r>
    </w:p>
    <w:p w14:paraId="43EBCC07" w14:textId="77777777" w:rsidR="008862C7" w:rsidRDefault="008862C7" w:rsidP="008862C7">
      <w:pPr>
        <w:pStyle w:val="Standard"/>
        <w:spacing w:line="360" w:lineRule="auto"/>
        <w:jc w:val="both"/>
        <w:rPr>
          <w:rFonts w:ascii="Arial" w:hAnsi="Arial" w:cs="Arial"/>
        </w:rPr>
      </w:pPr>
      <w:r>
        <w:rPr>
          <w:rFonts w:ascii="Arial" w:hAnsi="Arial" w:cs="Arial"/>
          <w:lang w:bidi="he-IL"/>
        </w:rPr>
        <w:t>De ce fait, la RCA qui dispose d’une importante dotation factorielle en terre  favorable à la production des matières premières d’origine agricole et minérale est prédisposée à une spécialisation internationale dans les produits de base notamment les produits agricoles.</w:t>
      </w:r>
    </w:p>
    <w:p w14:paraId="47FEEF5A" w14:textId="77777777" w:rsidR="008862C7" w:rsidRDefault="008862C7" w:rsidP="008862C7">
      <w:pPr>
        <w:pStyle w:val="Standard"/>
        <w:spacing w:line="360" w:lineRule="auto"/>
        <w:jc w:val="both"/>
        <w:rPr>
          <w:rFonts w:ascii="Arial" w:hAnsi="Arial" w:cs="Arial"/>
        </w:rPr>
      </w:pPr>
      <w:r>
        <w:rPr>
          <w:rFonts w:ascii="Arial" w:hAnsi="Arial" w:cs="Arial"/>
          <w:lang w:bidi="he-IL"/>
        </w:rPr>
        <w:t>Des produits agricoles cultivés en Centrafrique, le coton constituait l’une des principales sources de devise pour le pays et une source de revenu importante des paysans de la région des savanes. Face aux multiples crises que traverse la filière depuis quelques décennies, les reformes alors entreprises sous l’impulsion des partenaires au développement devront permettre à cette dernière de faire face efficacement à la concurrence internationale. Ce qui devrait garantir la viabilité et la pérennité de la filière. Malheureusement les effets escomptés de celles-ci n’ont pas été atteints. Entre autres les raisons qui expliquent cet échec, on a la baisse du cours mondial du coton, conjuguée avec les coûts supplémentaires de production et de commercialisation liés à la position géographique de la RCA. La viabilité de cette filière est ainsi fortement compromise. C’est pourquoi,</w:t>
      </w:r>
      <w:r>
        <w:rPr>
          <w:rFonts w:ascii="Arial" w:hAnsi="Arial" w:cs="Arial"/>
        </w:rPr>
        <w:t xml:space="preserve"> la relance de la filière ne peut se faire sans prendre en </w:t>
      </w:r>
      <w:r>
        <w:rPr>
          <w:rFonts w:ascii="Arial" w:hAnsi="Arial" w:cs="Arial"/>
        </w:rPr>
        <w:lastRenderedPageBreak/>
        <w:t>compte les problèmes concernant les facteurs pouvant booster la compétitivité et la viabilité de la filière cotonnière centrafricaine.</w:t>
      </w:r>
    </w:p>
    <w:p w14:paraId="1A311C20" w14:textId="77777777" w:rsidR="008862C7" w:rsidRDefault="008862C7" w:rsidP="008862C7">
      <w:pPr>
        <w:pStyle w:val="Standard"/>
        <w:spacing w:line="360" w:lineRule="auto"/>
        <w:jc w:val="both"/>
        <w:rPr>
          <w:rFonts w:ascii="Arial" w:hAnsi="Arial" w:cs="Arial"/>
        </w:rPr>
      </w:pPr>
      <w:r>
        <w:rPr>
          <w:rFonts w:ascii="Arial" w:hAnsi="Arial" w:cs="Arial"/>
        </w:rPr>
        <w:t xml:space="preserve">Des études comparatives (Aho et </w:t>
      </w:r>
      <w:r>
        <w:rPr>
          <w:rFonts w:ascii="Arial" w:hAnsi="Arial" w:cs="Arial"/>
          <w:i/>
        </w:rPr>
        <w:t>al.</w:t>
      </w:r>
      <w:r>
        <w:rPr>
          <w:rFonts w:ascii="Arial" w:hAnsi="Arial" w:cs="Arial"/>
        </w:rPr>
        <w:t xml:space="preserve">, 2003 ; Adoum-Kamata, 2012) montrent que le coton centrafricain est souvent moins compétitif que celui de ses voisins qui en exportent aussi. Ainsi, </w:t>
      </w:r>
      <w:r>
        <w:rPr>
          <w:rFonts w:ascii="Arial" w:hAnsi="Arial" w:cs="Arial"/>
          <w:lang w:bidi="he-IL"/>
        </w:rPr>
        <w:t>les coûts supplémentaires de production et de commercialisation liés à la position géographique de la RCA, conjuguée à la baisse des cours mondiaux du coton</w:t>
      </w:r>
      <w:r>
        <w:rPr>
          <w:rFonts w:ascii="Arial" w:hAnsi="Arial" w:cs="Arial"/>
        </w:rPr>
        <w:t xml:space="preserve"> pèsent lourdement sur le prix de revient du coton et </w:t>
      </w:r>
      <w:r>
        <w:rPr>
          <w:rFonts w:ascii="Arial" w:hAnsi="Arial" w:cs="Arial"/>
          <w:lang w:bidi="he-IL"/>
        </w:rPr>
        <w:t>affectent donc négativement sa compétitivité-prix. De plus, la dégradation de la qualité des fibres exportées, conséquences de problèmes structurels, réduit de même la compétitivité hors coût du coton centrafricain</w:t>
      </w:r>
      <w:r>
        <w:rPr>
          <w:rFonts w:ascii="Arial" w:hAnsi="Arial" w:cs="Arial"/>
        </w:rPr>
        <w:t>.</w:t>
      </w:r>
    </w:p>
    <w:p w14:paraId="6910B597" w14:textId="77777777" w:rsidR="008862C7" w:rsidRDefault="008862C7" w:rsidP="008862C7">
      <w:pPr>
        <w:pStyle w:val="Standard"/>
        <w:numPr>
          <w:ilvl w:val="0"/>
          <w:numId w:val="5"/>
        </w:numPr>
        <w:spacing w:line="360" w:lineRule="auto"/>
        <w:jc w:val="both"/>
        <w:outlineLvl w:val="2"/>
        <w:rPr>
          <w:rFonts w:ascii="Arial" w:hAnsi="Arial" w:cs="Arial"/>
          <w:b/>
        </w:rPr>
      </w:pPr>
      <w:bookmarkStart w:id="6" w:name="_Toc395107510"/>
      <w:bookmarkStart w:id="7" w:name="_Toc394954763"/>
      <w:r>
        <w:rPr>
          <w:rFonts w:ascii="Arial" w:hAnsi="Arial" w:cs="Arial"/>
          <w:b/>
        </w:rPr>
        <w:t>Objectifs, hypothèses et modèles d’analyse</w:t>
      </w:r>
      <w:bookmarkEnd w:id="6"/>
      <w:bookmarkEnd w:id="7"/>
      <w:r>
        <w:rPr>
          <w:rFonts w:ascii="Arial" w:hAnsi="Arial" w:cs="Arial"/>
          <w:b/>
        </w:rPr>
        <w:t> </w:t>
      </w:r>
    </w:p>
    <w:p w14:paraId="41134403" w14:textId="77777777" w:rsidR="008862C7" w:rsidRDefault="008862C7" w:rsidP="008862C7">
      <w:pPr>
        <w:pStyle w:val="Standard"/>
        <w:spacing w:line="360" w:lineRule="auto"/>
        <w:jc w:val="both"/>
        <w:rPr>
          <w:rFonts w:ascii="Arial" w:hAnsi="Arial" w:cs="Arial"/>
        </w:rPr>
      </w:pPr>
      <w:r>
        <w:rPr>
          <w:rFonts w:ascii="Arial" w:hAnsi="Arial" w:cs="Arial"/>
        </w:rPr>
        <w:t>L’objectif du présent travail consiste à analyser les déterminants de la compétitivité du coton centrafricain. Nous proposons plus précisément de :</w:t>
      </w:r>
    </w:p>
    <w:p w14:paraId="1B24FEFC" w14:textId="77777777" w:rsidR="008862C7" w:rsidRDefault="008862C7" w:rsidP="008862C7">
      <w:pPr>
        <w:pStyle w:val="Standard"/>
        <w:numPr>
          <w:ilvl w:val="0"/>
          <w:numId w:val="6"/>
        </w:numPr>
        <w:spacing w:line="360" w:lineRule="auto"/>
        <w:jc w:val="both"/>
        <w:rPr>
          <w:rFonts w:ascii="Arial" w:hAnsi="Arial" w:cs="Arial"/>
        </w:rPr>
      </w:pPr>
      <w:r>
        <w:rPr>
          <w:rFonts w:ascii="Arial" w:hAnsi="Arial" w:cs="Arial"/>
        </w:rPr>
        <w:t>analyser les systèmes de production et de commercialisation du coton centrafricain afin de cerner leur organisation ainsi que leur fonctionnement ;</w:t>
      </w:r>
    </w:p>
    <w:p w14:paraId="7556BF7E" w14:textId="77777777" w:rsidR="008862C7" w:rsidRDefault="008862C7" w:rsidP="008862C7">
      <w:pPr>
        <w:pStyle w:val="Standard"/>
        <w:numPr>
          <w:ilvl w:val="0"/>
          <w:numId w:val="6"/>
        </w:numPr>
        <w:spacing w:line="360" w:lineRule="auto"/>
        <w:jc w:val="both"/>
        <w:rPr>
          <w:rFonts w:ascii="Arial" w:hAnsi="Arial" w:cs="Arial"/>
        </w:rPr>
      </w:pPr>
      <w:r>
        <w:rPr>
          <w:rFonts w:ascii="Arial" w:hAnsi="Arial" w:cs="Arial"/>
        </w:rPr>
        <w:t>analyser la structure des coûts liés aux systèmes de production et de commercialisation du coton centrafricain ;</w:t>
      </w:r>
    </w:p>
    <w:p w14:paraId="1BFD3C96" w14:textId="77777777" w:rsidR="008862C7" w:rsidRDefault="008862C7" w:rsidP="008862C7">
      <w:pPr>
        <w:pStyle w:val="Standard"/>
        <w:numPr>
          <w:ilvl w:val="0"/>
          <w:numId w:val="6"/>
        </w:numPr>
        <w:spacing w:line="360" w:lineRule="auto"/>
        <w:jc w:val="both"/>
        <w:rPr>
          <w:rFonts w:ascii="Arial" w:hAnsi="Arial" w:cs="Arial"/>
        </w:rPr>
      </w:pPr>
      <w:r>
        <w:rPr>
          <w:rFonts w:ascii="Arial" w:hAnsi="Arial" w:cs="Arial"/>
        </w:rPr>
        <w:t>mettre en évidence les déterminants de la compétitivité du coton centrafricain et évaluer leurs pouvoirs explicatifs ;</w:t>
      </w:r>
    </w:p>
    <w:p w14:paraId="5D0A0B0D" w14:textId="77777777" w:rsidR="008862C7" w:rsidRDefault="008862C7" w:rsidP="008862C7">
      <w:pPr>
        <w:pStyle w:val="Standard"/>
        <w:numPr>
          <w:ilvl w:val="0"/>
          <w:numId w:val="6"/>
        </w:numPr>
        <w:spacing w:line="360" w:lineRule="auto"/>
        <w:jc w:val="both"/>
        <w:rPr>
          <w:rFonts w:ascii="Arial" w:hAnsi="Arial" w:cs="Arial"/>
        </w:rPr>
      </w:pPr>
      <w:r>
        <w:rPr>
          <w:rFonts w:ascii="Arial" w:hAnsi="Arial" w:cs="Arial"/>
        </w:rPr>
        <w:t>mesurer le poids relatif de la compétitivité prix et de la compétitivité structurelle dans les performances à l’exportation du coton centrafricain.</w:t>
      </w:r>
    </w:p>
    <w:p w14:paraId="6556D347" w14:textId="77777777" w:rsidR="008862C7" w:rsidRDefault="008862C7" w:rsidP="008862C7">
      <w:pPr>
        <w:pStyle w:val="Standard"/>
        <w:spacing w:line="360" w:lineRule="auto"/>
        <w:jc w:val="both"/>
        <w:rPr>
          <w:rFonts w:ascii="Arial" w:hAnsi="Arial" w:cs="Arial"/>
        </w:rPr>
      </w:pPr>
      <w:r>
        <w:rPr>
          <w:rFonts w:ascii="Arial" w:hAnsi="Arial" w:cs="Arial"/>
        </w:rPr>
        <w:t xml:space="preserve">Après une brève revue de la littérature sur l’objet de notre recherche, nous pouvons émettre les hypothèses de recherche suivantes : </w:t>
      </w:r>
    </w:p>
    <w:p w14:paraId="4EF437AA" w14:textId="77777777" w:rsidR="008862C7" w:rsidRDefault="008862C7" w:rsidP="008862C7">
      <w:pPr>
        <w:pStyle w:val="Standard"/>
        <w:numPr>
          <w:ilvl w:val="0"/>
          <w:numId w:val="7"/>
        </w:numPr>
        <w:spacing w:line="360" w:lineRule="auto"/>
        <w:jc w:val="both"/>
        <w:rPr>
          <w:rFonts w:ascii="Arial" w:hAnsi="Arial" w:cs="Arial"/>
        </w:rPr>
      </w:pPr>
      <w:r>
        <w:rPr>
          <w:rFonts w:ascii="Arial" w:hAnsi="Arial" w:cs="Arial"/>
        </w:rPr>
        <w:t>les changements structurels intervenus dans la filière au cours des quinze dernières années (libéralisation et désengagement progressif de l’Etat) n’auraient pas produits les résultats escomptés (accroissement de la compétitivité, efficience du marché et une meilleure rentabilité de la filière), mais contribueraient plutôt à relativiser les avantages concurrentiels acquis dans le système productif et commercial au cours des décennies précédentes ;</w:t>
      </w:r>
    </w:p>
    <w:p w14:paraId="0A084BAE" w14:textId="77777777" w:rsidR="008862C7" w:rsidRDefault="008862C7" w:rsidP="008862C7">
      <w:pPr>
        <w:pStyle w:val="Standard"/>
        <w:numPr>
          <w:ilvl w:val="0"/>
          <w:numId w:val="7"/>
        </w:numPr>
        <w:spacing w:line="360" w:lineRule="auto"/>
        <w:jc w:val="both"/>
        <w:rPr>
          <w:rFonts w:ascii="Arial" w:hAnsi="Arial" w:cs="Arial"/>
        </w:rPr>
      </w:pPr>
      <w:r>
        <w:rPr>
          <w:rFonts w:ascii="Arial" w:hAnsi="Arial" w:cs="Arial"/>
        </w:rPr>
        <w:lastRenderedPageBreak/>
        <w:t>les coûts des intrants agricoles et de la commercialisation interne constitueraient les principaux postes de dépenses dans la production et la commercialisation du coton centrafricain ;</w:t>
      </w:r>
    </w:p>
    <w:p w14:paraId="7B4BFA4B" w14:textId="77777777" w:rsidR="008862C7" w:rsidRDefault="008862C7" w:rsidP="008862C7">
      <w:pPr>
        <w:pStyle w:val="Standard"/>
        <w:numPr>
          <w:ilvl w:val="0"/>
          <w:numId w:val="7"/>
        </w:numPr>
        <w:spacing w:line="360" w:lineRule="auto"/>
        <w:jc w:val="both"/>
        <w:rPr>
          <w:rFonts w:ascii="Arial" w:hAnsi="Arial" w:cs="Arial"/>
        </w:rPr>
      </w:pPr>
      <w:r>
        <w:rPr>
          <w:rFonts w:ascii="Arial" w:hAnsi="Arial" w:cs="Arial"/>
        </w:rPr>
        <w:t>la compétitivité prix du coton centrafricain serait une fonction décroissante du coût des intrants et du transport tandis que la compétitivité structurelle serait une fonction croissante du respect des pratiques culturales, donc de la qualité du coton fibre et des politiques agricoles du gouvernement au sein de la filière ;</w:t>
      </w:r>
    </w:p>
    <w:p w14:paraId="2CCE1645" w14:textId="77777777" w:rsidR="008862C7" w:rsidRDefault="008862C7" w:rsidP="008862C7">
      <w:pPr>
        <w:pStyle w:val="Standard"/>
        <w:numPr>
          <w:ilvl w:val="0"/>
          <w:numId w:val="7"/>
        </w:numPr>
        <w:spacing w:line="360" w:lineRule="auto"/>
        <w:jc w:val="both"/>
        <w:rPr>
          <w:rFonts w:ascii="Arial" w:hAnsi="Arial" w:cs="Arial"/>
        </w:rPr>
      </w:pPr>
      <w:r>
        <w:rPr>
          <w:rFonts w:ascii="Arial" w:hAnsi="Arial" w:cs="Arial"/>
        </w:rPr>
        <w:t>le poids relatif des déterminants de la compétitivité structurelle par rapport à celui des déterminants de la compétitivité-prix du coton centrafricain serait relativement faible que celui de ces concurrents africains qui auraient en plus un avantage concurrentiel en terme de coûts de production et de commercialisation.</w:t>
      </w:r>
    </w:p>
    <w:p w14:paraId="793914D4" w14:textId="77777777" w:rsidR="008862C7" w:rsidRDefault="008862C7" w:rsidP="008862C7">
      <w:pPr>
        <w:pStyle w:val="Standard"/>
        <w:spacing w:line="360" w:lineRule="auto"/>
        <w:jc w:val="both"/>
        <w:rPr>
          <w:rFonts w:ascii="Arial" w:hAnsi="Arial" w:cs="Arial"/>
        </w:rPr>
      </w:pPr>
      <w:r>
        <w:rPr>
          <w:rFonts w:ascii="Arial" w:hAnsi="Arial" w:cs="Arial"/>
        </w:rPr>
        <w:t xml:space="preserve">Pour vérifier ces hypothèses, quatre modèles d’analyse sont mobilisés : (i) le modèle d’analyse de discours (Beaud et al. 2006) qui nous est utile tout le long du travail car il permet de vérifier nos quatre hypothèses. (ii) Le modèle d’analyse financière (Friedérich et Langlois, 2001) permet d’établir non seulement les comptes d’exploitation des producteurs de coton enquêtés, mais aussi ceux de la société cotonnière. Ce modèle permet de vérifier la troisième hypothèse de notre travail. (iii) Le modèle d’analyse statistique (Salvatier, 1992), faisant recours aux calculs des moyennes et l’établissement des graphiques, est aussi nécessaire dans la vérification des hypothèses 2 et 3. (iv) Enfin, le modèle d’analyse économétrique (Hurlin, 2012) qui fait recours aux outils mathématiques, statistiques et à la théorie économique permet de construire les modèles économétriques mettant en évidence les déterminants de la compétitivité du coton centrafricain. Il nous est utile dans la vérification de la dernière hypothèse. </w:t>
      </w:r>
    </w:p>
    <w:p w14:paraId="1DE0F8F6" w14:textId="77777777" w:rsidR="008862C7" w:rsidRDefault="008862C7" w:rsidP="008862C7">
      <w:pPr>
        <w:pStyle w:val="NormalWeb"/>
        <w:numPr>
          <w:ilvl w:val="0"/>
          <w:numId w:val="5"/>
        </w:numPr>
        <w:spacing w:before="0" w:after="200" w:line="360" w:lineRule="auto"/>
        <w:jc w:val="both"/>
        <w:outlineLvl w:val="2"/>
        <w:rPr>
          <w:rFonts w:ascii="Arial" w:hAnsi="Arial" w:cs="Arial"/>
          <w:b/>
        </w:rPr>
      </w:pPr>
      <w:bookmarkStart w:id="8" w:name="_Toc395107511"/>
      <w:bookmarkStart w:id="9" w:name="_Toc394954764"/>
      <w:r>
        <w:rPr>
          <w:rFonts w:ascii="Arial" w:hAnsi="Arial" w:cs="Arial"/>
          <w:b/>
        </w:rPr>
        <w:t>Méthodologie de l’étude</w:t>
      </w:r>
      <w:bookmarkEnd w:id="8"/>
      <w:bookmarkEnd w:id="9"/>
    </w:p>
    <w:p w14:paraId="5ABBB73A" w14:textId="77777777" w:rsidR="008862C7" w:rsidRDefault="008862C7" w:rsidP="008862C7">
      <w:pPr>
        <w:pStyle w:val="NormalWeb"/>
        <w:spacing w:before="0" w:after="200" w:line="360" w:lineRule="auto"/>
        <w:jc w:val="both"/>
        <w:rPr>
          <w:rFonts w:ascii="Arial" w:hAnsi="Arial" w:cs="Arial"/>
        </w:rPr>
      </w:pPr>
      <w:r>
        <w:rPr>
          <w:rFonts w:ascii="Arial" w:hAnsi="Arial" w:cs="Arial"/>
        </w:rPr>
        <w:t xml:space="preserve">Pour l’appréhension de notre sujet, nous avons défini une démarche méthodologique en trois étapes. Nous avons d’abord dans une première étape procéder à la collecte des données primaires au travers des recherches documentaires et web-graphiques. Ensuite, nous avons collecté des données primaires au travers des enquêtes de terrain et entretiens semi-structurés auprès des personnes ressources de la filière. Enfin nous avons procédé au dépouillement des questionnaires et des guides d’entretien et à l’analyse des données. </w:t>
      </w:r>
    </w:p>
    <w:p w14:paraId="6E711F4F" w14:textId="77777777" w:rsidR="00E72C3F" w:rsidRDefault="00E72C3F" w:rsidP="008862C7">
      <w:pPr>
        <w:pStyle w:val="NormalWeb"/>
        <w:spacing w:before="0" w:after="200" w:line="360" w:lineRule="auto"/>
        <w:jc w:val="both"/>
        <w:rPr>
          <w:rFonts w:ascii="Arial" w:hAnsi="Arial" w:cs="Arial"/>
        </w:rPr>
      </w:pPr>
    </w:p>
    <w:p w14:paraId="04CB017B" w14:textId="77777777" w:rsidR="008862C7" w:rsidRDefault="008862C7" w:rsidP="008862C7">
      <w:pPr>
        <w:pStyle w:val="Paragraphedeliste"/>
        <w:numPr>
          <w:ilvl w:val="1"/>
          <w:numId w:val="5"/>
        </w:numPr>
        <w:suppressAutoHyphens/>
        <w:spacing w:line="360" w:lineRule="auto"/>
        <w:jc w:val="both"/>
        <w:outlineLvl w:val="3"/>
        <w:rPr>
          <w:rFonts w:ascii="Arial" w:eastAsia="WenQuanYi Micro Hei" w:hAnsi="Arial" w:cs="Arial"/>
          <w:b/>
          <w:sz w:val="24"/>
          <w:szCs w:val="24"/>
          <w:lang w:eastAsia="zh-CN" w:bidi="hi-IN"/>
        </w:rPr>
      </w:pPr>
      <w:bookmarkStart w:id="10" w:name="_Toc395107512"/>
      <w:r>
        <w:rPr>
          <w:rFonts w:ascii="Arial" w:eastAsia="WenQuanYi Micro Hei" w:hAnsi="Arial" w:cs="Arial"/>
          <w:b/>
          <w:sz w:val="24"/>
          <w:szCs w:val="24"/>
          <w:lang w:eastAsia="zh-CN" w:bidi="hi-IN"/>
        </w:rPr>
        <w:lastRenderedPageBreak/>
        <w:t xml:space="preserve">Délimitation du champ de l’étude et </w:t>
      </w:r>
      <w:bookmarkStart w:id="11" w:name="_Toc321250976"/>
      <w:bookmarkStart w:id="12" w:name="_Toc321218610"/>
      <w:r>
        <w:rPr>
          <w:rFonts w:ascii="Arial" w:eastAsia="WenQuanYi Micro Hei" w:hAnsi="Arial" w:cs="Arial"/>
          <w:b/>
          <w:sz w:val="24"/>
          <w:szCs w:val="24"/>
          <w:lang w:eastAsia="zh-CN" w:bidi="hi-IN"/>
        </w:rPr>
        <w:t>échantillonnage</w:t>
      </w:r>
      <w:bookmarkEnd w:id="10"/>
      <w:bookmarkEnd w:id="11"/>
      <w:bookmarkEnd w:id="12"/>
    </w:p>
    <w:p w14:paraId="7B046ED2" w14:textId="77777777" w:rsidR="008862C7" w:rsidRDefault="008862C7" w:rsidP="008862C7">
      <w:pPr>
        <w:suppressAutoHyphens/>
        <w:spacing w:line="360" w:lineRule="auto"/>
        <w:jc w:val="both"/>
        <w:rPr>
          <w:rFonts w:ascii="Arial" w:eastAsia="WenQuanYi Micro Hei" w:hAnsi="Arial" w:cs="Arial"/>
          <w:sz w:val="24"/>
          <w:szCs w:val="24"/>
          <w:lang w:eastAsia="zh-CN" w:bidi="hi-IN"/>
        </w:rPr>
      </w:pPr>
      <w:r>
        <w:rPr>
          <w:rFonts w:ascii="Arial" w:eastAsia="WenQuanYi Micro Hei" w:hAnsi="Arial" w:cs="Arial"/>
          <w:sz w:val="24"/>
          <w:szCs w:val="24"/>
          <w:lang w:eastAsia="zh-CN" w:bidi="hi-IN"/>
        </w:rPr>
        <w:t xml:space="preserve">Compte tenu du fait que les moyens dont nous disposons sont très limités et par souci de faisabilité et d’efficacité, cette étude doit nécessairement être délimitée. La délimitation revêt deux dimensions : spatiale et temporelle. </w:t>
      </w:r>
    </w:p>
    <w:p w14:paraId="741C75C2" w14:textId="77777777" w:rsidR="008862C7" w:rsidRDefault="008862C7" w:rsidP="008862C7">
      <w:pPr>
        <w:suppressAutoHyphens/>
        <w:spacing w:line="360" w:lineRule="auto"/>
        <w:jc w:val="both"/>
        <w:rPr>
          <w:rFonts w:ascii="Arial" w:eastAsia="WenQuanYi Micro Hei" w:hAnsi="Arial" w:cs="Arial"/>
          <w:sz w:val="24"/>
          <w:szCs w:val="24"/>
          <w:lang w:eastAsia="zh-CN" w:bidi="hi-IN"/>
        </w:rPr>
      </w:pPr>
      <w:r>
        <w:rPr>
          <w:rFonts w:ascii="Arial" w:eastAsia="WenQuanYi Micro Hei" w:hAnsi="Arial" w:cs="Arial"/>
          <w:sz w:val="24"/>
          <w:szCs w:val="24"/>
          <w:lang w:eastAsia="zh-CN" w:bidi="hi-IN"/>
        </w:rPr>
        <w:t xml:space="preserve">Du point de vue spatial, les préfectures de l’Ouham (Bossangoa), et de la Ouaka (Bambari) sont retenues. A cet effet, nos enquêtes se sont limitées à la commune de Bossangoa et celle de Bambari. </w:t>
      </w:r>
    </w:p>
    <w:p w14:paraId="02DE7CE8" w14:textId="77777777" w:rsidR="008862C7" w:rsidRDefault="008862C7" w:rsidP="008862C7">
      <w:pPr>
        <w:suppressAutoHyphens/>
        <w:spacing w:line="360" w:lineRule="auto"/>
        <w:jc w:val="both"/>
        <w:rPr>
          <w:rFonts w:ascii="Arial" w:eastAsia="WenQuanYi Micro Hei" w:hAnsi="Arial" w:cs="Arial"/>
          <w:sz w:val="24"/>
          <w:szCs w:val="24"/>
          <w:lang w:eastAsia="zh-CN" w:bidi="hi-IN"/>
        </w:rPr>
      </w:pPr>
      <w:r>
        <w:rPr>
          <w:rFonts w:ascii="Arial" w:eastAsia="WenQuanYi Micro Hei" w:hAnsi="Arial" w:cs="Arial"/>
          <w:sz w:val="24"/>
          <w:szCs w:val="24"/>
          <w:lang w:eastAsia="zh-CN" w:bidi="hi-IN"/>
        </w:rPr>
        <w:t>Du point de vue temporel, l’étude se limite aux trois dernières décennies (1980 à 2012) correspondant d’une part à la montée en puissance du libéralisme au niveau mondial et d’autre part aux crises du prix des produits de base dont le coton.</w:t>
      </w:r>
    </w:p>
    <w:p w14:paraId="2C6A7346" w14:textId="77777777" w:rsidR="008862C7" w:rsidRDefault="008862C7" w:rsidP="008862C7">
      <w:pPr>
        <w:suppressAutoHyphens/>
        <w:spacing w:line="360" w:lineRule="auto"/>
        <w:jc w:val="both"/>
        <w:rPr>
          <w:rFonts w:ascii="Arial" w:eastAsia="Times New Roman" w:hAnsi="Arial" w:cs="Arial"/>
          <w:lang w:eastAsia="fr-FR"/>
        </w:rPr>
      </w:pPr>
      <w:r>
        <w:rPr>
          <w:rFonts w:ascii="Arial" w:eastAsia="WenQuanYi Micro Hei" w:hAnsi="Arial" w:cs="Arial"/>
          <w:sz w:val="24"/>
          <w:szCs w:val="24"/>
          <w:lang w:eastAsia="zh-CN" w:bidi="hi-IN"/>
        </w:rPr>
        <w:t xml:space="preserve">Les enquêtes ne seront pas menées sur tous les producteurs de coton des communes de Bossangoa et de Bambari mais portent sur un échantillon de 100 producteurs de coton et de 100 Groupements d’intérêts ruraux (GIR). </w:t>
      </w:r>
      <w:r>
        <w:rPr>
          <w:rFonts w:ascii="Arial" w:hAnsi="Arial" w:cs="Arial"/>
        </w:rPr>
        <w:t xml:space="preserve">  </w:t>
      </w:r>
    </w:p>
    <w:p w14:paraId="0AD5179B" w14:textId="77777777" w:rsidR="008862C7" w:rsidRDefault="008862C7" w:rsidP="008862C7">
      <w:pPr>
        <w:pStyle w:val="Paragraphedeliste"/>
        <w:numPr>
          <w:ilvl w:val="1"/>
          <w:numId w:val="5"/>
        </w:numPr>
        <w:suppressAutoHyphens/>
        <w:spacing w:line="360" w:lineRule="auto"/>
        <w:jc w:val="both"/>
        <w:outlineLvl w:val="3"/>
        <w:rPr>
          <w:rFonts w:ascii="Arial" w:eastAsia="WenQuanYi Micro Hei" w:hAnsi="Arial" w:cs="Arial"/>
          <w:b/>
          <w:sz w:val="24"/>
          <w:szCs w:val="24"/>
          <w:lang w:eastAsia="zh-CN" w:bidi="hi-IN"/>
        </w:rPr>
      </w:pPr>
      <w:bookmarkStart w:id="13" w:name="_Toc321250974"/>
      <w:bookmarkStart w:id="14" w:name="_Toc395107513"/>
      <w:r>
        <w:rPr>
          <w:rFonts w:ascii="Arial" w:eastAsia="WenQuanYi Micro Hei" w:hAnsi="Arial" w:cs="Arial"/>
          <w:b/>
          <w:sz w:val="24"/>
          <w:szCs w:val="24"/>
          <w:lang w:eastAsia="zh-CN"/>
        </w:rPr>
        <w:t>Réalisation de l’enquête</w:t>
      </w:r>
      <w:bookmarkEnd w:id="13"/>
      <w:r>
        <w:rPr>
          <w:rFonts w:ascii="Arial" w:eastAsia="WenQuanYi Micro Hei" w:hAnsi="Arial" w:cs="Arial"/>
          <w:b/>
          <w:sz w:val="24"/>
          <w:szCs w:val="24"/>
          <w:lang w:eastAsia="zh-CN"/>
        </w:rPr>
        <w:t xml:space="preserve">, </w:t>
      </w:r>
      <w:bookmarkStart w:id="15" w:name="_Toc321250975"/>
      <w:r>
        <w:rPr>
          <w:rFonts w:ascii="Arial" w:eastAsia="WenQuanYi Micro Hei" w:hAnsi="Arial" w:cs="Arial"/>
          <w:b/>
          <w:sz w:val="24"/>
          <w:szCs w:val="24"/>
          <w:lang w:eastAsia="zh-CN" w:bidi="hi-IN"/>
        </w:rPr>
        <w:t>dépouillement et analyse des données</w:t>
      </w:r>
      <w:bookmarkEnd w:id="14"/>
      <w:bookmarkEnd w:id="15"/>
    </w:p>
    <w:p w14:paraId="2BF75141" w14:textId="77777777" w:rsidR="008862C7" w:rsidRDefault="008862C7" w:rsidP="008862C7">
      <w:pPr>
        <w:suppressAutoHyphens/>
        <w:spacing w:line="360" w:lineRule="auto"/>
        <w:jc w:val="both"/>
        <w:rPr>
          <w:rFonts w:ascii="Arial" w:eastAsia="WenQuanYi Micro Hei" w:hAnsi="Arial" w:cs="Arial"/>
          <w:sz w:val="24"/>
          <w:szCs w:val="24"/>
          <w:lang w:eastAsia="zh-CN" w:bidi="hi-IN"/>
        </w:rPr>
      </w:pPr>
      <w:r>
        <w:rPr>
          <w:rFonts w:ascii="Arial" w:eastAsia="WenQuanYi Micro Hei" w:hAnsi="Arial" w:cs="Arial"/>
          <w:sz w:val="24"/>
          <w:szCs w:val="24"/>
          <w:lang w:eastAsia="zh-CN" w:bidi="hi-IN"/>
        </w:rPr>
        <w:t xml:space="preserve">Pour la réalisation de l’enquête, deux questionnaires ont été conçus pour appréhender l’ensemble de la filière. Le premier, s’adressant aux producteurs, couvre six grands thèmes dont : (i) l’identification du producteur, (ii) les intrants, (iii) la production, (iv) la commercialisation, (v) le marché autogéré, et (vi) le prix et le revenu. Le second s’adresse aux organisations paysannes, notamment les GIR. Celui-ci aborde cinq grands thèmes que sont : (i) l’identification du GIR, (ii) son fonctionnement, (iii) le circuit d’approvisionnement en intrants, (iv) la commercialisation et la gestion des ristournes, et enfin (v) les difficultés rencontrées. </w:t>
      </w:r>
    </w:p>
    <w:p w14:paraId="49F4EA14" w14:textId="77777777" w:rsidR="008862C7" w:rsidRDefault="008862C7" w:rsidP="008862C7">
      <w:pPr>
        <w:suppressAutoHyphens/>
        <w:spacing w:line="360" w:lineRule="auto"/>
        <w:jc w:val="both"/>
        <w:rPr>
          <w:rFonts w:ascii="Arial" w:eastAsia="WenQuanYi Micro Hei" w:hAnsi="Arial" w:cs="Arial"/>
          <w:sz w:val="24"/>
          <w:szCs w:val="24"/>
          <w:lang w:eastAsia="zh-CN" w:bidi="hi-IN"/>
        </w:rPr>
      </w:pPr>
      <w:r>
        <w:rPr>
          <w:rFonts w:ascii="Arial" w:eastAsia="WenQuanYi Micro Hei" w:hAnsi="Arial" w:cs="Arial"/>
          <w:sz w:val="24"/>
          <w:szCs w:val="24"/>
          <w:lang w:eastAsia="zh-CN" w:bidi="hi-IN"/>
        </w:rPr>
        <w:t xml:space="preserve">Le dépouillement des questionnaires est réalisé en deux phases. Une phase de dépouillement manuel permettant de vérifier la qualité des informations recueillies et de sélectionner les variables susceptibles d’être discriminatoires lors de l’analyse, et une phase de traitement informatique de données permettant de réaliser des regroupements et des comparaisons, d’élaborer des graphiques et d’effectuer des calculs de pourcentage. Ce travail est ensuite complété par l’estimation des coefficients des variables du modèle économétrique à l’aide du logiciel STATA 10.  </w:t>
      </w:r>
    </w:p>
    <w:p w14:paraId="53C4D556" w14:textId="77777777" w:rsidR="00E72C3F" w:rsidRDefault="00E72C3F" w:rsidP="008862C7">
      <w:pPr>
        <w:suppressAutoHyphens/>
        <w:spacing w:line="360" w:lineRule="auto"/>
        <w:jc w:val="both"/>
        <w:rPr>
          <w:rFonts w:ascii="Arial" w:eastAsia="WenQuanYi Micro Hei" w:hAnsi="Arial" w:cs="Arial"/>
          <w:sz w:val="24"/>
          <w:szCs w:val="24"/>
          <w:lang w:eastAsia="zh-CN" w:bidi="hi-IN"/>
        </w:rPr>
      </w:pPr>
    </w:p>
    <w:p w14:paraId="41391670" w14:textId="77777777" w:rsidR="00E72C3F" w:rsidRDefault="00E72C3F" w:rsidP="008862C7">
      <w:pPr>
        <w:suppressAutoHyphens/>
        <w:spacing w:line="360" w:lineRule="auto"/>
        <w:jc w:val="both"/>
        <w:rPr>
          <w:rFonts w:ascii="Arial" w:eastAsia="WenQuanYi Micro Hei" w:hAnsi="Arial" w:cs="Arial"/>
          <w:sz w:val="24"/>
          <w:szCs w:val="24"/>
          <w:lang w:eastAsia="zh-CN" w:bidi="hi-IN"/>
        </w:rPr>
      </w:pPr>
    </w:p>
    <w:p w14:paraId="461EAA7E" w14:textId="77777777" w:rsidR="008862C7" w:rsidRDefault="008862C7" w:rsidP="008862C7">
      <w:pPr>
        <w:pStyle w:val="Paragraphedeliste"/>
        <w:numPr>
          <w:ilvl w:val="0"/>
          <w:numId w:val="5"/>
        </w:numPr>
        <w:spacing w:line="360" w:lineRule="auto"/>
        <w:outlineLvl w:val="2"/>
        <w:rPr>
          <w:rFonts w:ascii="Arial" w:hAnsi="Arial" w:cs="Arial"/>
          <w:b/>
          <w:sz w:val="24"/>
          <w:szCs w:val="24"/>
        </w:rPr>
      </w:pPr>
      <w:bookmarkStart w:id="16" w:name="_Toc395107514"/>
      <w:bookmarkStart w:id="17" w:name="_Toc394954765"/>
      <w:r>
        <w:rPr>
          <w:rFonts w:ascii="Arial" w:hAnsi="Arial" w:cs="Arial"/>
          <w:b/>
          <w:sz w:val="24"/>
          <w:szCs w:val="24"/>
        </w:rPr>
        <w:lastRenderedPageBreak/>
        <w:t>Intérêt du sujet et canevas</w:t>
      </w:r>
      <w:bookmarkEnd w:id="16"/>
      <w:bookmarkEnd w:id="17"/>
    </w:p>
    <w:p w14:paraId="217F7B84"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L’intérêt de cette étude sur les déterminants de la compétitivité du coton centrafricain réside dans le fait qu’elle permettra d’une part de cerner les limites et les conditions d’efficacité du schéma organisationnel et du fonctionnement </w:t>
      </w:r>
      <w:r>
        <w:rPr>
          <w:rStyle w:val="paranumber"/>
          <w:rFonts w:ascii="Arial" w:hAnsi="Arial" w:cs="Arial"/>
          <w:sz w:val="24"/>
          <w:szCs w:val="24"/>
        </w:rPr>
        <w:t>du système de production et de commercialisation du coton centrafricain, et ainsi cerner l’impact de ces systèmes sur la compétitivité et l’efficacité économique de la filière ;</w:t>
      </w:r>
      <w:r>
        <w:rPr>
          <w:rFonts w:ascii="Arial" w:hAnsi="Arial" w:cs="Arial"/>
          <w:sz w:val="24"/>
          <w:szCs w:val="24"/>
        </w:rPr>
        <w:t xml:space="preserve"> d’autre part d’identifier et d’évaluer empiriquement les facteurs qui impactent </w:t>
      </w:r>
      <w:r>
        <w:rPr>
          <w:rStyle w:val="paranumber"/>
          <w:rFonts w:ascii="Arial" w:hAnsi="Arial" w:cs="Arial"/>
          <w:sz w:val="24"/>
          <w:szCs w:val="24"/>
        </w:rPr>
        <w:t>la compétitivité du coton centrafricain.</w:t>
      </w:r>
    </w:p>
    <w:p w14:paraId="32B24554" w14:textId="77777777" w:rsidR="008862C7" w:rsidRDefault="008862C7" w:rsidP="008862C7">
      <w:pPr>
        <w:pStyle w:val="Standard"/>
        <w:spacing w:line="360" w:lineRule="auto"/>
        <w:jc w:val="both"/>
        <w:rPr>
          <w:rFonts w:ascii="Arial" w:hAnsi="Arial" w:cs="Arial"/>
        </w:rPr>
      </w:pPr>
      <w:r>
        <w:rPr>
          <w:rFonts w:ascii="Arial" w:hAnsi="Arial" w:cs="Arial"/>
        </w:rPr>
        <w:t>Pour répondre à la problématique soulevée par notre thème, notre travail est structuré en deux parties de deux chapitres chacune. Dans la première partie, intitulée cadre conceptuel et théorique de la compétitivité et dynamique de la filière cotonnière, le chapitre premier est consacré à l’approche conceptuelle et théorique de la compétitivité et le second chapitre porte sur la dynamique de la filière cotonnière. Dans la seconde partie qui traite de l’étude empirique des déterminants de la compétitivité du coton centrafricain, le premier chapitre porte sur l’analyse des systèmes productif et commercial du coton centrafricain tandis que le second chapitre analyse les déterminants de la compétitivité du coton centrafricain afin d’évaluer leur pouvoir explicatif.</w:t>
      </w:r>
    </w:p>
    <w:p w14:paraId="7C1A8134" w14:textId="77777777" w:rsidR="008862C7" w:rsidRDefault="008862C7" w:rsidP="008862C7">
      <w:pPr>
        <w:pStyle w:val="NormalWeb"/>
        <w:spacing w:after="0" w:line="360" w:lineRule="auto"/>
        <w:jc w:val="both"/>
        <w:rPr>
          <w:rFonts w:ascii="Arial" w:hAnsi="Arial" w:cs="Arial"/>
          <w:b/>
        </w:rPr>
      </w:pPr>
    </w:p>
    <w:p w14:paraId="1FDB91FE" w14:textId="77777777" w:rsidR="008862C7" w:rsidRDefault="008862C7" w:rsidP="008862C7">
      <w:pPr>
        <w:rPr>
          <w:rFonts w:ascii="Arial" w:hAnsi="Arial" w:cs="Arial"/>
          <w:sz w:val="24"/>
          <w:szCs w:val="24"/>
        </w:rPr>
      </w:pPr>
    </w:p>
    <w:p w14:paraId="457C788B" w14:textId="77777777" w:rsidR="008862C7" w:rsidRDefault="008862C7" w:rsidP="008862C7">
      <w:pPr>
        <w:rPr>
          <w:rFonts w:ascii="Arial" w:hAnsi="Arial" w:cs="Arial"/>
          <w:sz w:val="24"/>
          <w:szCs w:val="24"/>
        </w:rPr>
      </w:pPr>
    </w:p>
    <w:p w14:paraId="532939F9" w14:textId="77777777" w:rsidR="008862C7" w:rsidRDefault="008862C7" w:rsidP="008862C7">
      <w:pPr>
        <w:rPr>
          <w:rFonts w:ascii="Arial" w:hAnsi="Arial" w:cs="Arial"/>
          <w:sz w:val="24"/>
          <w:szCs w:val="24"/>
        </w:rPr>
      </w:pPr>
    </w:p>
    <w:p w14:paraId="6FA1D840" w14:textId="77777777" w:rsidR="008862C7" w:rsidRDefault="008862C7" w:rsidP="008862C7">
      <w:pPr>
        <w:rPr>
          <w:rFonts w:ascii="Arial" w:hAnsi="Arial" w:cs="Arial"/>
          <w:sz w:val="24"/>
          <w:szCs w:val="24"/>
        </w:rPr>
      </w:pPr>
    </w:p>
    <w:p w14:paraId="2EF20470" w14:textId="77777777" w:rsidR="008862C7" w:rsidRDefault="008862C7" w:rsidP="008862C7">
      <w:pPr>
        <w:rPr>
          <w:rFonts w:ascii="Arial" w:hAnsi="Arial" w:cs="Arial"/>
          <w:sz w:val="24"/>
          <w:szCs w:val="24"/>
        </w:rPr>
      </w:pPr>
    </w:p>
    <w:p w14:paraId="15A119D4" w14:textId="77777777" w:rsidR="008862C7" w:rsidRDefault="008862C7" w:rsidP="008862C7">
      <w:pPr>
        <w:rPr>
          <w:rFonts w:ascii="Arial" w:hAnsi="Arial" w:cs="Arial"/>
          <w:sz w:val="24"/>
          <w:szCs w:val="24"/>
        </w:rPr>
      </w:pPr>
    </w:p>
    <w:p w14:paraId="60688506" w14:textId="77777777" w:rsidR="008862C7" w:rsidRDefault="008862C7" w:rsidP="008862C7">
      <w:pPr>
        <w:rPr>
          <w:rFonts w:ascii="Arial" w:hAnsi="Arial" w:cs="Arial"/>
          <w:sz w:val="24"/>
          <w:szCs w:val="24"/>
        </w:rPr>
      </w:pPr>
    </w:p>
    <w:p w14:paraId="24C41B10" w14:textId="77777777" w:rsidR="008862C7" w:rsidRDefault="008862C7" w:rsidP="008862C7">
      <w:pPr>
        <w:rPr>
          <w:rFonts w:ascii="Arial" w:hAnsi="Arial" w:cs="Arial"/>
          <w:sz w:val="24"/>
          <w:szCs w:val="24"/>
        </w:rPr>
      </w:pPr>
    </w:p>
    <w:p w14:paraId="124EED29" w14:textId="77777777" w:rsidR="008862C7" w:rsidRDefault="008862C7" w:rsidP="008862C7">
      <w:pPr>
        <w:rPr>
          <w:rFonts w:ascii="Arial" w:hAnsi="Arial" w:cs="Arial"/>
          <w:sz w:val="24"/>
          <w:szCs w:val="24"/>
        </w:rPr>
      </w:pPr>
    </w:p>
    <w:p w14:paraId="78ED0825" w14:textId="77777777" w:rsidR="008862C7" w:rsidRDefault="008862C7" w:rsidP="008862C7">
      <w:pPr>
        <w:rPr>
          <w:rFonts w:ascii="Arial" w:hAnsi="Arial" w:cs="Arial"/>
          <w:sz w:val="24"/>
          <w:szCs w:val="24"/>
        </w:rPr>
      </w:pPr>
    </w:p>
    <w:p w14:paraId="385E73DF" w14:textId="77777777" w:rsidR="008862C7" w:rsidRDefault="008862C7" w:rsidP="008862C7">
      <w:pPr>
        <w:rPr>
          <w:rFonts w:ascii="Arial" w:hAnsi="Arial" w:cs="Arial"/>
          <w:sz w:val="24"/>
          <w:szCs w:val="24"/>
        </w:rPr>
      </w:pPr>
    </w:p>
    <w:p w14:paraId="1A8FF261" w14:textId="77777777" w:rsidR="008862C7" w:rsidRDefault="008862C7" w:rsidP="008862C7">
      <w:pPr>
        <w:rPr>
          <w:rFonts w:ascii="Arial" w:hAnsi="Arial" w:cs="Arial"/>
          <w:sz w:val="24"/>
          <w:szCs w:val="24"/>
        </w:rPr>
      </w:pPr>
    </w:p>
    <w:p w14:paraId="1F5227D7" w14:textId="77777777" w:rsidR="008862C7" w:rsidRDefault="008862C7" w:rsidP="008862C7">
      <w:pPr>
        <w:rPr>
          <w:rFonts w:ascii="Arial" w:hAnsi="Arial" w:cs="Arial"/>
          <w:sz w:val="24"/>
          <w:szCs w:val="24"/>
        </w:rPr>
      </w:pPr>
    </w:p>
    <w:p w14:paraId="2DCF2A37" w14:textId="77777777" w:rsidR="008862C7" w:rsidRDefault="008862C7" w:rsidP="008862C7">
      <w:pPr>
        <w:rPr>
          <w:rFonts w:ascii="Arial" w:hAnsi="Arial" w:cs="Arial"/>
          <w:sz w:val="24"/>
          <w:szCs w:val="24"/>
        </w:rPr>
      </w:pPr>
    </w:p>
    <w:p w14:paraId="7F9341EA" w14:textId="77777777" w:rsidR="008862C7" w:rsidRDefault="008862C7" w:rsidP="008862C7">
      <w:pPr>
        <w:rPr>
          <w:rFonts w:ascii="Arial" w:hAnsi="Arial" w:cs="Arial"/>
          <w:sz w:val="24"/>
          <w:szCs w:val="24"/>
        </w:rPr>
      </w:pPr>
    </w:p>
    <w:p w14:paraId="4F54A837" w14:textId="77777777" w:rsidR="008862C7" w:rsidRDefault="008862C7" w:rsidP="008862C7">
      <w:pPr>
        <w:rPr>
          <w:rFonts w:ascii="Arial" w:hAnsi="Arial" w:cs="Arial"/>
          <w:sz w:val="24"/>
          <w:szCs w:val="24"/>
        </w:rPr>
      </w:pPr>
    </w:p>
    <w:p w14:paraId="7DC629B5" w14:textId="77777777" w:rsidR="008862C7" w:rsidRDefault="008862C7" w:rsidP="008862C7">
      <w:pPr>
        <w:rPr>
          <w:rFonts w:ascii="Arial" w:hAnsi="Arial" w:cs="Arial"/>
          <w:sz w:val="24"/>
          <w:szCs w:val="24"/>
        </w:rPr>
      </w:pPr>
    </w:p>
    <w:p w14:paraId="363AFBE4" w14:textId="77777777" w:rsidR="008862C7" w:rsidRDefault="008862C7" w:rsidP="008862C7">
      <w:pPr>
        <w:rPr>
          <w:rFonts w:ascii="Arial" w:hAnsi="Arial" w:cs="Arial"/>
          <w:sz w:val="24"/>
          <w:szCs w:val="24"/>
        </w:rPr>
      </w:pPr>
    </w:p>
    <w:p w14:paraId="0FDE2C7A" w14:textId="77777777" w:rsidR="008862C7" w:rsidRDefault="008862C7" w:rsidP="008862C7">
      <w:pPr>
        <w:rPr>
          <w:rFonts w:ascii="Arial" w:hAnsi="Arial" w:cs="Arial"/>
          <w:sz w:val="24"/>
          <w:szCs w:val="24"/>
        </w:rPr>
      </w:pPr>
    </w:p>
    <w:p w14:paraId="595D0535" w14:textId="77777777" w:rsidR="008862C7" w:rsidRDefault="008862C7" w:rsidP="008862C7">
      <w:pPr>
        <w:rPr>
          <w:rFonts w:ascii="Arial" w:hAnsi="Arial" w:cs="Arial"/>
          <w:sz w:val="24"/>
          <w:szCs w:val="24"/>
        </w:rPr>
      </w:pPr>
    </w:p>
    <w:p w14:paraId="609DA7A1" w14:textId="77777777" w:rsidR="008862C7" w:rsidRDefault="008862C7" w:rsidP="008862C7">
      <w:pPr>
        <w:rPr>
          <w:rFonts w:ascii="Arial" w:hAnsi="Arial" w:cs="Arial"/>
          <w:sz w:val="24"/>
          <w:szCs w:val="24"/>
        </w:rPr>
      </w:pPr>
    </w:p>
    <w:p w14:paraId="1B34C27A" w14:textId="77777777" w:rsidR="008862C7" w:rsidRDefault="008862C7" w:rsidP="008862C7">
      <w:pPr>
        <w:rPr>
          <w:rFonts w:ascii="Arial" w:hAnsi="Arial" w:cs="Arial"/>
          <w:sz w:val="24"/>
          <w:szCs w:val="24"/>
        </w:rPr>
      </w:pPr>
    </w:p>
    <w:p w14:paraId="521586E1" w14:textId="77777777" w:rsidR="008862C7" w:rsidRDefault="008862C7" w:rsidP="008862C7">
      <w:pPr>
        <w:rPr>
          <w:rFonts w:ascii="Arial" w:hAnsi="Arial" w:cs="Arial"/>
          <w:sz w:val="24"/>
          <w:szCs w:val="24"/>
        </w:rPr>
      </w:pPr>
    </w:p>
    <w:p w14:paraId="1EE4474C" w14:textId="77777777" w:rsidR="008862C7" w:rsidRDefault="008862C7" w:rsidP="008862C7">
      <w:pPr>
        <w:rPr>
          <w:rFonts w:ascii="Arial" w:hAnsi="Arial" w:cs="Arial"/>
          <w:sz w:val="24"/>
          <w:szCs w:val="24"/>
        </w:rPr>
      </w:pPr>
    </w:p>
    <w:p w14:paraId="368FF51E" w14:textId="77777777" w:rsidR="008862C7" w:rsidRDefault="008862C7" w:rsidP="008862C7">
      <w:pPr>
        <w:rPr>
          <w:rFonts w:ascii="Arial" w:hAnsi="Arial" w:cs="Arial"/>
          <w:sz w:val="24"/>
          <w:szCs w:val="24"/>
        </w:rPr>
      </w:pPr>
    </w:p>
    <w:p w14:paraId="4BBB56D1" w14:textId="77777777" w:rsidR="008862C7" w:rsidRDefault="008862C7" w:rsidP="008862C7">
      <w:pPr>
        <w:rPr>
          <w:rFonts w:ascii="Arial" w:hAnsi="Arial" w:cs="Arial"/>
          <w:sz w:val="24"/>
          <w:szCs w:val="24"/>
        </w:rPr>
      </w:pPr>
    </w:p>
    <w:p w14:paraId="6CFE5E60" w14:textId="77777777" w:rsidR="008862C7" w:rsidRDefault="008862C7" w:rsidP="008862C7">
      <w:pPr>
        <w:rPr>
          <w:rFonts w:ascii="Arial" w:hAnsi="Arial" w:cs="Arial"/>
          <w:sz w:val="24"/>
          <w:szCs w:val="24"/>
        </w:rPr>
      </w:pPr>
    </w:p>
    <w:p w14:paraId="75776988" w14:textId="77777777" w:rsidR="008862C7" w:rsidRDefault="008862C7" w:rsidP="008862C7">
      <w:pPr>
        <w:spacing w:line="360" w:lineRule="auto"/>
        <w:jc w:val="both"/>
        <w:rPr>
          <w:rFonts w:ascii="Arial" w:hAnsi="Arial" w:cs="Arial"/>
          <w:sz w:val="24"/>
          <w:szCs w:val="24"/>
        </w:rPr>
      </w:pPr>
    </w:p>
    <w:p w14:paraId="01186C8A" w14:textId="77777777" w:rsidR="008862C7" w:rsidRDefault="008862C7" w:rsidP="008862C7">
      <w:pPr>
        <w:spacing w:line="360" w:lineRule="auto"/>
        <w:jc w:val="both"/>
        <w:rPr>
          <w:rFonts w:ascii="Arial" w:hAnsi="Arial" w:cs="Arial"/>
          <w:sz w:val="24"/>
          <w:szCs w:val="24"/>
        </w:rPr>
      </w:pPr>
    </w:p>
    <w:p w14:paraId="21088D6D" w14:textId="77777777" w:rsidR="008862C7" w:rsidRDefault="008862C7" w:rsidP="008862C7">
      <w:pPr>
        <w:spacing w:line="360" w:lineRule="auto"/>
        <w:jc w:val="both"/>
        <w:rPr>
          <w:rFonts w:ascii="Arial" w:hAnsi="Arial" w:cs="Arial"/>
          <w:sz w:val="24"/>
          <w:szCs w:val="24"/>
        </w:rPr>
      </w:pPr>
    </w:p>
    <w:p w14:paraId="60265747" w14:textId="77777777" w:rsidR="008862C7" w:rsidRDefault="008862C7" w:rsidP="008862C7">
      <w:pPr>
        <w:pStyle w:val="Titre1"/>
        <w:spacing w:line="360" w:lineRule="auto"/>
        <w:jc w:val="center"/>
        <w:rPr>
          <w:sz w:val="24"/>
        </w:rPr>
      </w:pPr>
      <w:bookmarkStart w:id="18" w:name="_Toc394954766"/>
      <w:bookmarkStart w:id="19" w:name="_Toc395107515"/>
      <w:r>
        <w:rPr>
          <w:sz w:val="24"/>
        </w:rPr>
        <w:t>PREMIERE PARTIE</w:t>
      </w:r>
      <w:bookmarkStart w:id="20" w:name="_Toc394954767"/>
      <w:bookmarkEnd w:id="18"/>
      <w:r>
        <w:rPr>
          <w:sz w:val="24"/>
        </w:rPr>
        <w:t> : CADRE CONCEPTUEL ET THEORIQUE DE LA COMPETITIVITE ET DYNAMIQUE DE LA FILIERE COTONNIERE</w:t>
      </w:r>
      <w:bookmarkEnd w:id="19"/>
      <w:bookmarkEnd w:id="20"/>
    </w:p>
    <w:p w14:paraId="39EF2B7A" w14:textId="77777777" w:rsidR="008862C7" w:rsidRDefault="008862C7" w:rsidP="008862C7">
      <w:pPr>
        <w:spacing w:line="360" w:lineRule="auto"/>
        <w:jc w:val="center"/>
        <w:rPr>
          <w:rFonts w:ascii="Arial" w:hAnsi="Arial" w:cs="Arial"/>
          <w:b/>
          <w:sz w:val="24"/>
          <w:szCs w:val="24"/>
        </w:rPr>
      </w:pPr>
    </w:p>
    <w:p w14:paraId="2763C00A" w14:textId="77777777" w:rsidR="008862C7" w:rsidRDefault="008862C7" w:rsidP="008862C7">
      <w:pPr>
        <w:spacing w:line="360" w:lineRule="auto"/>
        <w:jc w:val="center"/>
        <w:rPr>
          <w:rFonts w:ascii="Arial" w:hAnsi="Arial" w:cs="Arial"/>
          <w:b/>
          <w:sz w:val="24"/>
          <w:szCs w:val="24"/>
        </w:rPr>
      </w:pPr>
    </w:p>
    <w:p w14:paraId="38CAF582"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La première partie, qui présente l’approche conceptuelle et la base théorique de notre étude sur les déterminants de la compétitivité du coton centrafricain, permet de faire ressortir qu’il existe un besoin réel pour un cadre conceptuel pouvant accommoder les différentes dimensions de ce concept. Ainsi développer, un tel cadre apparaît comme une voie d’approfondissement nécessaire pour améliorer les compréhensions et interprétations des déterminants de la compétitivité. Cette première partie est organisée en deux chapitres. </w:t>
      </w:r>
    </w:p>
    <w:p w14:paraId="5D3946B4"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Le premier chapitre présente l’approche conceptuelle et théorique. Dans la première section de ce chapitre, l’intérêt universel du concept de la compétitivité économique, les principaux déterminants et les différentes mesures de la compétitivité y sont abordés tandis que la seconde section traite des différents courants de théories économiques ayant guidé les débats scientifiques sur la problématique de notre thème. </w:t>
      </w:r>
    </w:p>
    <w:p w14:paraId="795A565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Le second chapitre s’intéresse dans une première section à la revue de la littérature sur la dynamique et la compétitivité des filières cotonnière d’Afrique Centrale et de l’Ouest. L’approche globale de la filière cotonnière a été rappelée tout en mettant un accent particulier sur l’application de ces approches à la situation des exploitations agricoles en zone de savanes cotonnières de Centrafrique. Une seconde section porte sur le cadre méthodologique présentant la méthode permettant d’appréhender le fonctionnement des exploitations agricoles de la zone d’étude retenue. </w:t>
      </w:r>
    </w:p>
    <w:p w14:paraId="19AFE1A3" w14:textId="77777777" w:rsidR="008862C7" w:rsidRDefault="008862C7" w:rsidP="008862C7">
      <w:pPr>
        <w:spacing w:line="360" w:lineRule="auto"/>
        <w:jc w:val="both"/>
        <w:rPr>
          <w:rFonts w:ascii="Arial" w:hAnsi="Arial" w:cs="Arial"/>
          <w:sz w:val="24"/>
          <w:szCs w:val="24"/>
        </w:rPr>
      </w:pPr>
    </w:p>
    <w:p w14:paraId="0B6FF85E" w14:textId="77777777" w:rsidR="008862C7" w:rsidRDefault="008862C7" w:rsidP="008862C7">
      <w:pPr>
        <w:spacing w:line="360" w:lineRule="auto"/>
        <w:jc w:val="both"/>
        <w:rPr>
          <w:rFonts w:ascii="Arial" w:hAnsi="Arial" w:cs="Arial"/>
          <w:sz w:val="24"/>
          <w:szCs w:val="24"/>
        </w:rPr>
      </w:pPr>
    </w:p>
    <w:p w14:paraId="6197F2EE" w14:textId="77777777" w:rsidR="008862C7" w:rsidRDefault="008862C7" w:rsidP="008862C7">
      <w:pPr>
        <w:spacing w:line="360" w:lineRule="auto"/>
        <w:jc w:val="both"/>
        <w:rPr>
          <w:rFonts w:ascii="Arial" w:hAnsi="Arial" w:cs="Arial"/>
          <w:sz w:val="24"/>
          <w:szCs w:val="24"/>
        </w:rPr>
      </w:pPr>
    </w:p>
    <w:p w14:paraId="1D4F8AED" w14:textId="77777777" w:rsidR="008862C7" w:rsidRDefault="008862C7" w:rsidP="008862C7">
      <w:pPr>
        <w:spacing w:line="360" w:lineRule="auto"/>
        <w:jc w:val="both"/>
        <w:rPr>
          <w:rFonts w:ascii="Arial" w:hAnsi="Arial" w:cs="Arial"/>
          <w:sz w:val="24"/>
          <w:szCs w:val="24"/>
        </w:rPr>
      </w:pPr>
    </w:p>
    <w:p w14:paraId="0F91603F" w14:textId="77777777" w:rsidR="008862C7" w:rsidRDefault="008862C7" w:rsidP="008862C7">
      <w:pPr>
        <w:spacing w:line="360" w:lineRule="auto"/>
        <w:jc w:val="both"/>
        <w:rPr>
          <w:rFonts w:ascii="Arial" w:hAnsi="Arial" w:cs="Arial"/>
          <w:sz w:val="24"/>
          <w:szCs w:val="24"/>
        </w:rPr>
      </w:pPr>
    </w:p>
    <w:p w14:paraId="57260290" w14:textId="77777777" w:rsidR="008862C7" w:rsidRDefault="008862C7" w:rsidP="008862C7">
      <w:pPr>
        <w:spacing w:line="360" w:lineRule="auto"/>
        <w:jc w:val="both"/>
        <w:rPr>
          <w:rFonts w:ascii="Arial" w:hAnsi="Arial" w:cs="Arial"/>
          <w:sz w:val="24"/>
          <w:szCs w:val="24"/>
        </w:rPr>
      </w:pPr>
    </w:p>
    <w:p w14:paraId="683D388F" w14:textId="77777777" w:rsidR="008862C7" w:rsidRDefault="008862C7" w:rsidP="008862C7">
      <w:pPr>
        <w:spacing w:line="360" w:lineRule="auto"/>
        <w:jc w:val="both"/>
        <w:rPr>
          <w:rFonts w:ascii="Arial" w:hAnsi="Arial" w:cs="Arial"/>
          <w:sz w:val="24"/>
          <w:szCs w:val="24"/>
        </w:rPr>
      </w:pPr>
    </w:p>
    <w:p w14:paraId="0FAFB585" w14:textId="77777777" w:rsidR="008862C7" w:rsidRDefault="008862C7" w:rsidP="008862C7">
      <w:pPr>
        <w:spacing w:line="360" w:lineRule="auto"/>
        <w:jc w:val="both"/>
        <w:rPr>
          <w:rFonts w:ascii="Arial" w:hAnsi="Arial" w:cs="Arial"/>
          <w:sz w:val="24"/>
          <w:szCs w:val="24"/>
        </w:rPr>
      </w:pPr>
    </w:p>
    <w:p w14:paraId="62D3748C" w14:textId="77777777" w:rsidR="008862C7" w:rsidRDefault="008862C7" w:rsidP="008862C7">
      <w:pPr>
        <w:spacing w:line="360" w:lineRule="auto"/>
        <w:jc w:val="both"/>
        <w:rPr>
          <w:rFonts w:ascii="Arial" w:hAnsi="Arial" w:cs="Arial"/>
          <w:sz w:val="24"/>
          <w:szCs w:val="24"/>
        </w:rPr>
      </w:pPr>
    </w:p>
    <w:p w14:paraId="652B18C4" w14:textId="77777777" w:rsidR="00E72C3F" w:rsidRDefault="00E72C3F" w:rsidP="008862C7">
      <w:pPr>
        <w:spacing w:line="360" w:lineRule="auto"/>
        <w:jc w:val="both"/>
        <w:rPr>
          <w:rFonts w:ascii="Arial" w:hAnsi="Arial" w:cs="Arial"/>
          <w:sz w:val="24"/>
          <w:szCs w:val="24"/>
        </w:rPr>
      </w:pPr>
    </w:p>
    <w:p w14:paraId="41620559" w14:textId="77777777" w:rsidR="00E72C3F" w:rsidRDefault="00E72C3F" w:rsidP="008862C7">
      <w:pPr>
        <w:spacing w:line="360" w:lineRule="auto"/>
        <w:jc w:val="both"/>
        <w:rPr>
          <w:rFonts w:ascii="Arial" w:hAnsi="Arial" w:cs="Arial"/>
          <w:sz w:val="24"/>
          <w:szCs w:val="24"/>
        </w:rPr>
      </w:pPr>
    </w:p>
    <w:p w14:paraId="6874019E" w14:textId="77777777" w:rsidR="00E72C3F" w:rsidRDefault="00E72C3F" w:rsidP="008862C7">
      <w:pPr>
        <w:spacing w:line="360" w:lineRule="auto"/>
        <w:jc w:val="both"/>
        <w:rPr>
          <w:rFonts w:ascii="Arial" w:hAnsi="Arial" w:cs="Arial"/>
          <w:sz w:val="24"/>
          <w:szCs w:val="24"/>
        </w:rPr>
      </w:pPr>
    </w:p>
    <w:p w14:paraId="456F05E1" w14:textId="77777777" w:rsidR="00E72C3F" w:rsidRDefault="00E72C3F" w:rsidP="008862C7">
      <w:pPr>
        <w:spacing w:line="360" w:lineRule="auto"/>
        <w:jc w:val="both"/>
        <w:rPr>
          <w:rFonts w:ascii="Arial" w:hAnsi="Arial" w:cs="Arial"/>
          <w:sz w:val="24"/>
          <w:szCs w:val="24"/>
        </w:rPr>
      </w:pPr>
    </w:p>
    <w:p w14:paraId="4F416FC4" w14:textId="77777777" w:rsidR="008862C7" w:rsidRDefault="008862C7" w:rsidP="008862C7">
      <w:pPr>
        <w:spacing w:line="360" w:lineRule="auto"/>
        <w:jc w:val="both"/>
        <w:rPr>
          <w:rFonts w:ascii="Arial" w:hAnsi="Arial" w:cs="Arial"/>
          <w:sz w:val="24"/>
          <w:szCs w:val="24"/>
        </w:rPr>
      </w:pPr>
    </w:p>
    <w:p w14:paraId="1C6982AE" w14:textId="77777777" w:rsidR="008862C7" w:rsidRDefault="008862C7" w:rsidP="008862C7">
      <w:pPr>
        <w:spacing w:line="360" w:lineRule="auto"/>
        <w:jc w:val="both"/>
        <w:rPr>
          <w:rFonts w:ascii="Arial" w:hAnsi="Arial" w:cs="Arial"/>
          <w:sz w:val="24"/>
          <w:szCs w:val="24"/>
        </w:rPr>
      </w:pPr>
    </w:p>
    <w:p w14:paraId="16C703D6" w14:textId="77777777" w:rsidR="008862C7" w:rsidRDefault="008862C7" w:rsidP="008862C7">
      <w:pPr>
        <w:spacing w:line="360" w:lineRule="auto"/>
        <w:jc w:val="both"/>
        <w:rPr>
          <w:rFonts w:ascii="Arial" w:hAnsi="Arial" w:cs="Arial"/>
          <w:sz w:val="24"/>
          <w:szCs w:val="24"/>
        </w:rPr>
      </w:pPr>
    </w:p>
    <w:p w14:paraId="6BEAEC2D" w14:textId="77777777" w:rsidR="008862C7" w:rsidRDefault="008862C7" w:rsidP="008862C7">
      <w:pPr>
        <w:spacing w:line="360" w:lineRule="auto"/>
        <w:jc w:val="both"/>
        <w:rPr>
          <w:rFonts w:ascii="Arial" w:hAnsi="Arial" w:cs="Arial"/>
          <w:sz w:val="24"/>
          <w:szCs w:val="24"/>
        </w:rPr>
      </w:pPr>
    </w:p>
    <w:p w14:paraId="2E736678" w14:textId="77777777" w:rsidR="008862C7" w:rsidRDefault="008862C7" w:rsidP="008862C7">
      <w:pPr>
        <w:spacing w:line="360" w:lineRule="auto"/>
        <w:jc w:val="both"/>
        <w:rPr>
          <w:rFonts w:ascii="Arial" w:hAnsi="Arial" w:cs="Arial"/>
          <w:sz w:val="24"/>
          <w:szCs w:val="24"/>
        </w:rPr>
      </w:pPr>
    </w:p>
    <w:p w14:paraId="1C2EE7A2" w14:textId="77777777" w:rsidR="008862C7" w:rsidRDefault="008862C7" w:rsidP="008862C7">
      <w:pPr>
        <w:spacing w:line="360" w:lineRule="auto"/>
        <w:jc w:val="both"/>
        <w:rPr>
          <w:rFonts w:ascii="Arial" w:hAnsi="Arial" w:cs="Arial"/>
          <w:sz w:val="24"/>
          <w:szCs w:val="24"/>
        </w:rPr>
      </w:pPr>
    </w:p>
    <w:p w14:paraId="4E78E3C1" w14:textId="77777777" w:rsidR="008862C7" w:rsidRDefault="008862C7" w:rsidP="008862C7">
      <w:pPr>
        <w:spacing w:line="360" w:lineRule="auto"/>
        <w:jc w:val="both"/>
        <w:rPr>
          <w:rFonts w:ascii="Arial" w:hAnsi="Arial" w:cs="Arial"/>
          <w:sz w:val="24"/>
          <w:szCs w:val="24"/>
        </w:rPr>
      </w:pPr>
    </w:p>
    <w:p w14:paraId="0EC63BE8" w14:textId="77777777" w:rsidR="008862C7" w:rsidRDefault="008862C7" w:rsidP="008862C7">
      <w:pPr>
        <w:spacing w:line="360" w:lineRule="auto"/>
        <w:jc w:val="both"/>
        <w:rPr>
          <w:rFonts w:ascii="Arial" w:hAnsi="Arial" w:cs="Arial"/>
          <w:sz w:val="24"/>
          <w:szCs w:val="24"/>
        </w:rPr>
      </w:pPr>
    </w:p>
    <w:p w14:paraId="65F4F01F" w14:textId="77777777" w:rsidR="008862C7" w:rsidRDefault="008862C7" w:rsidP="008862C7">
      <w:pPr>
        <w:pStyle w:val="Titre2"/>
        <w:jc w:val="center"/>
        <w:rPr>
          <w:color w:val="auto"/>
          <w:sz w:val="24"/>
        </w:rPr>
      </w:pPr>
    </w:p>
    <w:p w14:paraId="00ACC1FD" w14:textId="77777777" w:rsidR="00E72C3F" w:rsidRPr="00E72C3F" w:rsidRDefault="00E72C3F" w:rsidP="00E72C3F">
      <w:pPr>
        <w:pStyle w:val="Corpsdetexte"/>
        <w:rPr>
          <w:lang w:val="fr-FR" w:eastAsia="zh-CN" w:bidi="hi-IN"/>
        </w:rPr>
      </w:pPr>
    </w:p>
    <w:p w14:paraId="7E9AA986" w14:textId="77777777" w:rsidR="008862C7" w:rsidRDefault="008862C7" w:rsidP="008862C7">
      <w:pPr>
        <w:pStyle w:val="Titre2"/>
        <w:jc w:val="center"/>
        <w:rPr>
          <w:rFonts w:ascii="Arial" w:hAnsi="Arial" w:cs="Arial"/>
          <w:color w:val="auto"/>
          <w:sz w:val="24"/>
        </w:rPr>
      </w:pPr>
      <w:bookmarkStart w:id="21" w:name="_Toc394954768"/>
      <w:bookmarkStart w:id="22" w:name="_Toc395107516"/>
      <w:r>
        <w:rPr>
          <w:rFonts w:ascii="Arial" w:hAnsi="Arial" w:cs="Arial"/>
          <w:color w:val="auto"/>
          <w:sz w:val="24"/>
        </w:rPr>
        <w:t>CHAPITRE I</w:t>
      </w:r>
      <w:bookmarkStart w:id="23" w:name="_Toc394954769"/>
      <w:bookmarkEnd w:id="21"/>
      <w:r>
        <w:rPr>
          <w:rFonts w:ascii="Arial" w:hAnsi="Arial" w:cs="Arial"/>
          <w:color w:val="auto"/>
          <w:sz w:val="24"/>
        </w:rPr>
        <w:t> : APPROCHE CONCEPTUELLE ET THEORIQUE DE LA COMPETITIVITE</w:t>
      </w:r>
      <w:bookmarkEnd w:id="22"/>
      <w:bookmarkEnd w:id="23"/>
    </w:p>
    <w:p w14:paraId="0E6676BD" w14:textId="77777777" w:rsidR="008862C7" w:rsidRDefault="008862C7" w:rsidP="008862C7">
      <w:pPr>
        <w:spacing w:line="360" w:lineRule="auto"/>
        <w:jc w:val="both"/>
        <w:rPr>
          <w:rFonts w:ascii="Arial" w:hAnsi="Arial" w:cs="Arial"/>
          <w:sz w:val="24"/>
          <w:szCs w:val="24"/>
        </w:rPr>
      </w:pPr>
    </w:p>
    <w:p w14:paraId="0BE5F5D3" w14:textId="77777777" w:rsidR="008862C7" w:rsidRDefault="008862C7" w:rsidP="008862C7">
      <w:pPr>
        <w:spacing w:line="360" w:lineRule="auto"/>
        <w:jc w:val="both"/>
        <w:rPr>
          <w:rFonts w:ascii="Arial" w:hAnsi="Arial" w:cs="Arial"/>
          <w:sz w:val="24"/>
          <w:szCs w:val="24"/>
        </w:rPr>
      </w:pPr>
    </w:p>
    <w:p w14:paraId="101445DE" w14:textId="77777777" w:rsidR="008862C7" w:rsidRDefault="008862C7" w:rsidP="008862C7">
      <w:pPr>
        <w:spacing w:line="360" w:lineRule="auto"/>
        <w:jc w:val="both"/>
        <w:rPr>
          <w:rFonts w:ascii="Arial" w:hAnsi="Arial" w:cs="Arial"/>
          <w:sz w:val="24"/>
          <w:szCs w:val="24"/>
        </w:rPr>
      </w:pPr>
    </w:p>
    <w:p w14:paraId="74C9218C" w14:textId="77777777" w:rsidR="008862C7" w:rsidRDefault="008862C7" w:rsidP="008862C7">
      <w:pPr>
        <w:spacing w:line="360" w:lineRule="auto"/>
        <w:jc w:val="both"/>
        <w:rPr>
          <w:rFonts w:ascii="Arial" w:hAnsi="Arial" w:cs="Arial"/>
          <w:sz w:val="24"/>
          <w:szCs w:val="24"/>
        </w:rPr>
      </w:pPr>
    </w:p>
    <w:p w14:paraId="6318F823" w14:textId="77777777" w:rsidR="008862C7" w:rsidRDefault="008862C7" w:rsidP="008862C7">
      <w:pPr>
        <w:spacing w:line="360" w:lineRule="auto"/>
        <w:jc w:val="both"/>
        <w:rPr>
          <w:rFonts w:ascii="Arial" w:hAnsi="Arial" w:cs="Arial"/>
          <w:sz w:val="24"/>
          <w:szCs w:val="24"/>
        </w:rPr>
      </w:pPr>
    </w:p>
    <w:p w14:paraId="4FF42F5B" w14:textId="77777777" w:rsidR="008862C7" w:rsidRDefault="008862C7" w:rsidP="008862C7">
      <w:pPr>
        <w:spacing w:line="360" w:lineRule="auto"/>
        <w:jc w:val="both"/>
        <w:rPr>
          <w:rFonts w:ascii="Arial" w:hAnsi="Arial" w:cs="Arial"/>
          <w:sz w:val="24"/>
          <w:szCs w:val="24"/>
        </w:rPr>
      </w:pPr>
    </w:p>
    <w:p w14:paraId="65C98B53" w14:textId="77777777" w:rsidR="008862C7" w:rsidRDefault="008862C7" w:rsidP="008862C7">
      <w:pPr>
        <w:spacing w:line="360" w:lineRule="auto"/>
        <w:jc w:val="both"/>
        <w:rPr>
          <w:rFonts w:ascii="Arial" w:hAnsi="Arial" w:cs="Arial"/>
          <w:sz w:val="24"/>
          <w:szCs w:val="24"/>
        </w:rPr>
      </w:pPr>
    </w:p>
    <w:p w14:paraId="7FF2E41D" w14:textId="77777777" w:rsidR="008862C7" w:rsidRDefault="008862C7" w:rsidP="008862C7">
      <w:pPr>
        <w:spacing w:line="360" w:lineRule="auto"/>
        <w:jc w:val="both"/>
        <w:rPr>
          <w:rFonts w:ascii="Arial" w:hAnsi="Arial" w:cs="Arial"/>
          <w:sz w:val="24"/>
          <w:szCs w:val="24"/>
        </w:rPr>
      </w:pPr>
    </w:p>
    <w:p w14:paraId="24261B22" w14:textId="77777777" w:rsidR="008862C7" w:rsidRDefault="008862C7" w:rsidP="008862C7">
      <w:pPr>
        <w:spacing w:line="360" w:lineRule="auto"/>
        <w:jc w:val="both"/>
        <w:rPr>
          <w:rFonts w:ascii="Arial" w:hAnsi="Arial" w:cs="Arial"/>
          <w:sz w:val="24"/>
          <w:szCs w:val="24"/>
        </w:rPr>
      </w:pPr>
    </w:p>
    <w:p w14:paraId="64EB9EB9" w14:textId="77777777" w:rsidR="008862C7" w:rsidRDefault="008862C7" w:rsidP="008862C7">
      <w:pPr>
        <w:spacing w:line="360" w:lineRule="auto"/>
        <w:jc w:val="both"/>
        <w:rPr>
          <w:rFonts w:ascii="Arial" w:hAnsi="Arial" w:cs="Arial"/>
          <w:sz w:val="24"/>
          <w:szCs w:val="24"/>
        </w:rPr>
      </w:pPr>
    </w:p>
    <w:p w14:paraId="3E3501F7" w14:textId="77777777" w:rsidR="008862C7" w:rsidRDefault="008862C7" w:rsidP="008862C7">
      <w:pPr>
        <w:spacing w:line="360" w:lineRule="auto"/>
        <w:jc w:val="both"/>
        <w:rPr>
          <w:rFonts w:ascii="Arial" w:hAnsi="Arial" w:cs="Arial"/>
          <w:sz w:val="24"/>
          <w:szCs w:val="24"/>
        </w:rPr>
      </w:pPr>
    </w:p>
    <w:p w14:paraId="129923A5" w14:textId="77777777" w:rsidR="008862C7" w:rsidRDefault="008862C7" w:rsidP="008862C7">
      <w:pPr>
        <w:spacing w:line="360" w:lineRule="auto"/>
        <w:jc w:val="both"/>
        <w:rPr>
          <w:rFonts w:ascii="Arial" w:hAnsi="Arial" w:cs="Arial"/>
          <w:sz w:val="24"/>
          <w:szCs w:val="24"/>
        </w:rPr>
      </w:pPr>
    </w:p>
    <w:p w14:paraId="17F92C4A" w14:textId="77777777" w:rsidR="008862C7" w:rsidRDefault="008862C7" w:rsidP="008862C7">
      <w:pPr>
        <w:pStyle w:val="Titre3"/>
        <w:spacing w:after="120"/>
        <w:rPr>
          <w:b/>
        </w:rPr>
      </w:pPr>
      <w:bookmarkStart w:id="24" w:name="_Toc395107517"/>
      <w:bookmarkStart w:id="25" w:name="_Toc394954770"/>
      <w:r>
        <w:rPr>
          <w:b/>
        </w:rPr>
        <w:lastRenderedPageBreak/>
        <w:t>INTRODUCTION</w:t>
      </w:r>
      <w:bookmarkEnd w:id="24"/>
      <w:bookmarkEnd w:id="25"/>
    </w:p>
    <w:p w14:paraId="4D24C0F7" w14:textId="77777777" w:rsidR="008862C7" w:rsidRDefault="008862C7" w:rsidP="008862C7">
      <w:pPr>
        <w:spacing w:line="360" w:lineRule="auto"/>
        <w:jc w:val="both"/>
        <w:rPr>
          <w:rFonts w:ascii="Arial" w:hAnsi="Arial" w:cs="Arial"/>
          <w:b/>
          <w:sz w:val="24"/>
          <w:szCs w:val="24"/>
        </w:rPr>
      </w:pPr>
      <w:r>
        <w:rPr>
          <w:rFonts w:ascii="Arial" w:hAnsi="Arial" w:cs="Arial"/>
          <w:sz w:val="24"/>
          <w:szCs w:val="24"/>
        </w:rPr>
        <w:t>Avec le processus de globalisation qui est en marche, l’économie mondiale est aujourd’hui soumise à de grandes mutations, les engagements vers plus de libéralisation économique reflètent aussi bien la levée progressive des barrières et une libéralisation bien que partielle des échanges internationaux. Les nouveaux accords du GATT, la réforme de la politique commune de la CEMAC ainsi que les nouvelles alliances économiques (zone de libre-échange) témoignent de cette globalisation de l’économie et augmentent les interdépendances en matière d’échange entre les nations. Alors que le monde entier est penché sur les questions des échanges, le concept de compétitivité surgit comme étant le sujet le plus dominant dans l’économie moderne. Les préoccupations pour une meilleure compréhension de la compétitivité apparaissent dans tous les discours politiques, les arènes académiques et les débats des industriels du monde entier.</w:t>
      </w:r>
    </w:p>
    <w:p w14:paraId="160B9268"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Toutefois, en dépit de l’usage intensif de ce concept, un consensus sur la définition du terme est loin d’être atteint. Pour certains, la compétitivité représente la capacité de pénétrer et de s’imposer sur de nouveaux marchés. Pour d’autres, la compétitivité reflète plutôt la capacité de maintenir une balance commerciale positive.</w:t>
      </w:r>
    </w:p>
    <w:p w14:paraId="54FC6EF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Ce chapitre se donne un double objectif. Il s’agit d’une part de proposer une revue exhaustive de la littérature économique traitant du concept. Un accent particulier sera mis sur les différents déterminants de la compétitivité d’une entité économique, avec une analyse critique des indicateurs d’évaluation de ce concept. Aussi, une revue des principales théories du commerce international et des théories du marché qui sous-tendent ce concept sera faite.</w:t>
      </w:r>
    </w:p>
    <w:p w14:paraId="733A6CCC" w14:textId="77777777" w:rsidR="008862C7" w:rsidRDefault="008862C7" w:rsidP="008862C7">
      <w:pPr>
        <w:pStyle w:val="Titre3"/>
        <w:rPr>
          <w:b/>
        </w:rPr>
      </w:pPr>
      <w:bookmarkStart w:id="26" w:name="_Toc395107518"/>
      <w:bookmarkStart w:id="27" w:name="_Toc394954771"/>
      <w:r>
        <w:rPr>
          <w:b/>
        </w:rPr>
        <w:t>I. APPROCHE CONCEPTUELLE DE L’ETUDE</w:t>
      </w:r>
      <w:bookmarkEnd w:id="26"/>
      <w:bookmarkEnd w:id="27"/>
    </w:p>
    <w:p w14:paraId="236CB13E" w14:textId="77777777" w:rsidR="008862C7" w:rsidRDefault="008862C7" w:rsidP="008862C7">
      <w:pPr>
        <w:pStyle w:val="Titre4"/>
        <w:numPr>
          <w:ilvl w:val="1"/>
          <w:numId w:val="8"/>
        </w:numPr>
        <w:rPr>
          <w:rFonts w:ascii="Arial" w:hAnsi="Arial" w:cs="Arial"/>
          <w:sz w:val="24"/>
          <w:szCs w:val="24"/>
        </w:rPr>
      </w:pPr>
      <w:bookmarkStart w:id="28" w:name="_Toc395107519"/>
      <w:r>
        <w:rPr>
          <w:rFonts w:ascii="Arial" w:hAnsi="Arial" w:cs="Arial"/>
          <w:sz w:val="24"/>
          <w:szCs w:val="24"/>
        </w:rPr>
        <w:t>Définitions, typologie et notions connexes de la compétitivité</w:t>
      </w:r>
      <w:bookmarkEnd w:id="28"/>
      <w:r>
        <w:rPr>
          <w:rFonts w:ascii="Arial" w:hAnsi="Arial" w:cs="Arial"/>
          <w:sz w:val="24"/>
          <w:szCs w:val="24"/>
        </w:rPr>
        <w:t xml:space="preserve"> </w:t>
      </w:r>
    </w:p>
    <w:p w14:paraId="1BD856FE" w14:textId="77777777" w:rsidR="008862C7" w:rsidRDefault="008862C7" w:rsidP="008862C7">
      <w:pPr>
        <w:pStyle w:val="Titre5"/>
        <w:numPr>
          <w:ilvl w:val="2"/>
          <w:numId w:val="8"/>
        </w:numPr>
        <w:spacing w:after="120"/>
        <w:rPr>
          <w:rFonts w:ascii="Arial" w:hAnsi="Arial" w:cs="Arial"/>
          <w:b/>
          <w:color w:val="auto"/>
        </w:rPr>
      </w:pPr>
      <w:bookmarkStart w:id="29" w:name="_Toc395107520"/>
      <w:r>
        <w:rPr>
          <w:rFonts w:ascii="Arial" w:hAnsi="Arial" w:cs="Arial"/>
          <w:b/>
          <w:color w:val="auto"/>
        </w:rPr>
        <w:t>Définitions de compétitivité</w:t>
      </w:r>
      <w:bookmarkEnd w:id="29"/>
    </w:p>
    <w:p w14:paraId="558DFBF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Dérivé de compétition, venant de l’anglais «compétition», lui-même issu du latin « competitio », signifiant rivalité, concurrence, compétition-candidature rivale. L’adjectif compétitif qualifie ce qui se rapporte à la compétition, ce qui est capable de supporter la concurrence avec d’autres. La compétitivité est donc le caractère de ce qui est compétitif. C’est l’aptitude à faire face à la concurrence, qu’elle soit effective ou potentielle.</w:t>
      </w:r>
    </w:p>
    <w:p w14:paraId="43089E61"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Contrairement à ce qu’on pourrait penser, il n’y a pas de définition universellement reconnue pour la « compétitivité économique ». L’examen de la littérature traitant de ce concept révèle </w:t>
      </w:r>
      <w:r>
        <w:rPr>
          <w:rFonts w:ascii="Arial" w:hAnsi="Arial" w:cs="Arial"/>
          <w:sz w:val="24"/>
          <w:szCs w:val="24"/>
        </w:rPr>
        <w:lastRenderedPageBreak/>
        <w:t>l’absence d’une définition unique du terme pouvant guider les efforts des chercheurs. Aussi, il apparaît que la compétitivité change avec le niveau de l’analyse menée (nation, secteur, entreprise), du bien analysé (bien homogène ou différencié), et enfin de l’objectif de l’analyse. Pour illustrer ce point, quelques définitions tirées de la littérature économique sont présentées ci-après.</w:t>
      </w:r>
    </w:p>
    <w:p w14:paraId="3CB0D30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Selon l’encyclopédie libre Wikipédia, « la compétitivité économique désigne la capacité d’une entreprise, d’un secteur économique, d’un territoire (pays, bassin économique…) à vendre et à fournir durablement un ou plusieurs biens ou services marchands sur un marché donné en situation de concurrence ».</w:t>
      </w:r>
    </w:p>
    <w:p w14:paraId="669D24B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Pour l’OCDE, la compétitivité est « la latitude dont dispose un pays évoluant dans des conditions de marché libre et équitable pour produire des biens et services qui satisferont aux normes internationales du marché tout en maintenant et en augmentant simultanément les revenus réels de ses habitants dans le long terme ». Les pays compétitifs sont donc ceux qui vendent comparativement plus que les autres (à l’export comme à domicile) et augmentent durablement la richesse à domicile.</w:t>
      </w:r>
    </w:p>
    <w:p w14:paraId="35973509"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On entend par compétitivité « la capacité pour une entreprise ou une économie nationale à maintenir ou accroître ses parts de marché sur le marché domestique (compétitivité interne) et sur les marchés extérieurs (compétitivité externe) » (Dictionnaire économique et social, 2003).</w:t>
      </w:r>
    </w:p>
    <w:p w14:paraId="04DA73F6"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Dans une étude menée par Martin et </w:t>
      </w:r>
      <w:r>
        <w:rPr>
          <w:rFonts w:ascii="Arial" w:hAnsi="Arial" w:cs="Arial"/>
          <w:i/>
          <w:sz w:val="24"/>
          <w:szCs w:val="24"/>
        </w:rPr>
        <w:t>al</w:t>
      </w:r>
      <w:r>
        <w:rPr>
          <w:rFonts w:ascii="Arial" w:hAnsi="Arial" w:cs="Arial"/>
          <w:sz w:val="24"/>
          <w:szCs w:val="24"/>
        </w:rPr>
        <w:t xml:space="preserve">. (1991), s’intéressant à l’état de la compétitivité de l’industrie agroalimentaire canadienne, ils ont défini la compétitivité par rapport à une entité économique donnée. Ainsi pour eux, une industrie compétitive est celle qui possède la capacité de gagner un profit et maintenir une part du marché domestique et/ou international (Martin et </w:t>
      </w:r>
      <w:r>
        <w:rPr>
          <w:rFonts w:ascii="Arial" w:hAnsi="Arial" w:cs="Arial"/>
          <w:i/>
          <w:sz w:val="24"/>
          <w:szCs w:val="24"/>
        </w:rPr>
        <w:t>al</w:t>
      </w:r>
      <w:r>
        <w:rPr>
          <w:rFonts w:ascii="Arial" w:hAnsi="Arial" w:cs="Arial"/>
          <w:sz w:val="24"/>
          <w:szCs w:val="24"/>
        </w:rPr>
        <w:t>., 1991).</w:t>
      </w:r>
    </w:p>
    <w:p w14:paraId="4B9F681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Selon le rapport sur la compétitivité mondiale (1996) du Forum économique mondial, la compétitivité est définie comme  « la capacité d’un pays d’atteindre de manière soutenue de hauts indices de croissance de son PIB par tête ».</w:t>
      </w:r>
    </w:p>
    <w:p w14:paraId="3D698F14"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En plus de ces institutions, plusieurs auteurs ont tenté de donner une définition à la compétitivité, parmi eux on peut noter :</w:t>
      </w:r>
    </w:p>
    <w:p w14:paraId="15A2BFB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 définition proposée par Michel Porter un des auteurs majeurs dans ce domaine. Se basant sur </w:t>
      </w:r>
      <w:r>
        <w:rPr>
          <w:rFonts w:ascii="Arial" w:hAnsi="Arial" w:cs="Arial"/>
          <w:bCs/>
          <w:sz w:val="24"/>
          <w:szCs w:val="24"/>
        </w:rPr>
        <w:t xml:space="preserve">l’objectif économique principal d’une nation, qui est celui de produire un haut niveau de vie pour ses citoyens, Porter définit </w:t>
      </w:r>
      <w:r>
        <w:rPr>
          <w:rFonts w:ascii="Arial" w:hAnsi="Arial" w:cs="Arial"/>
          <w:sz w:val="24"/>
          <w:szCs w:val="24"/>
        </w:rPr>
        <w:t xml:space="preserve">la compétitivité comme la capacité d’obtenir le bien-être et par </w:t>
      </w:r>
      <w:r>
        <w:rPr>
          <w:rFonts w:ascii="Arial" w:hAnsi="Arial" w:cs="Arial"/>
          <w:sz w:val="24"/>
          <w:szCs w:val="24"/>
        </w:rPr>
        <w:lastRenderedPageBreak/>
        <w:t xml:space="preserve">conséquent elle est déterminée par le niveau de </w:t>
      </w:r>
      <w:r>
        <w:rPr>
          <w:rFonts w:ascii="Arial" w:hAnsi="Arial" w:cs="Arial"/>
          <w:bCs/>
          <w:sz w:val="24"/>
          <w:szCs w:val="24"/>
        </w:rPr>
        <w:t xml:space="preserve">productivité </w:t>
      </w:r>
      <w:r>
        <w:rPr>
          <w:rFonts w:ascii="Arial" w:hAnsi="Arial" w:cs="Arial"/>
          <w:sz w:val="24"/>
          <w:szCs w:val="24"/>
        </w:rPr>
        <w:t>avec lequel une nation, région, ou cluster</w:t>
      </w:r>
      <w:r>
        <w:rPr>
          <w:rStyle w:val="Appelnotedebasdep"/>
          <w:rFonts w:ascii="Arial" w:hAnsi="Arial" w:cs="Arial"/>
          <w:sz w:val="24"/>
          <w:szCs w:val="24"/>
        </w:rPr>
        <w:footnoteReference w:id="2"/>
      </w:r>
      <w:r>
        <w:rPr>
          <w:rFonts w:ascii="Arial" w:hAnsi="Arial" w:cs="Arial"/>
          <w:sz w:val="24"/>
          <w:szCs w:val="24"/>
        </w:rPr>
        <w:t xml:space="preserve"> utilisent ses ressources naturelles, humaines et de capital (Porter, 1991).</w:t>
      </w:r>
    </w:p>
    <w:p w14:paraId="1FA2AED2"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Marcus Dejardin (2006), quant à lui, définit de façon très générale cette notion. La compétitivité désigne pour lui, la capacité d’une entité économique à déployer une activité et à générer un revenu, l’activité étant soumise à concurrence. </w:t>
      </w:r>
    </w:p>
    <w:p w14:paraId="3F197D1D"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Landau (1992) entend quant à lui par compétitivité, la capacité de maintenir, dans une économie globale, un taux de croissance acceptable du niveau de vie de la population avec une distribution équitable, tout en offrant un emploi à tous ceux désirant travailler sans pour autant réduire le potentiel de croissance du niveau de vie des générations futures.</w:t>
      </w:r>
      <w:r>
        <w:rPr>
          <w:rFonts w:ascii="Arial" w:hAnsi="Arial" w:cs="Arial"/>
          <w:sz w:val="24"/>
          <w:szCs w:val="24"/>
        </w:rPr>
        <w:tab/>
      </w:r>
    </w:p>
    <w:p w14:paraId="4FE19EA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Barkema et </w:t>
      </w:r>
      <w:r>
        <w:rPr>
          <w:rFonts w:ascii="Arial" w:hAnsi="Arial" w:cs="Arial"/>
          <w:i/>
          <w:sz w:val="24"/>
          <w:szCs w:val="24"/>
        </w:rPr>
        <w:t>al.</w:t>
      </w:r>
      <w:r>
        <w:rPr>
          <w:rFonts w:ascii="Arial" w:hAnsi="Arial" w:cs="Arial"/>
          <w:sz w:val="24"/>
          <w:szCs w:val="24"/>
        </w:rPr>
        <w:t xml:space="preserve"> (1991), abordent ce concept de compétitivité en comparaison avec le concept de l’avantage comparatif. Ainsi, ils écrivent « le concept de l’avantage comparatif décrit le schéma des échanges qui se produiront dans un monde dépourvu de distorsions de prix. Cependant, le monde réel est plein de mesure de politiques rendant la détermination de l’avantage comparatif difficile. Donc l’avantage comparatif s’applique à un monde où les marchés sont efficients et dépourvus de distorsions alors que la compétitivité s’applique à un monde dans son contexte réel ».</w:t>
      </w:r>
    </w:p>
    <w:p w14:paraId="1D90FDD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compétitivité est la capacité de fournir des biens et services au temps, place et forme requise par les acheteurs étrangers à prix égal ou meilleur que celui des autres fournisseurs potentiels tout en gagnant au moins le coût d’opportunité des ressources employées (Sharples et Milham, 1990).</w:t>
      </w:r>
    </w:p>
    <w:p w14:paraId="5E679E7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définition de la compétitivité est large et varie selon les écoles de pensée et le niveau d’analyse. Toutefois, il est généralement admis qu’il s’agit d’un concept complexe incorporant une multitude d’aspects. Malgré cette diversité de définitions et d’approche conceptuelle, il y a lieu de noter les quatre aspects communs suivants à toutes les définitions données ci-hauts :</w:t>
      </w:r>
    </w:p>
    <w:p w14:paraId="48360D66" w14:textId="77777777" w:rsidR="008862C7" w:rsidRDefault="008862C7" w:rsidP="008862C7">
      <w:pPr>
        <w:numPr>
          <w:ilvl w:val="0"/>
          <w:numId w:val="9"/>
        </w:numPr>
        <w:spacing w:after="0" w:line="360" w:lineRule="auto"/>
        <w:jc w:val="both"/>
        <w:rPr>
          <w:rFonts w:ascii="Arial" w:hAnsi="Arial" w:cs="Arial"/>
          <w:sz w:val="24"/>
          <w:szCs w:val="24"/>
        </w:rPr>
      </w:pPr>
      <w:r>
        <w:rPr>
          <w:rFonts w:ascii="Arial" w:hAnsi="Arial" w:cs="Arial"/>
          <w:b/>
          <w:i/>
          <w:sz w:val="24"/>
          <w:szCs w:val="24"/>
        </w:rPr>
        <w:t xml:space="preserve">la comparabilité : </w:t>
      </w:r>
      <w:r>
        <w:rPr>
          <w:rFonts w:ascii="Arial" w:hAnsi="Arial" w:cs="Arial"/>
          <w:sz w:val="24"/>
          <w:szCs w:val="24"/>
        </w:rPr>
        <w:t xml:space="preserve">la compétitivité est un concept relatif, c’est-à-dire, l’évaluation de la compétitivité d’une nation, d’un secteur, d’une industrie ou d’une entreprise est généralement faite par rapport à une entité similaire. Donc pour rester compétitif, une </w:t>
      </w:r>
      <w:r>
        <w:rPr>
          <w:rFonts w:ascii="Arial" w:hAnsi="Arial" w:cs="Arial"/>
          <w:sz w:val="24"/>
          <w:szCs w:val="24"/>
        </w:rPr>
        <w:lastRenderedPageBreak/>
        <w:t>entité est appelée à suivre un processus d’ajustement continu en réponse à des forces et à des facteurs intervenants dans la détermination de sa position concurrentielle sur le marché ;</w:t>
      </w:r>
    </w:p>
    <w:p w14:paraId="5CACCC4F" w14:textId="77777777" w:rsidR="008862C7" w:rsidRDefault="008862C7" w:rsidP="008862C7">
      <w:pPr>
        <w:numPr>
          <w:ilvl w:val="0"/>
          <w:numId w:val="9"/>
        </w:numPr>
        <w:spacing w:after="0" w:line="360" w:lineRule="auto"/>
        <w:jc w:val="both"/>
        <w:rPr>
          <w:rFonts w:ascii="Arial" w:hAnsi="Arial" w:cs="Arial"/>
          <w:sz w:val="24"/>
          <w:szCs w:val="24"/>
        </w:rPr>
      </w:pPr>
      <w:r>
        <w:rPr>
          <w:rFonts w:ascii="Arial" w:hAnsi="Arial" w:cs="Arial"/>
          <w:b/>
          <w:i/>
          <w:sz w:val="24"/>
          <w:szCs w:val="24"/>
        </w:rPr>
        <w:t>le niveau d’agrégation ou de l’analyse :</w:t>
      </w:r>
      <w:r>
        <w:rPr>
          <w:rFonts w:ascii="Arial" w:hAnsi="Arial" w:cs="Arial"/>
          <w:sz w:val="24"/>
          <w:szCs w:val="24"/>
        </w:rPr>
        <w:t xml:space="preserve"> le concept change avec le niveau d’agrégation, de l’analyse qu’on veut mener (pays, secteur, entreprise, industrie)</w:t>
      </w:r>
      <w:r>
        <w:rPr>
          <w:rStyle w:val="Appelnotedebasdep"/>
          <w:rFonts w:ascii="Arial" w:hAnsi="Arial" w:cs="Arial"/>
          <w:sz w:val="24"/>
          <w:szCs w:val="24"/>
        </w:rPr>
        <w:footnoteReference w:id="3"/>
      </w:r>
      <w:r>
        <w:rPr>
          <w:rFonts w:ascii="Arial" w:hAnsi="Arial" w:cs="Arial"/>
          <w:sz w:val="24"/>
          <w:szCs w:val="24"/>
        </w:rPr>
        <w:t> ;</w:t>
      </w:r>
    </w:p>
    <w:p w14:paraId="6C26CCC3" w14:textId="77777777" w:rsidR="008862C7" w:rsidRDefault="008862C7" w:rsidP="008862C7">
      <w:pPr>
        <w:numPr>
          <w:ilvl w:val="0"/>
          <w:numId w:val="9"/>
        </w:numPr>
        <w:autoSpaceDE w:val="0"/>
        <w:autoSpaceDN w:val="0"/>
        <w:adjustRightInd w:val="0"/>
        <w:spacing w:after="0" w:line="360" w:lineRule="auto"/>
        <w:jc w:val="both"/>
        <w:rPr>
          <w:rFonts w:ascii="Arial" w:hAnsi="Arial" w:cs="Arial"/>
          <w:sz w:val="24"/>
          <w:szCs w:val="24"/>
        </w:rPr>
      </w:pPr>
      <w:r>
        <w:rPr>
          <w:rFonts w:ascii="Arial" w:hAnsi="Arial" w:cs="Arial"/>
          <w:b/>
          <w:i/>
          <w:sz w:val="24"/>
          <w:szCs w:val="24"/>
        </w:rPr>
        <w:t>la productivité :</w:t>
      </w:r>
      <w:r>
        <w:rPr>
          <w:rFonts w:ascii="Arial" w:hAnsi="Arial" w:cs="Arial"/>
          <w:sz w:val="24"/>
          <w:szCs w:val="24"/>
        </w:rPr>
        <w:t xml:space="preserve"> la compétitivité est liée à la notion d’accroissement du revenu. Elle permet d’assurer que les revenus peuvent augmenter sans perdre la capacité de compétir ; </w:t>
      </w:r>
    </w:p>
    <w:p w14:paraId="278A3B6B" w14:textId="77777777" w:rsidR="008862C7" w:rsidRDefault="008862C7" w:rsidP="008862C7">
      <w:pPr>
        <w:numPr>
          <w:ilvl w:val="0"/>
          <w:numId w:val="9"/>
        </w:numPr>
        <w:autoSpaceDE w:val="0"/>
        <w:autoSpaceDN w:val="0"/>
        <w:adjustRightInd w:val="0"/>
        <w:spacing w:after="120" w:line="360" w:lineRule="auto"/>
        <w:jc w:val="both"/>
        <w:rPr>
          <w:rFonts w:ascii="Arial" w:hAnsi="Arial" w:cs="Arial"/>
          <w:sz w:val="24"/>
          <w:szCs w:val="24"/>
        </w:rPr>
      </w:pPr>
      <w:r>
        <w:rPr>
          <w:rFonts w:ascii="Arial" w:hAnsi="Arial" w:cs="Arial"/>
          <w:b/>
          <w:i/>
          <w:sz w:val="24"/>
          <w:szCs w:val="24"/>
        </w:rPr>
        <w:t>le dynamisme :</w:t>
      </w:r>
      <w:r>
        <w:rPr>
          <w:rFonts w:ascii="Arial" w:hAnsi="Arial" w:cs="Arial"/>
          <w:sz w:val="24"/>
          <w:szCs w:val="24"/>
        </w:rPr>
        <w:t xml:space="preserve"> la compétitivité n’est pas un concept statique mais dynamique. Elle est étroitement liée aux conditions économiques du pays (facteurs internes) ainsi que les conditions du marché international (facteurs externes). La compétitivité ne peut s’analyser que sur le temps et dans ce sens, elle vise à être soutenable.</w:t>
      </w:r>
    </w:p>
    <w:p w14:paraId="7D1644F8"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De ce qui précède nous pouvons définir la compétitivité de la filière cotonnière centrafricaine comme étant la capacité de ce produit à faire face à la concurrence international et à accroître ses parts de marché tout en maintenant et en augmentant ses gains comparativement aux autres.</w:t>
      </w:r>
    </w:p>
    <w:p w14:paraId="5A60DAC6"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Cette définition est essentielle, même si elle présente quelques limitent, car elle contient certains termes qui nous sont fondamentaux dans notre compréhension de la compétitivité. Cette dernière met en relation trois mots essentiels que sont la concurrence, la relativité et l'avantage concurrentiel. </w:t>
      </w:r>
    </w:p>
    <w:p w14:paraId="50B5C15C" w14:textId="77777777" w:rsidR="008862C7" w:rsidRDefault="008862C7" w:rsidP="008862C7">
      <w:pPr>
        <w:pStyle w:val="Titre5"/>
        <w:numPr>
          <w:ilvl w:val="2"/>
          <w:numId w:val="8"/>
        </w:numPr>
        <w:spacing w:line="360" w:lineRule="auto"/>
        <w:rPr>
          <w:rFonts w:ascii="Arial" w:hAnsi="Arial" w:cs="Arial"/>
          <w:b/>
          <w:bCs/>
          <w:color w:val="auto"/>
        </w:rPr>
      </w:pPr>
      <w:bookmarkStart w:id="30" w:name="_Toc395107521"/>
      <w:r>
        <w:rPr>
          <w:rFonts w:ascii="Arial" w:hAnsi="Arial" w:cs="Arial"/>
          <w:b/>
          <w:bCs/>
          <w:color w:val="auto"/>
        </w:rPr>
        <w:t>Notions connexes de la compétitivité et typologie</w:t>
      </w:r>
      <w:bookmarkEnd w:id="30"/>
    </w:p>
    <w:p w14:paraId="67C7C1AF" w14:textId="77777777" w:rsidR="008862C7" w:rsidRDefault="008862C7" w:rsidP="008862C7">
      <w:pPr>
        <w:pStyle w:val="Paragraphedeliste"/>
        <w:numPr>
          <w:ilvl w:val="3"/>
          <w:numId w:val="8"/>
        </w:numPr>
        <w:autoSpaceDE w:val="0"/>
        <w:autoSpaceDN w:val="0"/>
        <w:adjustRightInd w:val="0"/>
        <w:spacing w:before="120" w:after="120" w:line="360" w:lineRule="auto"/>
        <w:jc w:val="both"/>
        <w:outlineLvl w:val="5"/>
        <w:rPr>
          <w:rFonts w:ascii="Arial" w:hAnsi="Arial" w:cs="Arial"/>
          <w:b/>
          <w:bCs/>
          <w:sz w:val="24"/>
          <w:szCs w:val="24"/>
        </w:rPr>
      </w:pPr>
      <w:bookmarkStart w:id="31" w:name="_Toc395107522"/>
      <w:r>
        <w:rPr>
          <w:rFonts w:ascii="Arial" w:hAnsi="Arial" w:cs="Arial"/>
          <w:b/>
          <w:bCs/>
          <w:sz w:val="24"/>
          <w:szCs w:val="24"/>
        </w:rPr>
        <w:t>Notions connexes de la compétitivité</w:t>
      </w:r>
      <w:bookmarkEnd w:id="31"/>
    </w:p>
    <w:p w14:paraId="755E398D"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b/>
          <w:bCs/>
          <w:sz w:val="24"/>
          <w:szCs w:val="24"/>
        </w:rPr>
      </w:pPr>
      <w:bookmarkStart w:id="32" w:name="_Toc395107523"/>
      <w:r>
        <w:rPr>
          <w:rFonts w:ascii="Arial" w:hAnsi="Arial" w:cs="Arial"/>
          <w:b/>
          <w:bCs/>
          <w:sz w:val="24"/>
          <w:szCs w:val="24"/>
        </w:rPr>
        <w:t>Concurrence</w:t>
      </w:r>
      <w:bookmarkEnd w:id="32"/>
    </w:p>
    <w:p w14:paraId="3AD2D467"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Se définissant comme la compétition entre des offreurs d’un bien ou service visant a attirer une même clientèle, la concurrence désigne les conditions d'un marché sur lequel les agents économiques se confrontent, aboutissant à la fixation des prix et à l'échange de biens et de services. </w:t>
      </w:r>
    </w:p>
    <w:p w14:paraId="452B48C3"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La compétitivité suppose donc l'existence préalable d'une économie de marché organisée où les concurrents y offrent librement leurs biens et services. Ainsi la concurrence, la capacité </w:t>
      </w:r>
      <w:r>
        <w:rPr>
          <w:rFonts w:ascii="Arial" w:hAnsi="Arial" w:cs="Arial"/>
          <w:sz w:val="24"/>
          <w:szCs w:val="24"/>
        </w:rPr>
        <w:lastRenderedPageBreak/>
        <w:t xml:space="preserve">d'entreprendre et la vérité des prix sont les conditions nécessaires à l’existence de la compétitivité. </w:t>
      </w:r>
    </w:p>
    <w:p w14:paraId="28933669"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b/>
          <w:bCs/>
          <w:sz w:val="24"/>
          <w:szCs w:val="24"/>
        </w:rPr>
      </w:pPr>
      <w:bookmarkStart w:id="33" w:name="_Toc395107524"/>
      <w:r>
        <w:rPr>
          <w:rFonts w:ascii="Arial" w:hAnsi="Arial" w:cs="Arial"/>
          <w:b/>
          <w:bCs/>
          <w:sz w:val="24"/>
          <w:szCs w:val="24"/>
        </w:rPr>
        <w:t>Relativité</w:t>
      </w:r>
      <w:bookmarkEnd w:id="33"/>
    </w:p>
    <w:p w14:paraId="329B1E4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Une entreprise n'est compétitive qu'au regard des autres entreprises. En tant que tel, il n'existe pas de compétitivité. Pour bien le comprendre, il suffit d'imaginer une situation de monopole absolue. Dans un tel cadre, une entreprise ne peut pas se rendre compte si elle est compétitive ou non dans la mesure où elle n'a pas de compétiteurs. Cette remarque sous-entend que l'appréciation de la compétitivité nécessite une démarche de comparaison. On est compétitif parce qu'il existe d'autres entreprises avec lesquelles il est possible de s'étalonner. C'est en se comparant aux entreprises d'un même espace, au travers de la concurrence, que l'on perçoit l'importance relative de l'avance acquise ou du retard pris. </w:t>
      </w:r>
    </w:p>
    <w:p w14:paraId="03E481BA" w14:textId="77777777" w:rsidR="008862C7" w:rsidRDefault="008862C7" w:rsidP="008862C7">
      <w:pPr>
        <w:autoSpaceDE w:val="0"/>
        <w:autoSpaceDN w:val="0"/>
        <w:adjustRightInd w:val="0"/>
        <w:spacing w:line="360" w:lineRule="auto"/>
        <w:jc w:val="both"/>
        <w:rPr>
          <w:rFonts w:ascii="Arial" w:hAnsi="Arial" w:cs="Arial"/>
          <w:sz w:val="24"/>
          <w:szCs w:val="24"/>
        </w:rPr>
      </w:pPr>
    </w:p>
    <w:p w14:paraId="70517570"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b/>
          <w:bCs/>
          <w:sz w:val="24"/>
          <w:szCs w:val="24"/>
        </w:rPr>
      </w:pPr>
      <w:bookmarkStart w:id="34" w:name="_Toc395107525"/>
      <w:r>
        <w:rPr>
          <w:rFonts w:ascii="Arial" w:hAnsi="Arial" w:cs="Arial"/>
          <w:b/>
          <w:bCs/>
          <w:sz w:val="24"/>
          <w:szCs w:val="24"/>
        </w:rPr>
        <w:t>Avantage concurrentiel</w:t>
      </w:r>
      <w:bookmarkEnd w:id="34"/>
    </w:p>
    <w:p w14:paraId="001344B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Une entreprise est compétitive si elle dispose, à un moment donné, d'un ou plusieurs avantages sur ses concurrents. Le mot « avantage » signifie que l'entreprise est en avance sur ses concurrents en disposant à leur égard et momentanément d'un avantage relatif.</w:t>
      </w:r>
    </w:p>
    <w:p w14:paraId="7E402A92" w14:textId="77777777" w:rsidR="008862C7" w:rsidRDefault="008862C7" w:rsidP="008862C7">
      <w:pPr>
        <w:pStyle w:val="Paragraphedeliste"/>
        <w:numPr>
          <w:ilvl w:val="3"/>
          <w:numId w:val="8"/>
        </w:numPr>
        <w:autoSpaceDE w:val="0"/>
        <w:autoSpaceDN w:val="0"/>
        <w:adjustRightInd w:val="0"/>
        <w:spacing w:after="120" w:line="360" w:lineRule="auto"/>
        <w:jc w:val="both"/>
        <w:outlineLvl w:val="5"/>
        <w:rPr>
          <w:rFonts w:ascii="Arial" w:hAnsi="Arial" w:cs="Arial"/>
          <w:b/>
          <w:sz w:val="24"/>
          <w:szCs w:val="24"/>
        </w:rPr>
      </w:pPr>
      <w:bookmarkStart w:id="35" w:name="_Toc395107526"/>
      <w:r>
        <w:rPr>
          <w:rFonts w:ascii="Arial" w:hAnsi="Arial" w:cs="Arial"/>
          <w:b/>
          <w:sz w:val="24"/>
          <w:szCs w:val="24"/>
        </w:rPr>
        <w:t>Typologie de compétitivité</w:t>
      </w:r>
      <w:bookmarkEnd w:id="35"/>
    </w:p>
    <w:p w14:paraId="7EAE1A2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Outre ces trois mots essentiels, la notion de compétitivité englobe un certain nombre d'autres caractéristiques. Ainsi, on peut donc distinguer schématiquement deux types de compétitivité (compétitivité-prix et compétitivité structurelle)</w:t>
      </w:r>
      <w:r>
        <w:rPr>
          <w:rStyle w:val="Appelnotedebasdep"/>
          <w:rFonts w:ascii="Arial" w:hAnsi="Arial" w:cs="Arial"/>
          <w:sz w:val="24"/>
          <w:szCs w:val="24"/>
        </w:rPr>
        <w:footnoteReference w:id="4"/>
      </w:r>
      <w:r>
        <w:rPr>
          <w:rFonts w:ascii="Arial" w:hAnsi="Arial" w:cs="Arial"/>
          <w:sz w:val="24"/>
          <w:szCs w:val="24"/>
        </w:rPr>
        <w:t xml:space="preserve">, qui par ailleurs peuvent être mis en rapport l’une avec l’autre quel que soit le niveau de l’analyse retenu (compétitivité d’entreprise, compétitivité d’une filière et compétitivité d’une nation). Le concept compétitivité peut aussi être mis en relation avec d’autres notions telles que les notions de filière agro-alimentaire, de développement durable, et de temporalité. </w:t>
      </w:r>
    </w:p>
    <w:p w14:paraId="782F10A1" w14:textId="77777777" w:rsidR="008862C7" w:rsidRDefault="008862C7" w:rsidP="008862C7">
      <w:pPr>
        <w:pStyle w:val="Paragraphedeliste"/>
        <w:numPr>
          <w:ilvl w:val="0"/>
          <w:numId w:val="10"/>
        </w:numPr>
        <w:spacing w:after="120" w:line="360" w:lineRule="auto"/>
        <w:jc w:val="both"/>
        <w:outlineLvl w:val="6"/>
        <w:rPr>
          <w:rFonts w:ascii="Arial" w:hAnsi="Arial" w:cs="Arial"/>
          <w:b/>
          <w:sz w:val="24"/>
          <w:szCs w:val="24"/>
        </w:rPr>
      </w:pPr>
      <w:bookmarkStart w:id="36" w:name="_Toc395107527"/>
      <w:r>
        <w:rPr>
          <w:rFonts w:ascii="Arial" w:hAnsi="Arial" w:cs="Arial"/>
          <w:b/>
          <w:sz w:val="24"/>
          <w:szCs w:val="24"/>
        </w:rPr>
        <w:t>Compétitivité-prix</w:t>
      </w:r>
      <w:bookmarkEnd w:id="36"/>
      <w:r>
        <w:rPr>
          <w:rFonts w:ascii="Arial" w:hAnsi="Arial" w:cs="Arial"/>
          <w:b/>
          <w:sz w:val="24"/>
          <w:szCs w:val="24"/>
        </w:rPr>
        <w:t xml:space="preserve"> </w:t>
      </w:r>
    </w:p>
    <w:p w14:paraId="409DDA1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La compétitivité prix désigne la capacité d’une entité économique à se maintenir ou à progresser sur un marché grâce à un système de prix efficace pratiqué par cette dernière sur ce marché. </w:t>
      </w:r>
      <w:r>
        <w:rPr>
          <w:rFonts w:ascii="Arial" w:hAnsi="Arial" w:cs="Arial"/>
          <w:sz w:val="24"/>
          <w:szCs w:val="24"/>
        </w:rPr>
        <w:lastRenderedPageBreak/>
        <w:t>Dans ce cas, l’entité économique est en mesure de répondre à la concurrence en ajustant ses prix par rapport à celui de ses concurrents. Pour cela, elle doit disposer d’un ensemble de coût de production relativement faible que celui de ses concurrents potentiels.</w:t>
      </w:r>
    </w:p>
    <w:p w14:paraId="02C36F1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Lorsque l’entité est une entreprise particulière et que le prix désigne le prix de vente du produit, elle ne peut s’exprimer que dans la mesure où la somme de l’ensemble des coûts qui déterminent le prix de revient le permet. Ainsi, la capacité de la réponse à la concurrence de l’entreprise est donc étroitement liée à la structure des coûts relatifs à laquelle elle-même et ses concurrents sont confrontés. Dans une perspective dynamique, la position concurrentielle de l’entreprise dépend très étroitement des gains de productivité qu’elle est en mesure de faire découler de l’intégration du progrès technique et se traduisent par la diminution du coût unitaire de production.</w:t>
      </w:r>
    </w:p>
    <w:p w14:paraId="1E8A29BD"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Dire qu’une entité économique (entreprise) est bien placée en termes de compétitivité-prix signifie que si elle le souhaite (ou elle est contraint par le marché), elle est capable de vendre plus (ou de vendre autant) en diminuant le prix des biens ou services qu’elle propose sur le marché. Ainsi, elle bénéficie soit d’une augmentation des volumes vendues, au détriment des concurrents qui ne peuvent proposer cette baisse de prix, ou soit capter une nouvelle clientèle qui jusque-là ne peut accéder au produit du fait d’un niveau de prix présumé excessif. Des effets secondaires tels que l’écoulement plus rapide des ventes et une rotation accrue des stocks de marchandises peuvent également être constatés.</w:t>
      </w:r>
    </w:p>
    <w:p w14:paraId="357003B7"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 l’échelon d’un pays (au niveau macroéconomique), l’évolution de la compétitivité prix d’une économie nationale est liée à l’évolution de certains indicateurs du commerce international. Ainsi elle est le reflet de la performance commerciale des exportations du pays et peut être ponctuellement mesurée grâce à certains indicateurs du commerce international. De ces indicateurs, la balance commerciale et le taux de change de la monnaie nationale constituent des indicateurs de référence en la matière. Toutefois, il est à noter que la pertinence de cette notion, notamment son application à la compétitivité nationale, fait l’objet de nombreuses controverses parmi les économistes</w:t>
      </w:r>
      <w:r>
        <w:rPr>
          <w:rStyle w:val="Appelnotedebasdep"/>
          <w:rFonts w:ascii="Arial" w:hAnsi="Arial" w:cs="Arial"/>
          <w:sz w:val="24"/>
          <w:szCs w:val="24"/>
        </w:rPr>
        <w:footnoteReference w:id="5"/>
      </w:r>
      <w:r>
        <w:rPr>
          <w:rFonts w:ascii="Arial" w:hAnsi="Arial" w:cs="Arial"/>
          <w:sz w:val="24"/>
          <w:szCs w:val="24"/>
        </w:rPr>
        <w:t>.</w:t>
      </w:r>
    </w:p>
    <w:p w14:paraId="254B5BF9"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lastRenderedPageBreak/>
        <w:t>Appliquée aux secteurs industriels (cluster, filières, et industries) et aux entités régionales, la notion de compétitivité-prix conduit plus particulièrement à l’examen des taux de change effectif réel (TCER), et aux comparaisons, à des niveaux plus ou moins agrégés, des productivités factorielles, des coûts et de leurs évolutions. Le taux de change effectif réel est l’indice d’évolution de la compétitivité dans le temps, permettant ainsi de déterminer si la compétitivité s’est améliorée ou détériorée aux fils des ans. Il est souvent mesuré par le rapport des prix internationaux sur les prix nationaux. Mais, l’indice taux de change, indique seulement l’évolution de la compétitivité dans le temps et ne permet donc pas de saisir la capacité pour un secteur économique ou d’une filière de produire à moindre coût par rapport à ses concurrents.</w:t>
      </w:r>
    </w:p>
    <w:p w14:paraId="571426CA" w14:textId="77777777" w:rsidR="008862C7" w:rsidRDefault="008862C7" w:rsidP="008862C7">
      <w:pPr>
        <w:pStyle w:val="Paragraphedeliste"/>
        <w:numPr>
          <w:ilvl w:val="0"/>
          <w:numId w:val="10"/>
        </w:numPr>
        <w:spacing w:after="0" w:line="360" w:lineRule="auto"/>
        <w:jc w:val="both"/>
        <w:outlineLvl w:val="6"/>
        <w:rPr>
          <w:rFonts w:ascii="Arial" w:hAnsi="Arial" w:cs="Arial"/>
          <w:b/>
          <w:sz w:val="24"/>
          <w:szCs w:val="24"/>
        </w:rPr>
      </w:pPr>
      <w:bookmarkStart w:id="37" w:name="_Toc395107528"/>
      <w:r>
        <w:rPr>
          <w:rFonts w:ascii="Arial" w:hAnsi="Arial" w:cs="Arial"/>
          <w:b/>
          <w:sz w:val="24"/>
          <w:szCs w:val="24"/>
        </w:rPr>
        <w:t>Compétitivité structurelle</w:t>
      </w:r>
      <w:bookmarkEnd w:id="37"/>
      <w:r>
        <w:rPr>
          <w:rFonts w:ascii="Arial" w:hAnsi="Arial" w:cs="Arial"/>
          <w:b/>
          <w:sz w:val="24"/>
          <w:szCs w:val="24"/>
        </w:rPr>
        <w:t xml:space="preserve"> </w:t>
      </w:r>
    </w:p>
    <w:p w14:paraId="3B20EA3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La compétitivité structurelle ou compétitivité « hors prix » indique la capacité d’une entité économique à se démarquer de la concurrence par des avantages comparatifs décisifs autres que le prix de vente. La différenciation recherchée s’inscrit dans le temps, car elle repose essentiellement sur la capacité d’innovation, l’amélioration constante de la productivité, la qualité des biens et services produits, et la réputation que le marché concoure à leur attribuer ou qui est forgée par le marketing. La capacité d’innovation est déterminée par l’allocation des ressources de l’entité vers l’accroissement et l’amélioration de facteurs particuliers tels que la Recherche et le Développement (R&amp;D) et le capital humain.  </w:t>
      </w:r>
    </w:p>
    <w:p w14:paraId="78C67A8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Cette forme de compétitivité entraîne généralement une hausse des prix de vente des biens ou services de l’entreprise, mais incite les consommateurs désireux d’une meilleure qualité, qui veulent « monter en gamme », à acheter ses produits. L’innovation nécessitant des coûts de recherche élevés et des droits de la propriété intellectuelle, permet donc de taux de marge plus élevé pour les produits les plus coûteux. Cette compétitivité par l’innovation peut concerner aussi un bassin économique, en concurrence par rapport aux autres, d’où les politiques visant à constituer ou à renforcer des pôles de compétitivités économiques. </w:t>
      </w:r>
    </w:p>
    <w:p w14:paraId="7158580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Au niveau national, cette notion se traduit par la stabilité du taux de change au-delà de son niveau. Ce qui est également bénéfique pour la compétitivité de l’économie (la volatilité et donc le risque des investissements étant moins grands).</w:t>
      </w:r>
    </w:p>
    <w:p w14:paraId="6534DDAD" w14:textId="77777777" w:rsidR="008862C7" w:rsidRDefault="008862C7" w:rsidP="008862C7">
      <w:pPr>
        <w:pStyle w:val="Paragraphedeliste"/>
        <w:numPr>
          <w:ilvl w:val="0"/>
          <w:numId w:val="10"/>
        </w:numPr>
        <w:spacing w:after="120" w:line="360" w:lineRule="auto"/>
        <w:jc w:val="both"/>
        <w:outlineLvl w:val="6"/>
        <w:rPr>
          <w:rFonts w:ascii="Arial" w:hAnsi="Arial" w:cs="Arial"/>
          <w:b/>
          <w:sz w:val="24"/>
          <w:szCs w:val="24"/>
        </w:rPr>
      </w:pPr>
      <w:bookmarkStart w:id="38" w:name="_Toc395107529"/>
      <w:r>
        <w:rPr>
          <w:rFonts w:ascii="Arial" w:hAnsi="Arial" w:cs="Arial"/>
          <w:b/>
          <w:sz w:val="24"/>
          <w:szCs w:val="24"/>
        </w:rPr>
        <w:t>Compétitivité des filières agricoles</w:t>
      </w:r>
      <w:bookmarkEnd w:id="38"/>
    </w:p>
    <w:p w14:paraId="3829226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 concept de filière agro-alimentaire est apparu il y a une trentaine d’années, après les tout-premiers travaux d’économie agro-alimentaire menés par Davis, Goldberg et Leontief, et qui ont conduit au premier ouvrage en la matière intitulé « A concept of Agri business » et publié déjà en </w:t>
      </w:r>
      <w:r>
        <w:rPr>
          <w:rFonts w:ascii="Arial" w:hAnsi="Arial" w:cs="Arial"/>
          <w:sz w:val="24"/>
          <w:szCs w:val="24"/>
        </w:rPr>
        <w:lastRenderedPageBreak/>
        <w:t xml:space="preserve">1957. Les auteurs y précisent que « l’agro-industrie comprend trois agrégats : les industries qui fournissent l’agriculture, le secteur agricole et les activités de transformation-distribution ». </w:t>
      </w:r>
    </w:p>
    <w:p w14:paraId="1D1A444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Pour Malassis (1979), le concept de filière « se rapporte aux itinéraires suivis par un produit ou un groupe de produits au sein de l’appareil agro-alimentaire. Elle concerne l’ensemble des agents (entreprises ou administration) et des opérations (production, répartition, financement) qui concourent à la formation et au transfert du produit jusqu’au stade final d’utilisation, ainsi que les mécanismes d’ajustement des flux des produits et des facteurs de production le long de la filière et à son stade final ». Cette définition de base constitue une référence systématique pour tous les auteurs qui traitent de l’analyse de filière, même si chacun la spécifie en fonction des objectifs de sa propre analyse. </w:t>
      </w:r>
    </w:p>
    <w:p w14:paraId="13BA36B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Telle que conçue, l’approche filière permet donc de répondre de façon presque naturelle à cette exigence de la traçabilité d’un produit, et de renforcer ainsi la compétitivité perçue et effective des produits concernés. L’intégration du niveau méso de l’analyse des filières agricoles d’exportation dans l’analyse des déterminants de la compétitivité constitue une étape ultime des travaux, et même une étape nécessaire pour comprendre les facteurs de compétitivité. Cette approche permet donc de montrer le poids économique relatif de l’activité agro-industrielle qui déborde largement l’agriculture et prend en compte des agrégats globaux pour analyser la structure économique et les échanges internes et externes du système agro-alimentaire. Elle apporte des éclairages intéressants pour la compréhension d’ensemble du fonctionnement de l’économie. </w:t>
      </w:r>
    </w:p>
    <w:p w14:paraId="69D25CB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Ainsi, dans le domaine agricole, une filière recouvre le mode d’organisation concrète autour d’un produit, tel que le coton, le riz, le café, ou le cacao, assurant l’intégration cohérente des différentes opérations de production, de transformation et de commercialisation. On parle alors de filière coton, riz, café ou cacao. Il s’agit donc dans ce cas d’analyser la compétitivité d’un produit dont les autres produits nécessaires à sa production sont les consommations intermédiaires. La compétitivité d’un produit tel que le coton dépend donc de l’ensemble des produits entrant dans le même processus de production. La filière permet de repérer les relations de linéarité, de complémentarité et de cheminement entre les différents stades de transformation. L’organisation en filière intégrée permet de relier par des enchainements technologiques, industriels, commerciaux ou financiers rationnels tels que : (i) les différentes étapes du processus d’élaboration d’un produit-coton, de l’amont vers l’aval, de la production agricole initiale jusqu’à la demande finale sur le marché, en passant par la transformation industrielle ; (ii) les interventions de différents operateurs économiques concernés à savoir les agriculteurs, les entreprises de </w:t>
      </w:r>
      <w:r>
        <w:rPr>
          <w:rFonts w:ascii="Arial" w:hAnsi="Arial" w:cs="Arial"/>
          <w:sz w:val="24"/>
          <w:szCs w:val="24"/>
        </w:rPr>
        <w:lastRenderedPageBreak/>
        <w:t>transformation industrielle et de commercialisation, l’Etat (politique économique générale et sectorielle), les exportateurs, les importateurs et autres intermédiaires afin de mieux percevoir les enjeux des mesures économiques ou l’impact des chocs externes. Les concurrents seront les nations productrices du même produit sur le marché national ou à l’exportation.</w:t>
      </w:r>
    </w:p>
    <w:p w14:paraId="463C3FA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L’étude de la filière dans ce cas a pour principal objectif d’effectuer des comparaisons internationales aussi détaillées que possible, de façon à identifier des handicaps ou avantages compétitifs aux différents stades du processus de production. La compétitivité d’une filière-produit, par exemple la filière coton, portera sur un produit (coton fibre), issu d’un processus de transformation en plusieurs étapes : la production agricole initiale sous forme de coton-graine ; la transformation, au niveau de l’usine d’égrenage, sous une forme exportable (fibres de qualité et de longueur standardisées par rapport à une norme internationale de référence); l’acheminement vers le marché des filatures internationales.</w:t>
      </w:r>
    </w:p>
    <w:p w14:paraId="1062118E"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Pour Maingy (1998), les politiques macro-économiques induites par le gouvernement, les effets externes et les relations intersectorielles ont un impact sur la compétitivité des filières et des entreprises à l’exportation. Les différentes dimensions de la compétitivité sont étroitement liées puisque, réciproquement, la compétitivité globale mesurée ex-post émane de celle des filières et des entreprises.</w:t>
      </w:r>
    </w:p>
    <w:p w14:paraId="1D48370D"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Les diverses spécifications requises : des fonctions d’offre des branches, des liens intra filières et inter filières, de la demande mondiale, de la formation des revenus et des coûts, s’appuient en général sur un certain nombre d’informations qui sont autant de critères de compétitivité des filières agricoles d’exportation nationales.</w:t>
      </w:r>
    </w:p>
    <w:p w14:paraId="7674A59E"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L’approche filière trouvera ainsi une pertinence et une utilité élargies en apportant une sérieuse contribution à l’analyse de la concurrence dans une industrie donnée, mais aussi et surtout à la compréhension des déterminants de la compétitivité des entreprises et des produits de cette industrie. </w:t>
      </w:r>
    </w:p>
    <w:p w14:paraId="74028B9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Pour résumer, la compétitivité d’une filière peut se mesurer à court ou moyen terme en fonction de son efficacité et de sa capacité à faire face à des chocs et, à plus long terme, par rapport à la dynamique d’accumulation et à l’adaptation des acteurs face au contexte souvent changeant.</w:t>
      </w:r>
    </w:p>
    <w:p w14:paraId="20B12C8B" w14:textId="77777777" w:rsidR="008862C7" w:rsidRDefault="008862C7" w:rsidP="008862C7">
      <w:pPr>
        <w:pStyle w:val="Paragraphedeliste"/>
        <w:numPr>
          <w:ilvl w:val="0"/>
          <w:numId w:val="10"/>
        </w:numPr>
        <w:autoSpaceDE w:val="0"/>
        <w:autoSpaceDN w:val="0"/>
        <w:adjustRightInd w:val="0"/>
        <w:spacing w:after="0" w:line="360" w:lineRule="auto"/>
        <w:jc w:val="both"/>
        <w:outlineLvl w:val="6"/>
        <w:rPr>
          <w:rFonts w:ascii="Arial" w:hAnsi="Arial" w:cs="Arial"/>
          <w:b/>
          <w:sz w:val="24"/>
          <w:szCs w:val="24"/>
        </w:rPr>
      </w:pPr>
      <w:bookmarkStart w:id="39" w:name="_Toc395107530"/>
      <w:r>
        <w:rPr>
          <w:rFonts w:ascii="Arial" w:hAnsi="Arial" w:cs="Arial"/>
          <w:b/>
          <w:sz w:val="24"/>
          <w:szCs w:val="24"/>
        </w:rPr>
        <w:t>Compétitivité des entreprises</w:t>
      </w:r>
      <w:bookmarkEnd w:id="39"/>
    </w:p>
    <w:p w14:paraId="48069581" w14:textId="77777777" w:rsidR="008862C7" w:rsidRDefault="008862C7" w:rsidP="008862C7">
      <w:pPr>
        <w:autoSpaceDE w:val="0"/>
        <w:autoSpaceDN w:val="0"/>
        <w:adjustRightInd w:val="0"/>
        <w:spacing w:line="360" w:lineRule="auto"/>
        <w:jc w:val="both"/>
        <w:rPr>
          <w:rFonts w:ascii="Arial" w:hAnsi="Arial" w:cs="Arial"/>
          <w:b/>
          <w:sz w:val="24"/>
          <w:szCs w:val="24"/>
        </w:rPr>
      </w:pPr>
      <w:r>
        <w:rPr>
          <w:rFonts w:ascii="Arial" w:hAnsi="Arial" w:cs="Arial"/>
          <w:i/>
          <w:sz w:val="24"/>
          <w:szCs w:val="24"/>
        </w:rPr>
        <w:t xml:space="preserve">« Chercher à expliquer la compétitivité au niveau national est incorrecte. Ce qu’on doit comprendre, ce sont les déterminants de la productivité et le taux de croissance de la </w:t>
      </w:r>
      <w:r>
        <w:rPr>
          <w:rFonts w:ascii="Arial" w:hAnsi="Arial" w:cs="Arial"/>
          <w:i/>
          <w:sz w:val="24"/>
          <w:szCs w:val="24"/>
        </w:rPr>
        <w:lastRenderedPageBreak/>
        <w:t>productivité. Pour trouver des solutions, on devrait se focaliser, non pas sur l’ensemble de l’économie, mais plutôt sur des industries spécifiques ou encore des segments d’industrie » (Porter, 1990).</w:t>
      </w:r>
    </w:p>
    <w:p w14:paraId="3FA25ADE"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A travers cette pensée, Porter (1992)</w:t>
      </w:r>
      <w:r>
        <w:rPr>
          <w:rStyle w:val="Appelnotedebasdep"/>
          <w:rFonts w:ascii="Arial" w:hAnsi="Arial" w:cs="Arial"/>
          <w:sz w:val="24"/>
          <w:szCs w:val="24"/>
        </w:rPr>
        <w:footnoteReference w:id="6"/>
      </w:r>
      <w:r>
        <w:rPr>
          <w:rFonts w:ascii="Arial" w:hAnsi="Arial" w:cs="Arial"/>
          <w:sz w:val="24"/>
          <w:szCs w:val="24"/>
        </w:rPr>
        <w:t xml:space="preserve"> montre que les acteurs fondamentaux de la concurrence internationale sont d’abord les entreprises. Ce sont elles qui affrontent les marchés internationaux et y acquièrent des avantages concurrentiels, soit par des coûts, soit par la différenciation des produits. Porter veut ainsi focaliser son étude sur un secteur bien précis : les entreprises. C’est dans ce contexte qu’il a avancé qu’a la base de toute stratégie concurrentielle, se trouvent deux éléments: (i) la première repose sur la structure de l’industrie où l’entreprise évolue. La nature de la concurrence varie beaucoup d’une industrie à l’autre et toutes les industries n’offrent pas les mêmes perspectives de rentabilité à long terme ; (ii) le deuxième élément est le positionnement de l’entreprise au sein de l’industrie considérée. Certains positionnements seront bien plus avantageux que d’autres, quel que soit le niveau moyen de la rentabilité de l’industrie en question.</w:t>
      </w:r>
    </w:p>
    <w:p w14:paraId="5284CAC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Pour guider l’entreprise dans le choix de sa stratégie, il faut absolument réunir ces deux éléments qui sont tous dynamiques. Une stratégie concurrentielle doit donc s’appuyer sur une analyse approfondie de la structure de l’industrie et de son évolution.  </w:t>
      </w:r>
    </w:p>
    <w:p w14:paraId="4B64A6E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Dans une seconde publication, Porter perfectionne l’environnement de l’entreprise et présente son fameux schéma (Graphique1.1) des cinq forces qui influencent le jeu concurrentiel tant au niveau national qu’international. A partir de l’intensité de la rivalité concurrentielle au sein du secteur, la dynamique concurrentielle se définit par rapport à cinq forces : la menace de nouveaux entrants ; la menace de produits de remplacement ; le pouvoir de négociation des fournisseurs ; le pouvoir de négociation des clients ; et la rivalité entre les firmes du secteur. </w:t>
      </w:r>
    </w:p>
    <w:p w14:paraId="6F64185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On retrouve à ces quatre pôles la plupart des concepts classiques de l’économie industrielle à savoir les barrières à l’entrée, les économies d’échelles, et la différenciation.</w:t>
      </w:r>
    </w:p>
    <w:p w14:paraId="6E0626A1" w14:textId="77777777" w:rsidR="00E72C3F" w:rsidRDefault="00E72C3F" w:rsidP="008862C7">
      <w:pPr>
        <w:autoSpaceDE w:val="0"/>
        <w:autoSpaceDN w:val="0"/>
        <w:adjustRightInd w:val="0"/>
        <w:spacing w:line="360" w:lineRule="auto"/>
        <w:jc w:val="both"/>
        <w:rPr>
          <w:rFonts w:ascii="Arial" w:hAnsi="Arial" w:cs="Arial"/>
          <w:sz w:val="24"/>
          <w:szCs w:val="24"/>
        </w:rPr>
      </w:pPr>
    </w:p>
    <w:p w14:paraId="7D04DFB4" w14:textId="77777777" w:rsidR="00E72C3F" w:rsidRDefault="00E72C3F" w:rsidP="008862C7">
      <w:pPr>
        <w:autoSpaceDE w:val="0"/>
        <w:autoSpaceDN w:val="0"/>
        <w:adjustRightInd w:val="0"/>
        <w:spacing w:line="360" w:lineRule="auto"/>
        <w:jc w:val="both"/>
        <w:rPr>
          <w:rFonts w:ascii="Arial" w:hAnsi="Arial" w:cs="Arial"/>
          <w:sz w:val="24"/>
          <w:szCs w:val="24"/>
        </w:rPr>
      </w:pPr>
    </w:p>
    <w:p w14:paraId="3F06E7EA" w14:textId="77777777" w:rsidR="008862C7" w:rsidRDefault="008862C7" w:rsidP="008862C7">
      <w:pPr>
        <w:autoSpaceDE w:val="0"/>
        <w:autoSpaceDN w:val="0"/>
        <w:adjustRightInd w:val="0"/>
        <w:spacing w:after="120"/>
        <w:jc w:val="both"/>
        <w:rPr>
          <w:rFonts w:ascii="Arial" w:hAnsi="Arial" w:cs="Arial"/>
          <w:b/>
        </w:rPr>
      </w:pPr>
      <w:r>
        <w:rPr>
          <w:rFonts w:ascii="Arial" w:hAnsi="Arial" w:cs="Arial"/>
          <w:b/>
        </w:rPr>
        <w:lastRenderedPageBreak/>
        <w:t>Figure 1.1 : Dynamique concurrentielle selon Porter</w:t>
      </w:r>
    </w:p>
    <w:p w14:paraId="06FBC8AA" w14:textId="77777777" w:rsidR="008862C7" w:rsidRDefault="00E72C3F" w:rsidP="008862C7">
      <w:pPr>
        <w:autoSpaceDE w:val="0"/>
        <w:autoSpaceDN w:val="0"/>
        <w:adjustRightInd w:val="0"/>
        <w:spacing w:after="0" w:line="360" w:lineRule="auto"/>
        <w:jc w:val="both"/>
        <w:rPr>
          <w:rFonts w:ascii="Arial" w:hAnsi="Arial" w:cs="Arial"/>
        </w:rPr>
      </w:pPr>
      <w:r>
        <w:rPr>
          <w:rFonts w:ascii="Calibri" w:hAnsi="Calibri" w:cs="Times New Roman"/>
          <w:noProof/>
          <w:lang w:eastAsia="fr-FR"/>
        </w:rPr>
        <mc:AlternateContent>
          <mc:Choice Requires="wps">
            <w:drawing>
              <wp:anchor distT="0" distB="0" distL="114300" distR="114300" simplePos="0" relativeHeight="251665408" behindDoc="0" locked="0" layoutInCell="1" allowOverlap="1" wp14:anchorId="386579E6" wp14:editId="28024C64">
                <wp:simplePos x="0" y="0"/>
                <wp:positionH relativeFrom="column">
                  <wp:posOffset>-20955</wp:posOffset>
                </wp:positionH>
                <wp:positionV relativeFrom="paragraph">
                  <wp:posOffset>48260</wp:posOffset>
                </wp:positionV>
                <wp:extent cx="5804535" cy="2897505"/>
                <wp:effectExtent l="36195" t="29210" r="36195" b="35560"/>
                <wp:wrapNone/>
                <wp:docPr id="1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2897505"/>
                        </a:xfrm>
                        <a:prstGeom prst="roundRect">
                          <a:avLst>
                            <a:gd name="adj" fmla="val 16667"/>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68627" id="AutoShape 6" o:spid="_x0000_s1026" style="position:absolute;margin-left:-1.65pt;margin-top:3.8pt;width:457.05pt;height:2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" filled="f" strokeweight="4.5pt">
                <v:stroke linestyle="thickThin"/>
              </v:roundrect>
            </w:pict>
          </mc:Fallback>
        </mc:AlternateContent>
      </w:r>
      <w:r>
        <w:rPr>
          <w:rFonts w:ascii="Calibri" w:hAnsi="Calibri" w:cs="Times New Roman"/>
          <w:noProof/>
          <w:lang w:eastAsia="fr-FR"/>
        </w:rPr>
        <mc:AlternateContent>
          <mc:Choice Requires="wps">
            <w:drawing>
              <wp:anchor distT="0" distB="0" distL="114300" distR="114300" simplePos="0" relativeHeight="251666432" behindDoc="0" locked="0" layoutInCell="1" allowOverlap="1" wp14:anchorId="7B395804" wp14:editId="61F27A6D">
                <wp:simplePos x="0" y="0"/>
                <wp:positionH relativeFrom="column">
                  <wp:posOffset>2040890</wp:posOffset>
                </wp:positionH>
                <wp:positionV relativeFrom="paragraph">
                  <wp:posOffset>935990</wp:posOffset>
                </wp:positionV>
                <wp:extent cx="1732915" cy="574675"/>
                <wp:effectExtent l="21590" t="21590" r="36195" b="51435"/>
                <wp:wrapNone/>
                <wp:docPr id="15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5746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6A5C9C" w14:textId="77777777" w:rsidR="00B63507" w:rsidRDefault="00B63507" w:rsidP="008862C7">
                            <w:pPr>
                              <w:autoSpaceDE w:val="0"/>
                              <w:autoSpaceDN w:val="0"/>
                              <w:adjustRightInd w:val="0"/>
                              <w:jc w:val="center"/>
                            </w:pPr>
                            <w:r>
                              <w:t>Rivalité entre les firmes du secteur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395804" id="AutoShape 33" o:spid="_x0000_s1057" style="position:absolute;left:0;text-align:left;margin-left:160.7pt;margin-top:73.7pt;width:136.45pt;height:4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" fillcolor="#4f81bd" strokecolor="#f2f2f2" strokeweight="3pt">
                <v:shadow on="t" color="#243f60" opacity=".5" offset="1pt"/>
                <v:textbox>
                  <w:txbxContent>
                    <w:p w14:paraId="3A6A5C9C" w14:textId="77777777" w:rsidR="00B63507" w:rsidRDefault="00B63507" w:rsidP="008862C7">
                      <w:pPr>
                        <w:autoSpaceDE w:val="0"/>
                        <w:autoSpaceDN w:val="0"/>
                        <w:adjustRightInd w:val="0"/>
                        <w:jc w:val="center"/>
                      </w:pPr>
                      <w:r>
                        <w:t>Rivalité entre les firmes du secteur</w:t>
                      </w:r>
                    </w:p>
                  </w:txbxContent>
                </v:textbox>
              </v:roundrect>
            </w:pict>
          </mc:Fallback>
        </mc:AlternateContent>
      </w:r>
      <w:r>
        <w:rPr>
          <w:rFonts w:ascii="Calibri" w:hAnsi="Calibri" w:cs="Times New Roman"/>
          <w:noProof/>
          <w:lang w:eastAsia="fr-FR"/>
        </w:rPr>
        <mc:AlternateContent>
          <mc:Choice Requires="wps">
            <w:drawing>
              <wp:anchor distT="0" distB="0" distL="114300" distR="114300" simplePos="0" relativeHeight="251667456" behindDoc="0" locked="0" layoutInCell="1" allowOverlap="1" wp14:anchorId="2E4F93DF" wp14:editId="3DE8978C">
                <wp:simplePos x="0" y="0"/>
                <wp:positionH relativeFrom="column">
                  <wp:posOffset>222250</wp:posOffset>
                </wp:positionH>
                <wp:positionV relativeFrom="paragraph">
                  <wp:posOffset>880745</wp:posOffset>
                </wp:positionV>
                <wp:extent cx="1750695" cy="736600"/>
                <wp:effectExtent l="31750" t="33020" r="113030" b="40005"/>
                <wp:wrapNone/>
                <wp:docPr id="15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736600"/>
                        </a:xfrm>
                        <a:prstGeom prst="rightArrowCallout">
                          <a:avLst>
                            <a:gd name="adj1" fmla="val 20861"/>
                            <a:gd name="adj2" fmla="val 28361"/>
                            <a:gd name="adj3" fmla="val 60430"/>
                            <a:gd name="adj4" fmla="val 68569"/>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50E164" w14:textId="77777777" w:rsidR="00B63507" w:rsidRDefault="00B63507" w:rsidP="008862C7">
                            <w:pPr>
                              <w:autoSpaceDE w:val="0"/>
                              <w:autoSpaceDN w:val="0"/>
                              <w:adjustRightInd w:val="0"/>
                              <w:jc w:val="center"/>
                            </w:pPr>
                            <w:r>
                              <w:t>Pouvoir de négociation des fournisseurs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F93D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4" o:spid="_x0000_s1058" type="#_x0000_t78" style="position:absolute;left:0;text-align:left;margin-left:17.5pt;margin-top:69.35pt;width:137.8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" adj="14811,4674,16108,8547" strokecolor="#c0504d" strokeweight="5pt">
                <v:stroke linestyle="thickThin"/>
                <v:shadow color="#868686"/>
                <v:textbox>
                  <w:txbxContent>
                    <w:p w14:paraId="5F50E164" w14:textId="77777777" w:rsidR="00B63507" w:rsidRDefault="00B63507" w:rsidP="008862C7">
                      <w:pPr>
                        <w:autoSpaceDE w:val="0"/>
                        <w:autoSpaceDN w:val="0"/>
                        <w:adjustRightInd w:val="0"/>
                        <w:jc w:val="center"/>
                      </w:pPr>
                      <w:r>
                        <w:t>Pouvoir de négociation des fournisseurs</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68480" behindDoc="0" locked="0" layoutInCell="1" allowOverlap="1" wp14:anchorId="1F0A9EEB" wp14:editId="757F54AA">
                <wp:simplePos x="0" y="0"/>
                <wp:positionH relativeFrom="column">
                  <wp:posOffset>3814445</wp:posOffset>
                </wp:positionH>
                <wp:positionV relativeFrom="paragraph">
                  <wp:posOffset>889635</wp:posOffset>
                </wp:positionV>
                <wp:extent cx="1768475" cy="648335"/>
                <wp:effectExtent l="52070" t="22860" r="36830" b="52705"/>
                <wp:wrapNone/>
                <wp:docPr id="1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8475" cy="648335"/>
                        </a:xfrm>
                        <a:prstGeom prst="rightArrowCallout">
                          <a:avLst>
                            <a:gd name="adj1" fmla="val 27111"/>
                            <a:gd name="adj2" fmla="val 25000"/>
                            <a:gd name="adj3" fmla="val 26722"/>
                            <a:gd name="adj4" fmla="val 85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21E83F6" w14:textId="77777777" w:rsidR="00B63507" w:rsidRDefault="00B63507" w:rsidP="008862C7">
                            <w:pPr>
                              <w:autoSpaceDE w:val="0"/>
                              <w:autoSpaceDN w:val="0"/>
                              <w:adjustRightInd w:val="0"/>
                              <w:jc w:val="right"/>
                            </w:pPr>
                            <w:r>
                              <w:t>Pouvoir  de négociation des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9EEB" id="AutoShape 35" o:spid="_x0000_s1059" type="#_x0000_t78" style="position:absolute;left:0;text-align:left;margin-left:300.35pt;margin-top:70.05pt;width:139.25pt;height:51.0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" adj="18468,,19484,7872" fillcolor="#c0504d" strokecolor="#f2f2f2" strokeweight="3pt">
                <v:shadow on="t" color="#622423" opacity=".5" offset="1pt"/>
                <v:textbox>
                  <w:txbxContent>
                    <w:p w14:paraId="021E83F6" w14:textId="77777777" w:rsidR="00B63507" w:rsidRDefault="00B63507" w:rsidP="008862C7">
                      <w:pPr>
                        <w:autoSpaceDE w:val="0"/>
                        <w:autoSpaceDN w:val="0"/>
                        <w:adjustRightInd w:val="0"/>
                        <w:jc w:val="right"/>
                      </w:pPr>
                      <w:r>
                        <w:t>Pouvoir  de négociation des clients</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69504" behindDoc="0" locked="0" layoutInCell="1" allowOverlap="1" wp14:anchorId="30DFFFE9" wp14:editId="1C6954C1">
                <wp:simplePos x="0" y="0"/>
                <wp:positionH relativeFrom="column">
                  <wp:posOffset>1903095</wp:posOffset>
                </wp:positionH>
                <wp:positionV relativeFrom="paragraph">
                  <wp:posOffset>130810</wp:posOffset>
                </wp:positionV>
                <wp:extent cx="1911350" cy="742950"/>
                <wp:effectExtent l="26670" t="26035" r="33655" b="50165"/>
                <wp:wrapNone/>
                <wp:docPr id="1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742950"/>
                        </a:xfrm>
                        <a:prstGeom prst="downArrowCallout">
                          <a:avLst>
                            <a:gd name="adj1" fmla="val 58313"/>
                            <a:gd name="adj2" fmla="val 58325"/>
                            <a:gd name="adj3" fmla="val 16667"/>
                            <a:gd name="adj4" fmla="val 66667"/>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3A50D61" w14:textId="77777777" w:rsidR="00B63507" w:rsidRDefault="00B63507" w:rsidP="008862C7">
                            <w:pPr>
                              <w:autoSpaceDE w:val="0"/>
                              <w:autoSpaceDN w:val="0"/>
                              <w:adjustRightInd w:val="0"/>
                              <w:jc w:val="center"/>
                            </w:pPr>
                            <w:r>
                              <w:t>Menace des nouveaux entrants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FFFE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6" o:spid="_x0000_s1060" type="#_x0000_t80" style="position:absolute;left:0;text-align:left;margin-left:149.85pt;margin-top:10.3pt;width:150.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" adj=",5903,,8352" fillcolor="#9bbb59" strokecolor="#f2f2f2" strokeweight="3pt">
                <v:shadow on="t" color="#4e6128" opacity=".5" offset="1pt"/>
                <v:textbox>
                  <w:txbxContent>
                    <w:p w14:paraId="43A50D61" w14:textId="77777777" w:rsidR="00B63507" w:rsidRDefault="00B63507" w:rsidP="008862C7">
                      <w:pPr>
                        <w:autoSpaceDE w:val="0"/>
                        <w:autoSpaceDN w:val="0"/>
                        <w:adjustRightInd w:val="0"/>
                        <w:jc w:val="center"/>
                      </w:pPr>
                      <w:r>
                        <w:t>Menace des nouveaux entrants</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70528" behindDoc="0" locked="0" layoutInCell="1" allowOverlap="1" wp14:anchorId="0FE5320E" wp14:editId="66BDF091">
                <wp:simplePos x="0" y="0"/>
                <wp:positionH relativeFrom="column">
                  <wp:posOffset>1878965</wp:posOffset>
                </wp:positionH>
                <wp:positionV relativeFrom="paragraph">
                  <wp:posOffset>1644650</wp:posOffset>
                </wp:positionV>
                <wp:extent cx="2006600" cy="1247140"/>
                <wp:effectExtent l="183515" t="73025" r="181610" b="32385"/>
                <wp:wrapNone/>
                <wp:docPr id="14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06600" cy="1247140"/>
                        </a:xfrm>
                        <a:prstGeom prst="downArrowCallout">
                          <a:avLst>
                            <a:gd name="adj1" fmla="val 39822"/>
                            <a:gd name="adj2" fmla="val 56448"/>
                            <a:gd name="adj3" fmla="val 8028"/>
                            <a:gd name="adj4" fmla="val 74431"/>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5E0E87" w14:textId="77777777" w:rsidR="00B63507" w:rsidRDefault="00B63507" w:rsidP="008862C7">
                            <w:pPr>
                              <w:autoSpaceDE w:val="0"/>
                              <w:autoSpaceDN w:val="0"/>
                              <w:adjustRightInd w:val="0"/>
                              <w:spacing w:after="0"/>
                              <w:jc w:val="center"/>
                            </w:pPr>
                          </w:p>
                          <w:p w14:paraId="0C601B73" w14:textId="77777777" w:rsidR="00B63507" w:rsidRDefault="00B63507" w:rsidP="008862C7">
                            <w:pPr>
                              <w:autoSpaceDE w:val="0"/>
                              <w:autoSpaceDN w:val="0"/>
                              <w:adjustRightInd w:val="0"/>
                              <w:spacing w:after="0"/>
                              <w:jc w:val="center"/>
                            </w:pPr>
                          </w:p>
                          <w:p w14:paraId="5E09CC6A" w14:textId="77777777" w:rsidR="00B63507" w:rsidRDefault="00B63507" w:rsidP="008862C7">
                            <w:pPr>
                              <w:autoSpaceDE w:val="0"/>
                              <w:autoSpaceDN w:val="0"/>
                              <w:adjustRightInd w:val="0"/>
                              <w:spacing w:after="0"/>
                              <w:jc w:val="center"/>
                            </w:pPr>
                            <w:r>
                              <w:t>Menace de produits  de remplacement</w:t>
                            </w:r>
                          </w:p>
                          <w:p w14:paraId="38F3DCD8" w14:textId="77777777" w:rsidR="00B63507" w:rsidRDefault="00B63507" w:rsidP="008862C7">
                            <w:pPr>
                              <w:autoSpaceDE w:val="0"/>
                              <w:autoSpaceDN w:val="0"/>
                              <w:adjustRightInd w:val="0"/>
                              <w:jc w:val="center"/>
                            </w:pPr>
                          </w:p>
                          <w:p w14:paraId="7E6C183E" w14:textId="77777777" w:rsidR="00B63507" w:rsidRDefault="00B63507" w:rsidP="008862C7">
                            <w:pPr>
                              <w:autoSpaceDE w:val="0"/>
                              <w:autoSpaceDN w:val="0"/>
                              <w:adjustRightInd w:val="0"/>
                              <w:jc w:val="center"/>
                            </w:pPr>
                          </w:p>
                          <w:p w14:paraId="13EAF132" w14:textId="77777777" w:rsidR="00B63507" w:rsidRDefault="00B63507" w:rsidP="008862C7">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320E" id="AutoShape 37" o:spid="_x0000_s1061" type="#_x0000_t80" style="position:absolute;left:0;text-align:left;margin-left:147.95pt;margin-top:129.5pt;width:158pt;height:98.2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" adj="16077,3222,19866,8127" strokecolor="#9bbb59" strokeweight="5pt">
                <v:stroke linestyle="thickThin"/>
                <v:shadow color="#868686"/>
                <v:textbox>
                  <w:txbxContent>
                    <w:p w14:paraId="2D5E0E87" w14:textId="77777777" w:rsidR="00B63507" w:rsidRDefault="00B63507" w:rsidP="008862C7">
                      <w:pPr>
                        <w:autoSpaceDE w:val="0"/>
                        <w:autoSpaceDN w:val="0"/>
                        <w:adjustRightInd w:val="0"/>
                        <w:spacing w:after="0"/>
                        <w:jc w:val="center"/>
                      </w:pPr>
                    </w:p>
                    <w:p w14:paraId="0C601B73" w14:textId="77777777" w:rsidR="00B63507" w:rsidRDefault="00B63507" w:rsidP="008862C7">
                      <w:pPr>
                        <w:autoSpaceDE w:val="0"/>
                        <w:autoSpaceDN w:val="0"/>
                        <w:adjustRightInd w:val="0"/>
                        <w:spacing w:after="0"/>
                        <w:jc w:val="center"/>
                      </w:pPr>
                    </w:p>
                    <w:p w14:paraId="5E09CC6A" w14:textId="77777777" w:rsidR="00B63507" w:rsidRDefault="00B63507" w:rsidP="008862C7">
                      <w:pPr>
                        <w:autoSpaceDE w:val="0"/>
                        <w:autoSpaceDN w:val="0"/>
                        <w:adjustRightInd w:val="0"/>
                        <w:spacing w:after="0"/>
                        <w:jc w:val="center"/>
                      </w:pPr>
                      <w:r>
                        <w:t>Menace de produits  de remplacement</w:t>
                      </w:r>
                    </w:p>
                    <w:p w14:paraId="38F3DCD8" w14:textId="77777777" w:rsidR="00B63507" w:rsidRDefault="00B63507" w:rsidP="008862C7">
                      <w:pPr>
                        <w:autoSpaceDE w:val="0"/>
                        <w:autoSpaceDN w:val="0"/>
                        <w:adjustRightInd w:val="0"/>
                        <w:jc w:val="center"/>
                      </w:pPr>
                    </w:p>
                    <w:p w14:paraId="7E6C183E" w14:textId="77777777" w:rsidR="00B63507" w:rsidRDefault="00B63507" w:rsidP="008862C7">
                      <w:pPr>
                        <w:autoSpaceDE w:val="0"/>
                        <w:autoSpaceDN w:val="0"/>
                        <w:adjustRightInd w:val="0"/>
                        <w:jc w:val="center"/>
                      </w:pPr>
                    </w:p>
                    <w:p w14:paraId="13EAF132" w14:textId="77777777" w:rsidR="00B63507" w:rsidRDefault="00B63507" w:rsidP="008862C7">
                      <w:pPr>
                        <w:autoSpaceDE w:val="0"/>
                        <w:autoSpaceDN w:val="0"/>
                        <w:adjustRightInd w:val="0"/>
                        <w:jc w:val="center"/>
                      </w:pPr>
                    </w:p>
                  </w:txbxContent>
                </v:textbox>
              </v:shape>
            </w:pict>
          </mc:Fallback>
        </mc:AlternateContent>
      </w:r>
    </w:p>
    <w:p w14:paraId="044DCE45" w14:textId="77777777" w:rsidR="008862C7" w:rsidRDefault="008862C7" w:rsidP="008862C7">
      <w:pPr>
        <w:autoSpaceDE w:val="0"/>
        <w:autoSpaceDN w:val="0"/>
        <w:adjustRightInd w:val="0"/>
        <w:spacing w:line="360" w:lineRule="auto"/>
        <w:jc w:val="both"/>
        <w:rPr>
          <w:rFonts w:ascii="Arial" w:hAnsi="Arial" w:cs="Arial"/>
        </w:rPr>
      </w:pPr>
    </w:p>
    <w:p w14:paraId="37EEDC7F" w14:textId="77777777" w:rsidR="008862C7" w:rsidRDefault="008862C7" w:rsidP="008862C7">
      <w:pPr>
        <w:autoSpaceDE w:val="0"/>
        <w:autoSpaceDN w:val="0"/>
        <w:adjustRightInd w:val="0"/>
        <w:spacing w:line="360" w:lineRule="auto"/>
        <w:jc w:val="both"/>
        <w:rPr>
          <w:rFonts w:ascii="Arial" w:hAnsi="Arial" w:cs="Arial"/>
        </w:rPr>
      </w:pPr>
    </w:p>
    <w:p w14:paraId="618DCD26" w14:textId="77777777" w:rsidR="008862C7" w:rsidRDefault="008862C7" w:rsidP="008862C7">
      <w:pPr>
        <w:autoSpaceDE w:val="0"/>
        <w:autoSpaceDN w:val="0"/>
        <w:adjustRightInd w:val="0"/>
        <w:spacing w:line="360" w:lineRule="auto"/>
        <w:jc w:val="both"/>
        <w:rPr>
          <w:rFonts w:ascii="Arial" w:hAnsi="Arial" w:cs="Arial"/>
        </w:rPr>
      </w:pPr>
    </w:p>
    <w:p w14:paraId="180422EB" w14:textId="77777777" w:rsidR="008862C7" w:rsidRDefault="008862C7" w:rsidP="008862C7">
      <w:pPr>
        <w:autoSpaceDE w:val="0"/>
        <w:autoSpaceDN w:val="0"/>
        <w:adjustRightInd w:val="0"/>
        <w:spacing w:line="360" w:lineRule="auto"/>
        <w:jc w:val="both"/>
        <w:rPr>
          <w:rFonts w:ascii="Arial" w:hAnsi="Arial" w:cs="Arial"/>
        </w:rPr>
      </w:pPr>
    </w:p>
    <w:p w14:paraId="71BC4B5D" w14:textId="77777777" w:rsidR="008862C7" w:rsidRDefault="008862C7" w:rsidP="008862C7">
      <w:pPr>
        <w:autoSpaceDE w:val="0"/>
        <w:autoSpaceDN w:val="0"/>
        <w:adjustRightInd w:val="0"/>
        <w:spacing w:line="360" w:lineRule="auto"/>
        <w:jc w:val="both"/>
        <w:rPr>
          <w:rFonts w:ascii="Arial" w:hAnsi="Arial" w:cs="Arial"/>
        </w:rPr>
      </w:pPr>
    </w:p>
    <w:p w14:paraId="5FA41F40" w14:textId="77777777" w:rsidR="008862C7" w:rsidRDefault="008862C7" w:rsidP="008862C7">
      <w:pPr>
        <w:autoSpaceDE w:val="0"/>
        <w:autoSpaceDN w:val="0"/>
        <w:adjustRightInd w:val="0"/>
        <w:spacing w:line="360" w:lineRule="auto"/>
        <w:jc w:val="both"/>
        <w:rPr>
          <w:rFonts w:ascii="Arial" w:hAnsi="Arial" w:cs="Arial"/>
        </w:rPr>
      </w:pPr>
    </w:p>
    <w:p w14:paraId="364FCCD1" w14:textId="77777777" w:rsidR="008862C7" w:rsidRDefault="008862C7" w:rsidP="008862C7">
      <w:pPr>
        <w:autoSpaceDE w:val="0"/>
        <w:autoSpaceDN w:val="0"/>
        <w:adjustRightInd w:val="0"/>
        <w:jc w:val="both"/>
        <w:rPr>
          <w:rFonts w:ascii="Arial" w:hAnsi="Arial" w:cs="Arial"/>
          <w:b/>
        </w:rPr>
      </w:pPr>
    </w:p>
    <w:p w14:paraId="2E713D5A" w14:textId="77777777" w:rsidR="008862C7" w:rsidRDefault="008862C7" w:rsidP="008862C7">
      <w:pPr>
        <w:autoSpaceDE w:val="0"/>
        <w:autoSpaceDN w:val="0"/>
        <w:adjustRightInd w:val="0"/>
        <w:jc w:val="both"/>
        <w:rPr>
          <w:rFonts w:ascii="Arial" w:hAnsi="Arial" w:cs="Arial"/>
          <w:b/>
        </w:rPr>
      </w:pPr>
    </w:p>
    <w:p w14:paraId="494B6DDA" w14:textId="77777777" w:rsidR="00E72C3F" w:rsidRDefault="00E72C3F" w:rsidP="008862C7">
      <w:pPr>
        <w:autoSpaceDE w:val="0"/>
        <w:autoSpaceDN w:val="0"/>
        <w:adjustRightInd w:val="0"/>
        <w:jc w:val="both"/>
        <w:rPr>
          <w:rFonts w:ascii="Arial" w:hAnsi="Arial" w:cs="Arial"/>
          <w:b/>
        </w:rPr>
      </w:pPr>
    </w:p>
    <w:p w14:paraId="6DC21AF6" w14:textId="77777777" w:rsidR="008862C7" w:rsidRDefault="008862C7" w:rsidP="008862C7">
      <w:pPr>
        <w:autoSpaceDE w:val="0"/>
        <w:autoSpaceDN w:val="0"/>
        <w:adjustRightInd w:val="0"/>
        <w:jc w:val="both"/>
        <w:rPr>
          <w:rFonts w:ascii="Arial" w:hAnsi="Arial" w:cs="Arial"/>
        </w:rPr>
      </w:pPr>
      <w:r>
        <w:rPr>
          <w:rFonts w:ascii="Arial" w:hAnsi="Arial" w:cs="Arial"/>
          <w:b/>
        </w:rPr>
        <w:t>Source :</w:t>
      </w:r>
      <w:r>
        <w:rPr>
          <w:rFonts w:ascii="Arial" w:hAnsi="Arial" w:cs="Arial"/>
        </w:rPr>
        <w:t xml:space="preserve"> Porter (1993)</w:t>
      </w:r>
    </w:p>
    <w:p w14:paraId="4A91363E" w14:textId="77777777" w:rsidR="008862C7" w:rsidRDefault="008862C7" w:rsidP="008862C7">
      <w:pPr>
        <w:autoSpaceDE w:val="0"/>
        <w:autoSpaceDN w:val="0"/>
        <w:adjustRightInd w:val="0"/>
        <w:spacing w:before="240" w:line="360" w:lineRule="auto"/>
        <w:jc w:val="both"/>
        <w:rPr>
          <w:rFonts w:ascii="Arial" w:hAnsi="Arial" w:cs="Arial"/>
          <w:sz w:val="24"/>
        </w:rPr>
      </w:pPr>
      <w:r>
        <w:rPr>
          <w:rFonts w:ascii="Arial" w:hAnsi="Arial" w:cs="Arial"/>
          <w:sz w:val="24"/>
        </w:rPr>
        <w:t xml:space="preserve">Ces cinq forces (Menace des nouveaux entrants, Pouvoir de négociation des fournisseurs, Rivalité entre les firmes du secteur, Pouvoir de négociation des clients, Menace de produits de Remplacement) déterminent la rentabilité d’une industrie par le biais des prix praticables par les firmes, les divers coûts de production supporter ainsi que les investissements qu’elles ont </w:t>
      </w:r>
      <w:r w:rsidR="003403A4">
        <w:rPr>
          <w:rFonts w:ascii="Arial" w:hAnsi="Arial" w:cs="Arial"/>
          <w:sz w:val="24"/>
        </w:rPr>
        <w:t>à réaliser pour être compétitive</w:t>
      </w:r>
      <w:r>
        <w:rPr>
          <w:rFonts w:ascii="Arial" w:hAnsi="Arial" w:cs="Arial"/>
          <w:sz w:val="24"/>
        </w:rPr>
        <w:t>s.</w:t>
      </w:r>
    </w:p>
    <w:p w14:paraId="3FDAD180"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Une des notions fondamentales développées par Porter dans ses travaux sur la compétitivité d’une entreprise est celle de la chaîne de valeur qu’il déduit de sa catégorisation des activités soumises à la concurrence. Nous retrouvons entre autre ces activités principales la production, la commercialisation, la distribution et l’âpres vente du produit ; et les activités de soutien: moyens de production, technologie, ressources humaines et autres fonctions d’ordre infrastructurel. Toutes ces activités sont liées les unes aux autres par une chaîne. </w:t>
      </w:r>
    </w:p>
    <w:p w14:paraId="48A3E155"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En effet, la chaîne de valeur est un système d’interdépendances, un réseau d’activités liées les unes aux autres. C’est en gérant sa chaîne de valeur comme un système harmonisé que l’entreprise peut acquérir un avantage concurrentiel. Elle est à la base de la compétitivité d’une entreprise car elle est un outil qui permet d’appréhender les sources d’un avantage par les coûts.</w:t>
      </w:r>
    </w:p>
    <w:p w14:paraId="52085ECE"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Mucchielli (2002) définit la compétitivité de l’entreprise comme un concept qui exprime les performances de l’entreprise à long terme, c'est-à-dire essentiellement sa croissance. Cette compétitivité peut être reliée alors à ses produits, ses prix et son positionnement. A court terme, </w:t>
      </w:r>
      <w:r>
        <w:rPr>
          <w:rFonts w:ascii="Arial" w:hAnsi="Arial" w:cs="Arial"/>
          <w:sz w:val="24"/>
        </w:rPr>
        <w:lastRenderedPageBreak/>
        <w:t>la compétitivité va s’entendre comme une lutte pour les parts de marché, l’entreprise compétitive sera alors celle qui obtient de bons résultats pour un couple de variables croissance/part de marché.</w:t>
      </w:r>
    </w:p>
    <w:p w14:paraId="2629F861"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Dans la même lancée, McFetridge (1995) associe la compétitivité au niveau des entreprises à la rentabilité, la productivité, la maîtrise des coûts, la valeur ajoutée, la part de marché, l’innovation technologique, et les qualités des produits. La rentabilité est une notion qui fait référence à un seuil (prix ou niveau de production) en dessous duquel le producteur (micro ou macroéconomique) risque des pertes financières. Du point de vue comptable, la compétitivité d’une entreprise se traduit par le résultat de la comparaison des coûts et des prix de revient et éventuellement des soldes intermédiaires de gestion (chiffres d’affaires, résultat d’exploitation, excédent brut d’exploitation…) ou d’autres éléments comptables de façon à identifier l’origine des écarts de coûts.</w:t>
      </w:r>
    </w:p>
    <w:p w14:paraId="332A5829"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sz w:val="24"/>
        </w:rPr>
      </w:pPr>
      <w:bookmarkStart w:id="40" w:name="_Toc395107531"/>
      <w:r>
        <w:rPr>
          <w:rFonts w:ascii="Arial" w:hAnsi="Arial" w:cs="Arial"/>
          <w:b/>
          <w:sz w:val="24"/>
        </w:rPr>
        <w:t>Compétitivité de la nation</w:t>
      </w:r>
      <w:bookmarkEnd w:id="40"/>
    </w:p>
    <w:p w14:paraId="7A84FC33"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Pour un pays, la notion de compétitivité est plus délicate à définir et se rapporte à la place qu’il occupe dans le volume des échanges internationaux et repose donc sur sa capacité à exporter. Elle peut donc s’entendre pour un produit donné qui s’échange sur les marchés mondiaux, pour une branche particulière (automobile, etc.), ou pour l’ensemble de la production (on parle alors de compétitivité globale du pays). Généralement utilisé dans le cadre de l'analyse des performances macro-économiques des pays, la compétitivité internationale est un concept qui est utilisé fréquemment pour comparer certains facteurs caractéristiques de l'économie qui fournissent des éléments d'analyse sur l'évolution des échanges internationaux pour un pays et ses partenaires commerciaux. Il s’agit entre autres de la capacité d’améliorer durablement le niveau de vie des habitants, de générer des augmentations soutenues en productivité, et de s’insérer avec succès sur les marchés internationaux. La compétitivité d’un pays devrait en fait être l’expression de son bien-être et de l’évolution de celui-ci.</w:t>
      </w:r>
    </w:p>
    <w:p w14:paraId="5ACC3287"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Ce concept englobe en premier lieu des facteurs qualitatifs difficilement quantifiables tels que, la capacité d'innovation technologique, et le degré de spécialisation. Pour certains produits, leur qualité ou encore la valeur du service après-vente sont autant de facteurs susceptibles d'influencer favorablement la performance </w:t>
      </w:r>
      <w:r>
        <w:rPr>
          <w:rFonts w:ascii="Arial" w:hAnsi="Arial" w:cs="Arial"/>
          <w:bCs/>
          <w:sz w:val="24"/>
        </w:rPr>
        <w:t xml:space="preserve">à </w:t>
      </w:r>
      <w:r>
        <w:rPr>
          <w:rFonts w:ascii="Arial" w:hAnsi="Arial" w:cs="Arial"/>
          <w:sz w:val="24"/>
        </w:rPr>
        <w:t xml:space="preserve">l'exportation d'un pays. De même, une forte croissance de la productivité est souvent recherchée par les pays pour améliorer leur position compétitive. Mais il n'est pas toujours garanti que des éléments structurels favorables de cette sorte entraînent des ventes plus importantes sur les marchés extérieurs. Au contraire, ils peuvent </w:t>
      </w:r>
      <w:r>
        <w:rPr>
          <w:rFonts w:ascii="Arial" w:hAnsi="Arial" w:cs="Arial"/>
          <w:sz w:val="24"/>
        </w:rPr>
        <w:lastRenderedPageBreak/>
        <w:t>se traduire par une amélioration des termes de l'échange associée à un taux de change élevé, tendant à égaliser les performances à l'exportation. C'est pourquoi, outre le fait que ces facteurs sont difficiles à mesurer de manière quantitative, on est amené à considérer des mesures plus restrictives de la notion de compétitivité, à savoir des mesures sur les différences de prix ou de coût ou, plus précisément, sur leurs variations relatives.</w:t>
      </w:r>
    </w:p>
    <w:p w14:paraId="66BB4493"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sz w:val="24"/>
        </w:rPr>
      </w:pPr>
      <w:bookmarkStart w:id="41" w:name="_Toc395107532"/>
      <w:r>
        <w:rPr>
          <w:rFonts w:ascii="Arial" w:hAnsi="Arial" w:cs="Arial"/>
          <w:b/>
          <w:sz w:val="24"/>
        </w:rPr>
        <w:t>Compétitivité et développement durable.</w:t>
      </w:r>
      <w:bookmarkEnd w:id="41"/>
    </w:p>
    <w:p w14:paraId="3942ABF2" w14:textId="77777777" w:rsidR="008862C7" w:rsidRDefault="008862C7" w:rsidP="008862C7">
      <w:pPr>
        <w:spacing w:line="360" w:lineRule="auto"/>
        <w:jc w:val="both"/>
        <w:rPr>
          <w:rFonts w:ascii="Arial" w:hAnsi="Arial" w:cs="Arial"/>
          <w:b/>
          <w:sz w:val="24"/>
        </w:rPr>
      </w:pPr>
      <w:r>
        <w:rPr>
          <w:rFonts w:ascii="Arial" w:hAnsi="Arial" w:cs="Arial"/>
          <w:sz w:val="24"/>
        </w:rPr>
        <w:t>Défini comme un « développement qui répond aux besoins du présent sans compromettre la capacité des générations futures à répondre aux leurs » (ONU 1987)</w:t>
      </w:r>
      <w:r>
        <w:rPr>
          <w:rStyle w:val="Appelnotedebasdep"/>
          <w:rFonts w:ascii="Arial" w:hAnsi="Arial" w:cs="Arial"/>
          <w:sz w:val="24"/>
        </w:rPr>
        <w:footnoteReference w:id="7"/>
      </w:r>
      <w:r>
        <w:rPr>
          <w:rFonts w:ascii="Arial" w:hAnsi="Arial" w:cs="Arial"/>
          <w:sz w:val="24"/>
        </w:rPr>
        <w:t>, le développement durable est un modèle de développement économique et social visant à assurer la pérennité du patrimoine naturel de la Terre.</w:t>
      </w:r>
      <w:r>
        <w:rPr>
          <w:rFonts w:ascii="Arial" w:hAnsi="Arial" w:cs="Arial"/>
          <w:b/>
          <w:sz w:val="24"/>
        </w:rPr>
        <w:t xml:space="preserve"> </w:t>
      </w:r>
      <w:r>
        <w:rPr>
          <w:rFonts w:ascii="Arial" w:hAnsi="Arial" w:cs="Arial"/>
          <w:sz w:val="24"/>
        </w:rPr>
        <w:t>Il s’agit dans ce concept de trouver les moyens d’éviter une croissance destructrice de l’environnement (croissance démographique, industrielle, urbaine) et, par contrecoup, menaçant l’avenir de l’homme sur une planète dont on perçoit enfin qu’elle a des possibilités limitées et que ses ressources ne peuvent être exploitées et dilapidées indéfiniment.</w:t>
      </w:r>
    </w:p>
    <w:p w14:paraId="4DCB3602"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De ce fait, on observe de plus en plus une association croissante des notions de compétitivité et de durabilité. Cette association des enjeux de compétitivité et de la durabilité n’est pas sans soulever de contradictions. S’agissant d’un secteur aussi concurrentiel que le secteur agricole, les enjeux de la durabilité environnementale et sociale sont généralement perçus par les acteurs privés comme affectant leur compétitivité à court terme. Si la capacité des acteurs économiques à intégrer un niveau d’exigences environnementales contraignant et à s’en servir pour construire une stratégie gagnante de différenciation de leurs produits est souvent mise en avant comme un exemple de convergence entre compétitivité et durabilité, il n’en reste pas moins que ces démarches sont difficile à mettre en œuvre sur des marchés très concurrentiels et où les attentes du citoyen peuvent diverger des actes du consommateur. </w:t>
      </w:r>
    </w:p>
    <w:p w14:paraId="07E3D56E"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Vu sous cet angle, l’entreprise la plus compétitive sera celle qui en plus de ces avantages comparatifs en terme des prix (coûts) et de qualité devra intégrer dans son système productif la dimension environnementale. Ainsi conçue, la compétitivité peut être définie dans un contexte de durabilité comme étant « la capacité d’une entreprise à mettre sur le marché de nouvelles formes </w:t>
      </w:r>
      <w:r>
        <w:rPr>
          <w:rFonts w:ascii="Arial" w:hAnsi="Arial" w:cs="Arial"/>
          <w:sz w:val="24"/>
        </w:rPr>
        <w:lastRenderedPageBreak/>
        <w:t>de produit respectueux de l’environnement tout en gardant un avantage concurrentiel sur ses concurrents ».</w:t>
      </w:r>
    </w:p>
    <w:p w14:paraId="4A7F8340" w14:textId="77777777" w:rsidR="008862C7" w:rsidRDefault="008862C7" w:rsidP="008862C7">
      <w:pPr>
        <w:pStyle w:val="Paragraphedeliste"/>
        <w:numPr>
          <w:ilvl w:val="0"/>
          <w:numId w:val="10"/>
        </w:numPr>
        <w:autoSpaceDE w:val="0"/>
        <w:autoSpaceDN w:val="0"/>
        <w:adjustRightInd w:val="0"/>
        <w:spacing w:after="120" w:line="360" w:lineRule="auto"/>
        <w:jc w:val="both"/>
        <w:outlineLvl w:val="6"/>
        <w:rPr>
          <w:rFonts w:ascii="Arial" w:hAnsi="Arial" w:cs="Arial"/>
          <w:b/>
          <w:bCs/>
          <w:sz w:val="24"/>
        </w:rPr>
      </w:pPr>
      <w:bookmarkStart w:id="42" w:name="_Toc395107533"/>
      <w:r>
        <w:rPr>
          <w:rFonts w:ascii="Arial" w:hAnsi="Arial" w:cs="Arial"/>
          <w:b/>
          <w:bCs/>
          <w:sz w:val="24"/>
        </w:rPr>
        <w:t>Compétitivité, politique économique et temporalité</w:t>
      </w:r>
      <w:bookmarkEnd w:id="42"/>
    </w:p>
    <w:p w14:paraId="18DB0120"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La notion de compétitivité s’emploie plus généralement dans une temporalité de court terme alors que la durabilité, dans ses trois dimensions économique, sociale et environnementale, renverrait davantage au long terme. Les stratégies de réduction de coûts, choisies ou subies, permettent certes d’améliorer la compétitivité de court terme des entreprises, mais elles peuvent s’avérer destructrices sur le long terme, quand elles affectent la capacité d’investissement et de modernisation de l’entreprise ou de certains maillons d’une filière. Outre cette dimension temporelle, la généralisation de la notion de compétitivité, dans le monde de l’entreprise, et son application à la politique économique d’un Etat, ont pu être dénoncées par certains économistes. Oubliant que la consommation constitue un moteur de l’économie au moins égal à l’innovation, certaines stratégies visant la conquête de parts de marchés par la modération salariale, la désinflation compétitive ou la dévaluation compétitive sont à l’origine de politiques économiques non coopératives qui, si elles peuvent se révéler payantes à court terme, ne pourront sur le long terme que conduire à la destruction, au niveau agrégé, de richesses et d’activités (Centre d’étude et prospective, 2012).</w:t>
      </w:r>
    </w:p>
    <w:p w14:paraId="24C6D80E"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Les liens entre les différentes dimensions de la compétitivité économique sont difficiles à établir de manière exhaustive. A la compétitivité-prix, par exemple, l’on peut aisément faire correspondre les trois niveaux d’agrégation (Etat, secteur et entreprise), et de nombreux indicateurs de mesures. Par contre, la compétitivité hors-prix est plus difficile à apprécier. C’est pourquoi nous examinons à la section suivante les principaux facteurs qui peuvent influencer la compétitivité d’une entité économique.</w:t>
      </w:r>
    </w:p>
    <w:p w14:paraId="7B5B6A19" w14:textId="77777777" w:rsidR="008862C7" w:rsidRDefault="008862C7" w:rsidP="008862C7">
      <w:pPr>
        <w:pStyle w:val="Paragraphedeliste"/>
        <w:numPr>
          <w:ilvl w:val="1"/>
          <w:numId w:val="8"/>
        </w:numPr>
        <w:spacing w:after="120" w:line="360" w:lineRule="auto"/>
        <w:jc w:val="both"/>
        <w:outlineLvl w:val="3"/>
        <w:rPr>
          <w:rFonts w:ascii="Arial" w:hAnsi="Arial" w:cs="Arial"/>
          <w:b/>
          <w:sz w:val="24"/>
        </w:rPr>
      </w:pPr>
      <w:bookmarkStart w:id="43" w:name="_Toc395107534"/>
      <w:r>
        <w:rPr>
          <w:rFonts w:ascii="Arial" w:hAnsi="Arial" w:cs="Arial"/>
          <w:b/>
          <w:sz w:val="24"/>
        </w:rPr>
        <w:t>Déterminants et indicateur de mesure de la compétitivité</w:t>
      </w:r>
      <w:bookmarkEnd w:id="43"/>
    </w:p>
    <w:p w14:paraId="7D023930" w14:textId="77777777" w:rsidR="008862C7" w:rsidRDefault="008862C7" w:rsidP="008862C7">
      <w:pPr>
        <w:pStyle w:val="Paragraphedeliste"/>
        <w:numPr>
          <w:ilvl w:val="2"/>
          <w:numId w:val="8"/>
        </w:numPr>
        <w:spacing w:after="120" w:line="360" w:lineRule="auto"/>
        <w:jc w:val="both"/>
        <w:outlineLvl w:val="4"/>
        <w:rPr>
          <w:rFonts w:ascii="Arial" w:hAnsi="Arial" w:cs="Arial"/>
          <w:b/>
          <w:sz w:val="24"/>
        </w:rPr>
      </w:pPr>
      <w:bookmarkStart w:id="44" w:name="_Toc395107535"/>
      <w:r>
        <w:rPr>
          <w:rFonts w:ascii="Arial" w:hAnsi="Arial" w:cs="Arial"/>
          <w:b/>
          <w:sz w:val="24"/>
        </w:rPr>
        <w:t>Déterminants de la compétitivité</w:t>
      </w:r>
      <w:bookmarkEnd w:id="44"/>
      <w:r>
        <w:rPr>
          <w:rFonts w:ascii="Arial" w:hAnsi="Arial" w:cs="Arial"/>
          <w:b/>
          <w:sz w:val="24"/>
        </w:rPr>
        <w:t xml:space="preserve"> </w:t>
      </w:r>
    </w:p>
    <w:p w14:paraId="5958ED3B" w14:textId="77777777" w:rsidR="008862C7" w:rsidRDefault="008862C7" w:rsidP="008862C7">
      <w:pPr>
        <w:spacing w:line="360" w:lineRule="auto"/>
        <w:jc w:val="both"/>
        <w:rPr>
          <w:rFonts w:ascii="Arial" w:hAnsi="Arial" w:cs="Arial"/>
          <w:sz w:val="24"/>
        </w:rPr>
      </w:pPr>
      <w:r>
        <w:rPr>
          <w:rFonts w:ascii="Arial" w:hAnsi="Arial" w:cs="Arial"/>
          <w:sz w:val="24"/>
        </w:rPr>
        <w:t>De même que les économistes peinent à trouver un consensus sur la définition du concept, les facteurs explicatifs de la compétitivité économique demeurent un sujet en débat. Un passage en revue plus ou moins exhaustive des principales littératures traitant de la compétitivité des filières agro-alimentaires</w:t>
      </w:r>
      <w:r>
        <w:rPr>
          <w:rFonts w:ascii="Arial" w:eastAsia="LiberationSans-Identity-H" w:hAnsi="Arial" w:cs="Arial"/>
          <w:sz w:val="24"/>
        </w:rPr>
        <w:t xml:space="preserve"> et des entreprises (Porter, 1990 ; Lachaal, 2001 ; Hassainya, et Khamassi-El Efrit, 2001)</w:t>
      </w:r>
      <w:r>
        <w:rPr>
          <w:rFonts w:ascii="Arial" w:hAnsi="Arial" w:cs="Arial"/>
          <w:sz w:val="44"/>
        </w:rPr>
        <w:t xml:space="preserve"> </w:t>
      </w:r>
      <w:r>
        <w:rPr>
          <w:rFonts w:ascii="Arial" w:hAnsi="Arial" w:cs="Arial"/>
          <w:sz w:val="24"/>
        </w:rPr>
        <w:t xml:space="preserve">de </w:t>
      </w:r>
      <w:r w:rsidR="00E72C3F">
        <w:rPr>
          <w:rFonts w:ascii="Arial" w:hAnsi="Arial" w:cs="Arial"/>
          <w:sz w:val="24"/>
        </w:rPr>
        <w:t>par</w:t>
      </w:r>
      <w:r>
        <w:rPr>
          <w:rFonts w:ascii="Arial" w:hAnsi="Arial" w:cs="Arial"/>
          <w:sz w:val="24"/>
        </w:rPr>
        <w:t xml:space="preserve"> le monde, permet de proposer un cadre conceptuel modifié et adapté, intégrant les différents déterminants de la compétitivité. Ainsi, d’une approche statique de la compétitivité internationale ne prenant en compte que seuls les avantages comparatifs ou les </w:t>
      </w:r>
      <w:r>
        <w:rPr>
          <w:rFonts w:ascii="Arial" w:hAnsi="Arial" w:cs="Arial"/>
          <w:sz w:val="24"/>
        </w:rPr>
        <w:lastRenderedPageBreak/>
        <w:t xml:space="preserve">facteurs coûts, une approche dynamique incluant les facteurs structurels de la compétitivité peut être proposée. A cela s’ajoute une seconde approche inspirée de l'étude de Brinkman (1987) sur la position concurrentielle de l'agriculture canadienne qui distingue la compétitivité nationale de la compétitivité internationale. </w:t>
      </w:r>
    </w:p>
    <w:p w14:paraId="4391E7F2" w14:textId="77777777" w:rsidR="008862C7" w:rsidRDefault="008862C7" w:rsidP="008862C7">
      <w:pPr>
        <w:pStyle w:val="Paragraphedeliste"/>
        <w:numPr>
          <w:ilvl w:val="3"/>
          <w:numId w:val="8"/>
        </w:numPr>
        <w:spacing w:after="0" w:line="360" w:lineRule="auto"/>
        <w:jc w:val="both"/>
        <w:outlineLvl w:val="5"/>
        <w:rPr>
          <w:rFonts w:ascii="Arial" w:hAnsi="Arial" w:cs="Arial"/>
          <w:b/>
          <w:sz w:val="24"/>
        </w:rPr>
      </w:pPr>
      <w:bookmarkStart w:id="45" w:name="_Toc395107536"/>
      <w:r>
        <w:rPr>
          <w:rFonts w:ascii="Arial" w:hAnsi="Arial" w:cs="Arial"/>
          <w:b/>
          <w:sz w:val="24"/>
        </w:rPr>
        <w:t>Classification des déterminants de la compétitivité selon les critères prix et qualité</w:t>
      </w:r>
      <w:bookmarkEnd w:id="45"/>
    </w:p>
    <w:p w14:paraId="4F7BFDE3" w14:textId="77777777" w:rsidR="008862C7" w:rsidRDefault="008862C7" w:rsidP="008862C7">
      <w:pPr>
        <w:spacing w:line="360" w:lineRule="auto"/>
        <w:jc w:val="both"/>
        <w:rPr>
          <w:rFonts w:ascii="Arial" w:hAnsi="Arial" w:cs="Arial"/>
          <w:sz w:val="24"/>
        </w:rPr>
      </w:pPr>
      <w:r>
        <w:rPr>
          <w:rFonts w:ascii="Arial" w:hAnsi="Arial" w:cs="Arial"/>
          <w:sz w:val="24"/>
        </w:rPr>
        <w:t>En se basant sur la typologie de la compétitivité prix et de la compétitivité structurelle, on peut distinguer huit principaux facteurs directs qui influencent la compétitivité d’une entité économique quel que soit le niveau d’agrégation retenue dans l’étude. De ces derniers, trois facteurs influencent la compétitivité prix (taux de change, compétitivité coût, politique de charge) et cinq facteurs influencent la compétitivité structurelle (politique marketing, innovation, qualité totale, juste à temps, service après-vente).</w:t>
      </w:r>
    </w:p>
    <w:p w14:paraId="62C7D889" w14:textId="77777777" w:rsidR="00E72C3F" w:rsidRDefault="00E72C3F" w:rsidP="008862C7">
      <w:pPr>
        <w:spacing w:line="360" w:lineRule="auto"/>
        <w:jc w:val="both"/>
        <w:rPr>
          <w:rFonts w:ascii="Arial" w:hAnsi="Arial" w:cs="Arial"/>
          <w:sz w:val="24"/>
        </w:rPr>
      </w:pPr>
    </w:p>
    <w:p w14:paraId="27CAEF44" w14:textId="77777777" w:rsidR="00E72C3F" w:rsidRDefault="00E72C3F" w:rsidP="008862C7">
      <w:pPr>
        <w:spacing w:line="360" w:lineRule="auto"/>
        <w:jc w:val="both"/>
        <w:rPr>
          <w:rFonts w:ascii="Arial" w:hAnsi="Arial" w:cs="Arial"/>
          <w:sz w:val="24"/>
        </w:rPr>
      </w:pPr>
    </w:p>
    <w:p w14:paraId="2F49C1F8" w14:textId="77777777" w:rsidR="00E72C3F" w:rsidRDefault="00E72C3F" w:rsidP="008862C7">
      <w:pPr>
        <w:spacing w:line="360" w:lineRule="auto"/>
        <w:jc w:val="both"/>
        <w:rPr>
          <w:rFonts w:ascii="Arial" w:hAnsi="Arial" w:cs="Arial"/>
          <w:sz w:val="24"/>
        </w:rPr>
      </w:pPr>
    </w:p>
    <w:p w14:paraId="3BA31EC3" w14:textId="77777777" w:rsidR="00E72C3F" w:rsidRDefault="00E72C3F" w:rsidP="008862C7">
      <w:pPr>
        <w:spacing w:line="360" w:lineRule="auto"/>
        <w:jc w:val="both"/>
        <w:rPr>
          <w:rFonts w:ascii="Arial" w:hAnsi="Arial" w:cs="Arial"/>
          <w:sz w:val="24"/>
        </w:rPr>
      </w:pPr>
    </w:p>
    <w:p w14:paraId="7BDFE63E" w14:textId="77777777" w:rsidR="00E72C3F" w:rsidRDefault="00E72C3F" w:rsidP="008862C7">
      <w:pPr>
        <w:spacing w:line="360" w:lineRule="auto"/>
        <w:jc w:val="both"/>
        <w:rPr>
          <w:rFonts w:ascii="Arial" w:hAnsi="Arial" w:cs="Arial"/>
          <w:sz w:val="24"/>
        </w:rPr>
      </w:pPr>
    </w:p>
    <w:p w14:paraId="5790DCB2" w14:textId="77777777" w:rsidR="00E72C3F" w:rsidRDefault="00E72C3F" w:rsidP="008862C7">
      <w:pPr>
        <w:spacing w:line="360" w:lineRule="auto"/>
        <w:jc w:val="both"/>
        <w:rPr>
          <w:rFonts w:ascii="Arial" w:hAnsi="Arial" w:cs="Arial"/>
          <w:sz w:val="24"/>
        </w:rPr>
      </w:pPr>
    </w:p>
    <w:p w14:paraId="6B6F8263" w14:textId="77777777" w:rsidR="00E72C3F" w:rsidRDefault="00E72C3F" w:rsidP="008862C7">
      <w:pPr>
        <w:spacing w:line="360" w:lineRule="auto"/>
        <w:jc w:val="both"/>
        <w:rPr>
          <w:rFonts w:ascii="Arial" w:hAnsi="Arial" w:cs="Arial"/>
          <w:sz w:val="24"/>
        </w:rPr>
      </w:pPr>
    </w:p>
    <w:p w14:paraId="2FE9F51F" w14:textId="77777777" w:rsidR="00E72C3F" w:rsidRDefault="00E72C3F" w:rsidP="008862C7">
      <w:pPr>
        <w:spacing w:line="360" w:lineRule="auto"/>
        <w:jc w:val="both"/>
        <w:rPr>
          <w:rFonts w:ascii="Arial" w:hAnsi="Arial" w:cs="Arial"/>
          <w:sz w:val="24"/>
        </w:rPr>
      </w:pPr>
    </w:p>
    <w:p w14:paraId="3D6D6221" w14:textId="77777777" w:rsidR="00E72C3F" w:rsidRDefault="00E72C3F" w:rsidP="008862C7">
      <w:pPr>
        <w:spacing w:line="360" w:lineRule="auto"/>
        <w:jc w:val="both"/>
        <w:rPr>
          <w:rFonts w:ascii="Arial" w:hAnsi="Arial" w:cs="Arial"/>
          <w:sz w:val="24"/>
        </w:rPr>
      </w:pPr>
    </w:p>
    <w:p w14:paraId="285A6AD9" w14:textId="77777777" w:rsidR="00E72C3F" w:rsidRDefault="00E72C3F" w:rsidP="008862C7">
      <w:pPr>
        <w:spacing w:line="360" w:lineRule="auto"/>
        <w:jc w:val="both"/>
        <w:rPr>
          <w:rFonts w:ascii="Arial" w:hAnsi="Arial" w:cs="Arial"/>
          <w:sz w:val="24"/>
        </w:rPr>
      </w:pPr>
    </w:p>
    <w:p w14:paraId="2FC1DF06" w14:textId="77777777" w:rsidR="00E72C3F" w:rsidRDefault="00E72C3F" w:rsidP="008862C7">
      <w:pPr>
        <w:spacing w:line="360" w:lineRule="auto"/>
        <w:jc w:val="both"/>
        <w:rPr>
          <w:rFonts w:ascii="Arial" w:hAnsi="Arial" w:cs="Arial"/>
          <w:sz w:val="24"/>
        </w:rPr>
      </w:pPr>
    </w:p>
    <w:p w14:paraId="3B95BB01" w14:textId="77777777" w:rsidR="00E72C3F" w:rsidRDefault="00E72C3F" w:rsidP="008862C7">
      <w:pPr>
        <w:spacing w:line="360" w:lineRule="auto"/>
        <w:jc w:val="both"/>
        <w:rPr>
          <w:rFonts w:ascii="Arial" w:hAnsi="Arial" w:cs="Arial"/>
          <w:sz w:val="24"/>
        </w:rPr>
      </w:pPr>
    </w:p>
    <w:p w14:paraId="7A33D653" w14:textId="77777777" w:rsidR="00E72C3F" w:rsidRDefault="00E72C3F" w:rsidP="008862C7">
      <w:pPr>
        <w:spacing w:line="360" w:lineRule="auto"/>
        <w:jc w:val="both"/>
        <w:rPr>
          <w:rFonts w:ascii="Arial" w:hAnsi="Arial" w:cs="Arial"/>
          <w:sz w:val="24"/>
        </w:rPr>
      </w:pPr>
    </w:p>
    <w:p w14:paraId="31B21A80" w14:textId="77777777" w:rsidR="00E72C3F" w:rsidRDefault="00E72C3F" w:rsidP="008862C7">
      <w:pPr>
        <w:spacing w:line="360" w:lineRule="auto"/>
        <w:jc w:val="both"/>
        <w:rPr>
          <w:rFonts w:ascii="Arial" w:hAnsi="Arial" w:cs="Arial"/>
          <w:sz w:val="24"/>
        </w:rPr>
      </w:pPr>
    </w:p>
    <w:p w14:paraId="18AF6D28" w14:textId="77777777" w:rsidR="00E72C3F" w:rsidRDefault="00E72C3F" w:rsidP="008862C7">
      <w:pPr>
        <w:spacing w:line="360" w:lineRule="auto"/>
        <w:jc w:val="both"/>
        <w:rPr>
          <w:rFonts w:ascii="Arial" w:hAnsi="Arial" w:cs="Arial"/>
          <w:sz w:val="24"/>
        </w:rPr>
      </w:pPr>
    </w:p>
    <w:p w14:paraId="1CFB440B" w14:textId="77777777" w:rsidR="008862C7" w:rsidRDefault="008862C7" w:rsidP="008862C7">
      <w:pPr>
        <w:spacing w:after="0" w:line="360" w:lineRule="auto"/>
        <w:jc w:val="both"/>
        <w:rPr>
          <w:rFonts w:ascii="Arial" w:hAnsi="Arial" w:cs="Arial"/>
          <w:b/>
          <w:sz w:val="24"/>
          <w:szCs w:val="24"/>
        </w:rPr>
      </w:pPr>
      <w:r>
        <w:rPr>
          <w:rFonts w:ascii="Arial" w:hAnsi="Arial" w:cs="Arial"/>
          <w:b/>
          <w:sz w:val="24"/>
          <w:szCs w:val="24"/>
        </w:rPr>
        <w:lastRenderedPageBreak/>
        <w:t>Figure 1.2 : Principaux facteurs de la compétitivité prix et structurelle</w:t>
      </w:r>
    </w:p>
    <w:p w14:paraId="6E6E096C" w14:textId="77777777" w:rsidR="008862C7" w:rsidRDefault="00E72C3F" w:rsidP="008862C7">
      <w:pPr>
        <w:spacing w:line="360" w:lineRule="auto"/>
        <w:ind w:firstLine="709"/>
        <w:jc w:val="both"/>
        <w:rPr>
          <w:rFonts w:ascii="Arial" w:hAnsi="Arial" w:cs="Arial"/>
        </w:rPr>
      </w:pPr>
      <w:r>
        <w:rPr>
          <w:rFonts w:ascii="Calibri" w:hAnsi="Calibri" w:cs="Times New Roman"/>
          <w:noProof/>
          <w:lang w:eastAsia="fr-FR"/>
        </w:rPr>
        <mc:AlternateContent>
          <mc:Choice Requires="wpg">
            <w:drawing>
              <wp:anchor distT="0" distB="0" distL="114300" distR="114300" simplePos="0" relativeHeight="251678720" behindDoc="0" locked="0" layoutInCell="1" allowOverlap="1" wp14:anchorId="1FC2CE55" wp14:editId="0F725CB0">
                <wp:simplePos x="0" y="0"/>
                <wp:positionH relativeFrom="column">
                  <wp:posOffset>454429</wp:posOffset>
                </wp:positionH>
                <wp:positionV relativeFrom="paragraph">
                  <wp:posOffset>8890</wp:posOffset>
                </wp:positionV>
                <wp:extent cx="6014594" cy="7324090"/>
                <wp:effectExtent l="19050" t="19050" r="43815" b="29210"/>
                <wp:wrapNone/>
                <wp:docPr id="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594" cy="7324090"/>
                          <a:chOff x="10734" y="10664"/>
                          <a:chExt cx="601" cy="530"/>
                        </a:xfrm>
                      </wpg:grpSpPr>
                      <wps:wsp>
                        <wps:cNvPr id="83" name="Text Box 84"/>
                        <wps:cNvSpPr txBox="1">
                          <a:spLocks noChangeArrowheads="1"/>
                        </wps:cNvSpPr>
                        <wps:spPr bwMode="auto">
                          <a:xfrm>
                            <a:off x="10734" y="10664"/>
                            <a:ext cx="601" cy="5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C9185E" w14:textId="77777777" w:rsidR="00B63507" w:rsidRDefault="00B63507" w:rsidP="008862C7">
                              <w:pPr>
                                <w:widowControl w:val="0"/>
                                <w:spacing w:line="271" w:lineRule="auto"/>
                              </w:pPr>
                              <w:r>
                                <w:t> </w:t>
                              </w:r>
                            </w:p>
                            <w:p w14:paraId="35B8B3AD" w14:textId="77777777" w:rsidR="00B63507" w:rsidRDefault="00B63507" w:rsidP="008862C7">
                              <w:pPr>
                                <w:widowControl w:val="0"/>
                                <w:spacing w:line="271" w:lineRule="auto"/>
                              </w:pPr>
                              <w:r>
                                <w:t> </w:t>
                              </w:r>
                            </w:p>
                            <w:p w14:paraId="09D1D269" w14:textId="77777777" w:rsidR="00B63507" w:rsidRDefault="00B63507" w:rsidP="008862C7"/>
                            <w:p w14:paraId="5181C276" w14:textId="77777777" w:rsidR="00B63507" w:rsidRDefault="00B63507" w:rsidP="008862C7">
                              <w:r>
                                <w:t xml:space="preserve"> </w:t>
                              </w:r>
                            </w:p>
                          </w:txbxContent>
                        </wps:txbx>
                        <wps:bodyPr rot="0" vert="horz" wrap="square" lIns="91440" tIns="45720" rIns="91440" bIns="45720" anchor="t" anchorCtr="0" upright="1">
                          <a:noAutofit/>
                        </wps:bodyPr>
                      </wps:wsp>
                      <wps:wsp>
                        <wps:cNvPr id="85" name="AutoShape 85"/>
                        <wps:cNvSpPr>
                          <a:spLocks noChangeArrowheads="1"/>
                        </wps:cNvSpPr>
                        <wps:spPr bwMode="auto">
                          <a:xfrm>
                            <a:off x="10745" y="10876"/>
                            <a:ext cx="113" cy="31"/>
                          </a:xfrm>
                          <a:prstGeom prst="roundRect">
                            <a:avLst>
                              <a:gd name="adj" fmla="val 16667"/>
                            </a:avLst>
                          </a:prstGeom>
                          <a:solidFill>
                            <a:srgbClr val="FDE9D9"/>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CF7CD1" w14:textId="77777777" w:rsidR="00B63507" w:rsidRDefault="00B63507" w:rsidP="008862C7">
                              <w:pPr>
                                <w:widowControl w:val="0"/>
                                <w:spacing w:line="271" w:lineRule="auto"/>
                                <w:jc w:val="center"/>
                              </w:pPr>
                              <w:r>
                                <w:t>Compétitivité</w:t>
                              </w:r>
                            </w:p>
                          </w:txbxContent>
                        </wps:txbx>
                        <wps:bodyPr rot="0" vert="horz" wrap="square" lIns="91440" tIns="45720" rIns="91440" bIns="45720" anchor="t" anchorCtr="0" upright="1">
                          <a:noAutofit/>
                        </wps:bodyPr>
                      </wps:wsp>
                      <wps:wsp>
                        <wps:cNvPr id="86" name="AutoShape 86"/>
                        <wps:cNvSpPr>
                          <a:spLocks noChangeArrowheads="1"/>
                        </wps:cNvSpPr>
                        <wps:spPr bwMode="auto">
                          <a:xfrm>
                            <a:off x="11173" y="11117"/>
                            <a:ext cx="121" cy="5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1F7EB" w14:textId="77777777" w:rsidR="00B63507" w:rsidRDefault="00B63507" w:rsidP="008862C7">
                              <w:pPr>
                                <w:widowControl w:val="0"/>
                                <w:jc w:val="center"/>
                              </w:pPr>
                              <w:r>
                                <w:t>Investissements directs à l’étranger</w:t>
                              </w:r>
                            </w:p>
                          </w:txbxContent>
                        </wps:txbx>
                        <wps:bodyPr rot="0" vert="horz" wrap="square" lIns="91440" tIns="45720" rIns="91440" bIns="45720" anchor="t" anchorCtr="0" upright="1">
                          <a:noAutofit/>
                        </wps:bodyPr>
                      </wps:wsp>
                      <wps:wsp>
                        <wps:cNvPr id="87" name="AutoShape 87"/>
                        <wps:cNvSpPr>
                          <a:spLocks noChangeArrowheads="1"/>
                        </wps:cNvSpPr>
                        <wps:spPr bwMode="auto">
                          <a:xfrm>
                            <a:off x="11034" y="11117"/>
                            <a:ext cx="124" cy="40"/>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C73B33" w14:textId="77777777" w:rsidR="00B63507" w:rsidRDefault="00B63507" w:rsidP="008862C7">
                              <w:pPr>
                                <w:widowControl w:val="0"/>
                                <w:jc w:val="center"/>
                              </w:pPr>
                              <w:r>
                                <w:t>Service après-vente</w:t>
                              </w:r>
                            </w:p>
                            <w:p w14:paraId="783704BE"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wps:wsp>
                        <wps:cNvPr id="88" name="AutoShape 88"/>
                        <wps:cNvSpPr>
                          <a:spLocks noChangeArrowheads="1"/>
                        </wps:cNvSpPr>
                        <wps:spPr bwMode="auto">
                          <a:xfrm>
                            <a:off x="11034" y="11062"/>
                            <a:ext cx="123" cy="34"/>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293F83" w14:textId="77777777" w:rsidR="00B63507" w:rsidRDefault="00B63507" w:rsidP="008862C7">
                              <w:pPr>
                                <w:widowControl w:val="0"/>
                                <w:spacing w:line="271" w:lineRule="auto"/>
                                <w:jc w:val="center"/>
                              </w:pPr>
                              <w:r>
                                <w:t>Juste à temps</w:t>
                              </w:r>
                            </w:p>
                          </w:txbxContent>
                        </wps:txbx>
                        <wps:bodyPr rot="0" vert="horz" wrap="square" lIns="91440" tIns="45720" rIns="91440" bIns="45720" anchor="t" anchorCtr="0" upright="1">
                          <a:noAutofit/>
                        </wps:bodyPr>
                      </wps:wsp>
                      <wps:wsp>
                        <wps:cNvPr id="89" name="AutoShape 89"/>
                        <wps:cNvSpPr>
                          <a:spLocks noChangeArrowheads="1"/>
                        </wps:cNvSpPr>
                        <wps:spPr bwMode="auto">
                          <a:xfrm>
                            <a:off x="11031" y="11010"/>
                            <a:ext cx="124" cy="32"/>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08FF89" w14:textId="77777777" w:rsidR="00B63507" w:rsidRDefault="00B63507" w:rsidP="008862C7">
                              <w:pPr>
                                <w:widowControl w:val="0"/>
                                <w:spacing w:line="271" w:lineRule="auto"/>
                                <w:jc w:val="center"/>
                              </w:pPr>
                              <w:r>
                                <w:t>Qualité totale</w:t>
                              </w:r>
                            </w:p>
                          </w:txbxContent>
                        </wps:txbx>
                        <wps:bodyPr rot="0" vert="horz" wrap="square" lIns="91440" tIns="45720" rIns="91440" bIns="45720" anchor="t" anchorCtr="0" upright="1">
                          <a:noAutofit/>
                        </wps:bodyPr>
                      </wps:wsp>
                      <wps:wsp>
                        <wps:cNvPr id="90" name="AutoShape 90"/>
                        <wps:cNvSpPr>
                          <a:spLocks noChangeArrowheads="1"/>
                        </wps:cNvSpPr>
                        <wps:spPr bwMode="auto">
                          <a:xfrm>
                            <a:off x="11031" y="10958"/>
                            <a:ext cx="124" cy="28"/>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803119" w14:textId="77777777" w:rsidR="00B63507" w:rsidRDefault="00B63507" w:rsidP="008862C7">
                              <w:pPr>
                                <w:widowControl w:val="0"/>
                                <w:jc w:val="center"/>
                              </w:pPr>
                              <w:r>
                                <w:t>Innovation</w:t>
                              </w:r>
                            </w:p>
                            <w:p w14:paraId="2BE8428E"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wps:wsp>
                        <wps:cNvPr id="91" name="AutoShape 91"/>
                        <wps:cNvSpPr>
                          <a:spLocks noChangeArrowheads="1"/>
                        </wps:cNvSpPr>
                        <wps:spPr bwMode="auto">
                          <a:xfrm>
                            <a:off x="11028" y="10761"/>
                            <a:ext cx="123" cy="37"/>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CC92C7" w14:textId="77777777" w:rsidR="00B63507" w:rsidRDefault="00B63507" w:rsidP="008862C7">
                              <w:pPr>
                                <w:widowControl w:val="0"/>
                                <w:spacing w:line="271" w:lineRule="auto"/>
                                <w:jc w:val="center"/>
                                <w:rPr>
                                  <w:sz w:val="20"/>
                                </w:rPr>
                              </w:pPr>
                              <w:r>
                                <w:rPr>
                                  <w:sz w:val="20"/>
                                </w:rPr>
                                <w:t>Compétitivité-coût</w:t>
                              </w:r>
                            </w:p>
                          </w:txbxContent>
                        </wps:txbx>
                        <wps:bodyPr rot="0" vert="horz" wrap="square" lIns="91440" tIns="45720" rIns="91440" bIns="45720" anchor="t" anchorCtr="0" upright="1">
                          <a:noAutofit/>
                        </wps:bodyPr>
                      </wps:wsp>
                      <wps:wsp>
                        <wps:cNvPr id="92" name="AutoShape 92"/>
                        <wps:cNvSpPr>
                          <a:spLocks noChangeArrowheads="1"/>
                        </wps:cNvSpPr>
                        <wps:spPr bwMode="auto">
                          <a:xfrm>
                            <a:off x="11029" y="10830"/>
                            <a:ext cx="123" cy="27"/>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046235" w14:textId="77777777" w:rsidR="00B63507" w:rsidRDefault="00B63507" w:rsidP="008862C7">
                              <w:pPr>
                                <w:widowControl w:val="0"/>
                                <w:spacing w:line="271" w:lineRule="auto"/>
                                <w:jc w:val="center"/>
                                <w:rPr>
                                  <w:sz w:val="18"/>
                                  <w:szCs w:val="18"/>
                                </w:rPr>
                              </w:pPr>
                              <w:r>
                                <w:rPr>
                                  <w:sz w:val="18"/>
                                  <w:szCs w:val="18"/>
                                </w:rPr>
                                <w:t>Politique de charge</w:t>
                              </w:r>
                            </w:p>
                          </w:txbxContent>
                        </wps:txbx>
                        <wps:bodyPr rot="0" vert="horz" wrap="square" lIns="91440" tIns="45720" rIns="91440" bIns="45720" anchor="t" anchorCtr="0" upright="1">
                          <a:noAutofit/>
                        </wps:bodyPr>
                      </wps:wsp>
                      <wps:wsp>
                        <wps:cNvPr id="93" name="AutoShape 93"/>
                        <wps:cNvSpPr>
                          <a:spLocks noChangeAspect="1" noChangeArrowheads="1"/>
                        </wps:cNvSpPr>
                        <wps:spPr bwMode="auto">
                          <a:xfrm>
                            <a:off x="11029" y="10700"/>
                            <a:ext cx="123" cy="31"/>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AE7363" w14:textId="77777777" w:rsidR="00B63507" w:rsidRDefault="00B63507" w:rsidP="008862C7">
                              <w:pPr>
                                <w:widowControl w:val="0"/>
                                <w:spacing w:line="271" w:lineRule="auto"/>
                                <w:jc w:val="center"/>
                              </w:pPr>
                              <w:r>
                                <w:t>Taux de change</w:t>
                              </w:r>
                            </w:p>
                          </w:txbxContent>
                        </wps:txbx>
                        <wps:bodyPr rot="0" vert="horz" wrap="square" lIns="91440" tIns="45720" rIns="91440" bIns="45720" anchor="t" anchorCtr="0" upright="1">
                          <a:noAutofit/>
                        </wps:bodyPr>
                      </wps:wsp>
                      <wps:wsp>
                        <wps:cNvPr id="94" name="AutoShape 94"/>
                        <wps:cNvSpPr>
                          <a:spLocks noChangeArrowheads="1"/>
                        </wps:cNvSpPr>
                        <wps:spPr bwMode="auto">
                          <a:xfrm>
                            <a:off x="11181" y="10702"/>
                            <a:ext cx="113" cy="41"/>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F64D46" w14:textId="77777777" w:rsidR="00B63507" w:rsidRDefault="00B63507" w:rsidP="008862C7">
                              <w:pPr>
                                <w:widowControl w:val="0"/>
                                <w:spacing w:line="271" w:lineRule="auto"/>
                                <w:jc w:val="center"/>
                              </w:pPr>
                              <w:r>
                                <w:t>Niveau de productivité</w:t>
                              </w:r>
                            </w:p>
                          </w:txbxContent>
                        </wps:txbx>
                        <wps:bodyPr rot="0" vert="horz" wrap="square" lIns="91440" tIns="45720" rIns="91440" bIns="45720" anchor="t" anchorCtr="0" upright="1">
                          <a:noAutofit/>
                        </wps:bodyPr>
                      </wps:wsp>
                      <wps:wsp>
                        <wps:cNvPr id="95" name="AutoShape 95"/>
                        <wps:cNvSpPr>
                          <a:spLocks noChangeArrowheads="1"/>
                        </wps:cNvSpPr>
                        <wps:spPr bwMode="auto">
                          <a:xfrm>
                            <a:off x="11181" y="10813"/>
                            <a:ext cx="113" cy="39"/>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2801BB" w14:textId="77777777" w:rsidR="00B63507" w:rsidRDefault="00B63507" w:rsidP="008862C7">
                              <w:pPr>
                                <w:widowControl w:val="0"/>
                                <w:jc w:val="center"/>
                              </w:pPr>
                              <w:r>
                                <w:t>Coût de production</w:t>
                              </w:r>
                            </w:p>
                            <w:p w14:paraId="3ED764B6"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wps:wsp>
                        <wps:cNvPr id="128" name="AutoShape 96"/>
                        <wps:cNvSpPr>
                          <a:spLocks noChangeArrowheads="1"/>
                        </wps:cNvSpPr>
                        <wps:spPr bwMode="auto">
                          <a:xfrm>
                            <a:off x="11169" y="10947"/>
                            <a:ext cx="120" cy="46"/>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05EA0E" w14:textId="77777777" w:rsidR="00B63507" w:rsidRDefault="00B63507" w:rsidP="008862C7">
                              <w:pPr>
                                <w:widowControl w:val="0"/>
                                <w:spacing w:line="271" w:lineRule="auto"/>
                                <w:jc w:val="center"/>
                              </w:pPr>
                              <w:r>
                                <w:t>Recherche et développement</w:t>
                              </w:r>
                            </w:p>
                          </w:txbxContent>
                        </wps:txbx>
                        <wps:bodyPr rot="0" vert="horz" wrap="square" lIns="91440" tIns="45720" rIns="91440" bIns="45720" anchor="t" anchorCtr="0" upright="1">
                          <a:noAutofit/>
                        </wps:bodyPr>
                      </wps:wsp>
                      <wps:wsp>
                        <wps:cNvPr id="129" name="AutoShape 97"/>
                        <wps:cNvSpPr>
                          <a:spLocks noChangeArrowheads="1"/>
                        </wps:cNvSpPr>
                        <wps:spPr bwMode="auto">
                          <a:xfrm>
                            <a:off x="11174" y="11055"/>
                            <a:ext cx="120" cy="51"/>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20FE05" w14:textId="77777777" w:rsidR="00B63507" w:rsidRDefault="00B63507" w:rsidP="008862C7">
                              <w:pPr>
                                <w:widowControl w:val="0"/>
                                <w:spacing w:line="240" w:lineRule="auto"/>
                                <w:jc w:val="center"/>
                              </w:pPr>
                              <w:r>
                                <w:t>Organisation de la production flexible</w:t>
                              </w:r>
                            </w:p>
                          </w:txbxContent>
                        </wps:txbx>
                        <wps:bodyPr rot="0" vert="horz" wrap="square" lIns="91440" tIns="45720" rIns="91440" bIns="45720" anchor="t" anchorCtr="0" upright="1">
                          <a:noAutofit/>
                        </wps:bodyPr>
                      </wps:wsp>
                      <wps:wsp>
                        <wps:cNvPr id="130" name="AutoShape 98"/>
                        <wps:cNvSpPr>
                          <a:spLocks noChangeArrowheads="1"/>
                        </wps:cNvSpPr>
                        <wps:spPr bwMode="auto">
                          <a:xfrm>
                            <a:off x="11170" y="11002"/>
                            <a:ext cx="119" cy="44"/>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4AE9E8" w14:textId="77777777" w:rsidR="00B63507" w:rsidRDefault="00B63507" w:rsidP="008862C7">
                              <w:pPr>
                                <w:widowControl w:val="0"/>
                                <w:jc w:val="center"/>
                              </w:pPr>
                              <w:r>
                                <w:t>Formation de la main-d’œuvre</w:t>
                              </w:r>
                            </w:p>
                          </w:txbxContent>
                        </wps:txbx>
                        <wps:bodyPr rot="0" vert="horz" wrap="square" lIns="91440" tIns="45720" rIns="91440" bIns="45720" anchor="t" anchorCtr="0" upright="1">
                          <a:noAutofit/>
                        </wps:bodyPr>
                      </wps:wsp>
                      <wps:wsp>
                        <wps:cNvPr id="131" name="AutoShape 99"/>
                        <wps:cNvSpPr>
                          <a:spLocks/>
                        </wps:cNvSpPr>
                        <wps:spPr bwMode="auto">
                          <a:xfrm>
                            <a:off x="10861" y="10779"/>
                            <a:ext cx="11" cy="243"/>
                          </a:xfrm>
                          <a:prstGeom prst="leftBrace">
                            <a:avLst>
                              <a:gd name="adj1" fmla="val 184091"/>
                              <a:gd name="adj2" fmla="val 45829"/>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2" name="AutoShape 100"/>
                        <wps:cNvSpPr>
                          <a:spLocks/>
                        </wps:cNvSpPr>
                        <wps:spPr bwMode="auto">
                          <a:xfrm>
                            <a:off x="11155" y="10722"/>
                            <a:ext cx="24" cy="110"/>
                          </a:xfrm>
                          <a:prstGeom prst="leftBrace">
                            <a:avLst>
                              <a:gd name="adj1" fmla="val 38194"/>
                              <a:gd name="adj2" fmla="val 50491"/>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3" name="AutoShape 101"/>
                        <wps:cNvSpPr>
                          <a:spLocks/>
                        </wps:cNvSpPr>
                        <wps:spPr bwMode="auto">
                          <a:xfrm>
                            <a:off x="11000" y="10922"/>
                            <a:ext cx="29" cy="213"/>
                          </a:xfrm>
                          <a:prstGeom prst="leftBrace">
                            <a:avLst>
                              <a:gd name="adj1" fmla="val 31896"/>
                              <a:gd name="adj2" fmla="val 46014"/>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4" name="AutoShape 102"/>
                        <wps:cNvSpPr>
                          <a:spLocks/>
                        </wps:cNvSpPr>
                        <wps:spPr bwMode="auto">
                          <a:xfrm>
                            <a:off x="10997" y="10717"/>
                            <a:ext cx="28" cy="128"/>
                          </a:xfrm>
                          <a:prstGeom prst="leftBrace">
                            <a:avLst>
                              <a:gd name="adj1" fmla="val 38011"/>
                              <a:gd name="adj2" fmla="val 45120"/>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5" name="AutoShape 103"/>
                        <wps:cNvSpPr>
                          <a:spLocks noChangeArrowheads="1"/>
                        </wps:cNvSpPr>
                        <wps:spPr bwMode="auto">
                          <a:xfrm>
                            <a:off x="11029" y="10892"/>
                            <a:ext cx="123" cy="44"/>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53EEE" w14:textId="77777777" w:rsidR="00B63507" w:rsidRDefault="00B63507" w:rsidP="008862C7">
                              <w:pPr>
                                <w:widowControl w:val="0"/>
                                <w:jc w:val="center"/>
                              </w:pPr>
                              <w:r>
                                <w:t>Politique marketing</w:t>
                              </w:r>
                            </w:p>
                            <w:p w14:paraId="757C1E87"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wps:wsp>
                        <wps:cNvPr id="136" name="AutoShape 104"/>
                        <wps:cNvCnPr>
                          <a:cxnSpLocks noChangeShapeType="1"/>
                        </wps:cNvCnPr>
                        <wps:spPr bwMode="auto">
                          <a:xfrm flipH="1">
                            <a:off x="11154" y="10971"/>
                            <a:ext cx="15" cy="0"/>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 name="AutoShape 105"/>
                        <wps:cNvCnPr>
                          <a:cxnSpLocks noChangeShapeType="1"/>
                        </wps:cNvCnPr>
                        <wps:spPr bwMode="auto">
                          <a:xfrm flipH="1">
                            <a:off x="11160" y="11080"/>
                            <a:ext cx="13" cy="0"/>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 name="AutoShape 106"/>
                        <wps:cNvCnPr>
                          <a:cxnSpLocks noChangeShapeType="1"/>
                        </wps:cNvCnPr>
                        <wps:spPr bwMode="auto">
                          <a:xfrm flipH="1">
                            <a:off x="11155" y="11027"/>
                            <a:ext cx="12" cy="0"/>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1" name="AutoShape 107"/>
                        <wps:cNvCnPr>
                          <a:cxnSpLocks noChangeShapeType="1"/>
                        </wps:cNvCnPr>
                        <wps:spPr bwMode="auto">
                          <a:xfrm flipH="1">
                            <a:off x="11160" y="11135"/>
                            <a:ext cx="15" cy="0"/>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 name="AutoShape 108"/>
                        <wps:cNvCnPr>
                          <a:cxnSpLocks noChangeShapeType="1"/>
                        </wps:cNvCnPr>
                        <wps:spPr bwMode="auto">
                          <a:xfrm flipV="1">
                            <a:off x="11234" y="10993"/>
                            <a:ext cx="0" cy="9"/>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 name="AutoShape 109"/>
                        <wps:cNvCnPr>
                          <a:cxnSpLocks noChangeShapeType="1"/>
                        </wps:cNvCnPr>
                        <wps:spPr bwMode="auto">
                          <a:xfrm>
                            <a:off x="11234" y="11047"/>
                            <a:ext cx="1" cy="9"/>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 name="AutoShape 110"/>
                        <wps:cNvCnPr>
                          <a:cxnSpLocks noChangeShapeType="1"/>
                        </wps:cNvCnPr>
                        <wps:spPr bwMode="auto">
                          <a:xfrm>
                            <a:off x="11235" y="11100"/>
                            <a:ext cx="0" cy="11"/>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5" name="AutoShape 111"/>
                        <wps:cNvSpPr>
                          <a:spLocks noChangeArrowheads="1"/>
                        </wps:cNvSpPr>
                        <wps:spPr bwMode="auto">
                          <a:xfrm>
                            <a:off x="10872" y="10990"/>
                            <a:ext cx="126" cy="66"/>
                          </a:xfrm>
                          <a:prstGeom prst="roundRect">
                            <a:avLst>
                              <a:gd name="adj" fmla="val 16667"/>
                            </a:avLst>
                          </a:prstGeom>
                          <a:solidFill>
                            <a:srgbClr val="C6D9F1"/>
                          </a:solidFill>
                          <a:ln w="38100">
                            <a:solidFill>
                              <a:srgbClr val="000000"/>
                            </a:solidFill>
                            <a:round/>
                            <a:headEnd/>
                            <a:tailEnd/>
                          </a:ln>
                          <a:effectLst>
                            <a:outerShdw dist="28398" dir="3806097" algn="ctr" rotWithShape="0">
                              <a:srgbClr val="243F60">
                                <a:alpha val="50000"/>
                              </a:srgbClr>
                            </a:outerShdw>
                          </a:effectLst>
                        </wps:spPr>
                        <wps:txbx>
                          <w:txbxContent>
                            <w:p w14:paraId="268A2AD0" w14:textId="77777777" w:rsidR="00B63507" w:rsidRDefault="00B63507" w:rsidP="008862C7">
                              <w:pPr>
                                <w:widowControl w:val="0"/>
                                <w:spacing w:line="271" w:lineRule="auto"/>
                                <w:jc w:val="center"/>
                              </w:pPr>
                              <w:r>
                                <w:t>Compétitivité hors-prix ou structurelle</w:t>
                              </w:r>
                            </w:p>
                          </w:txbxContent>
                        </wps:txbx>
                        <wps:bodyPr rot="0" vert="horz" wrap="square" lIns="91440" tIns="45720" rIns="91440" bIns="45720" anchor="t" anchorCtr="0" upright="1">
                          <a:noAutofit/>
                        </wps:bodyPr>
                      </wps:wsp>
                      <wps:wsp>
                        <wps:cNvPr id="146" name="AutoShape 112"/>
                        <wps:cNvSpPr>
                          <a:spLocks noChangeArrowheads="1"/>
                        </wps:cNvSpPr>
                        <wps:spPr bwMode="auto">
                          <a:xfrm>
                            <a:off x="10872" y="10761"/>
                            <a:ext cx="123" cy="39"/>
                          </a:xfrm>
                          <a:prstGeom prst="roundRect">
                            <a:avLst>
                              <a:gd name="adj" fmla="val 16667"/>
                            </a:avLst>
                          </a:prstGeom>
                          <a:solidFill>
                            <a:srgbClr val="D6E3BC"/>
                          </a:solidFill>
                          <a:ln w="38100">
                            <a:solidFill>
                              <a:srgbClr val="000000"/>
                            </a:solidFill>
                            <a:round/>
                            <a:headEnd/>
                            <a:tailEnd/>
                          </a:ln>
                          <a:effectLst>
                            <a:outerShdw dist="28398" dir="3806097" algn="ctr" rotWithShape="0">
                              <a:srgbClr val="4E6128">
                                <a:alpha val="50000"/>
                              </a:srgbClr>
                            </a:outerShdw>
                          </a:effectLst>
                        </wps:spPr>
                        <wps:txbx>
                          <w:txbxContent>
                            <w:p w14:paraId="1880D831" w14:textId="77777777" w:rsidR="00B63507" w:rsidRDefault="00B63507" w:rsidP="008862C7">
                              <w:pPr>
                                <w:widowControl w:val="0"/>
                                <w:spacing w:line="271" w:lineRule="auto"/>
                                <w:jc w:val="center"/>
                              </w:pPr>
                              <w:r>
                                <w:t>Compétitivité prix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2CE55" id="Group 83" o:spid="_x0000_s1062" style="position:absolute;left:0;text-align:left;margin-left:35.8pt;margin-top:.7pt;width:473.6pt;height:576.7pt;z-index:251678720" coordorigin="10734,10664" coordsize="6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">
                <v:shape id="Text Box 84" o:spid="_x0000_s1063" type="#_x0000_t202" style="position:absolute;left:10734;top:10664;width:60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" strokeweight="5pt">
                  <v:stroke linestyle="thickThin"/>
                  <v:shadow color="#868686"/>
                  <v:textbox>
                    <w:txbxContent>
                      <w:p w14:paraId="58C9185E" w14:textId="77777777" w:rsidR="00B63507" w:rsidRDefault="00B63507" w:rsidP="008862C7">
                        <w:pPr>
                          <w:widowControl w:val="0"/>
                          <w:spacing w:line="271" w:lineRule="auto"/>
                        </w:pPr>
                        <w:r>
                          <w:t> </w:t>
                        </w:r>
                      </w:p>
                      <w:p w14:paraId="35B8B3AD" w14:textId="77777777" w:rsidR="00B63507" w:rsidRDefault="00B63507" w:rsidP="008862C7">
                        <w:pPr>
                          <w:widowControl w:val="0"/>
                          <w:spacing w:line="271" w:lineRule="auto"/>
                        </w:pPr>
                        <w:r>
                          <w:t> </w:t>
                        </w:r>
                      </w:p>
                      <w:p w14:paraId="09D1D269" w14:textId="77777777" w:rsidR="00B63507" w:rsidRDefault="00B63507" w:rsidP="008862C7"/>
                      <w:p w14:paraId="5181C276" w14:textId="77777777" w:rsidR="00B63507" w:rsidRDefault="00B63507" w:rsidP="008862C7">
                        <w:r>
                          <w:t xml:space="preserve"> </w:t>
                        </w:r>
                      </w:p>
                    </w:txbxContent>
                  </v:textbox>
                </v:shape>
                <v:roundrect id="AutoShape 85" o:spid="_x0000_s1064" style="position:absolute;left:10745;top:10876;width:113;height: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" fillcolor="#fde9d9" strokecolor="#f79646" strokeweight="5pt">
                  <v:stroke linestyle="thickThin"/>
                  <v:shadow color="#868686"/>
                  <v:textbox>
                    <w:txbxContent>
                      <w:p w14:paraId="07CF7CD1" w14:textId="77777777" w:rsidR="00B63507" w:rsidRDefault="00B63507" w:rsidP="008862C7">
                        <w:pPr>
                          <w:widowControl w:val="0"/>
                          <w:spacing w:line="271" w:lineRule="auto"/>
                          <w:jc w:val="center"/>
                        </w:pPr>
                        <w:r>
                          <w:t>Compétitivité</w:t>
                        </w:r>
                      </w:p>
                    </w:txbxContent>
                  </v:textbox>
                </v:roundrect>
                <v:roundrect id="AutoShape 86" o:spid="_x0000_s1065" style="position:absolute;left:11173;top:11117;width:121;height: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" strokecolor="#4f81bd" strokeweight="2.5pt">
                  <v:shadow color="#868686"/>
                  <v:textbox>
                    <w:txbxContent>
                      <w:p w14:paraId="5671F7EB" w14:textId="77777777" w:rsidR="00B63507" w:rsidRDefault="00B63507" w:rsidP="008862C7">
                        <w:pPr>
                          <w:widowControl w:val="0"/>
                          <w:jc w:val="center"/>
                        </w:pPr>
                        <w:r>
                          <w:t>Investissements directs à l’étranger</w:t>
                        </w:r>
                      </w:p>
                    </w:txbxContent>
                  </v:textbox>
                </v:roundrect>
                <v:roundrect id="AutoShape 87" o:spid="_x0000_s1066" style="position:absolute;left:11034;top:11117;width:124;height: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" strokecolor="#4f81bd" strokeweight="5pt">
                  <v:stroke linestyle="thickThin"/>
                  <v:shadow color="#868686"/>
                  <v:textbox>
                    <w:txbxContent>
                      <w:p w14:paraId="6AC73B33" w14:textId="77777777" w:rsidR="00B63507" w:rsidRDefault="00B63507" w:rsidP="008862C7">
                        <w:pPr>
                          <w:widowControl w:val="0"/>
                          <w:jc w:val="center"/>
                        </w:pPr>
                        <w:r>
                          <w:t>Service après-vente</w:t>
                        </w:r>
                      </w:p>
                      <w:p w14:paraId="783704BE" w14:textId="77777777" w:rsidR="00B63507" w:rsidRDefault="00B63507" w:rsidP="008862C7">
                        <w:pPr>
                          <w:widowControl w:val="0"/>
                          <w:spacing w:line="271" w:lineRule="auto"/>
                        </w:pPr>
                        <w:r>
                          <w:t> </w:t>
                        </w:r>
                      </w:p>
                    </w:txbxContent>
                  </v:textbox>
                </v:roundrect>
                <v:roundrect id="AutoShape 88" o:spid="_x0000_s1067" style="position:absolute;left:11034;top:11062;width:123;height: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" strokecolor="#4f81bd" strokeweight="5pt">
                  <v:stroke linestyle="thickThin"/>
                  <v:shadow color="#868686"/>
                  <v:textbox>
                    <w:txbxContent>
                      <w:p w14:paraId="1B293F83" w14:textId="77777777" w:rsidR="00B63507" w:rsidRDefault="00B63507" w:rsidP="008862C7">
                        <w:pPr>
                          <w:widowControl w:val="0"/>
                          <w:spacing w:line="271" w:lineRule="auto"/>
                          <w:jc w:val="center"/>
                        </w:pPr>
                        <w:r>
                          <w:t>Juste à temps</w:t>
                        </w:r>
                      </w:p>
                    </w:txbxContent>
                  </v:textbox>
                </v:roundrect>
                <v:roundrect id="AutoShape 89" o:spid="_x0000_s1068" style="position:absolute;left:11031;top:11010;width:124;height: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" strokecolor="#4f81bd" strokeweight="5pt">
                  <v:stroke linestyle="thickThin"/>
                  <v:shadow color="#868686"/>
                  <v:textbox>
                    <w:txbxContent>
                      <w:p w14:paraId="0F08FF89" w14:textId="77777777" w:rsidR="00B63507" w:rsidRDefault="00B63507" w:rsidP="008862C7">
                        <w:pPr>
                          <w:widowControl w:val="0"/>
                          <w:spacing w:line="271" w:lineRule="auto"/>
                          <w:jc w:val="center"/>
                        </w:pPr>
                        <w:r>
                          <w:t>Qualité totale</w:t>
                        </w:r>
                      </w:p>
                    </w:txbxContent>
                  </v:textbox>
                </v:roundrect>
                <v:roundrect id="AutoShape 90" o:spid="_x0000_s1069" style="position:absolute;left:11031;top:10958;width:124;height: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" strokecolor="#4f81bd" strokeweight="5pt">
                  <v:stroke linestyle="thickThin"/>
                  <v:shadow color="#868686"/>
                  <v:textbox>
                    <w:txbxContent>
                      <w:p w14:paraId="17803119" w14:textId="77777777" w:rsidR="00B63507" w:rsidRDefault="00B63507" w:rsidP="008862C7">
                        <w:pPr>
                          <w:widowControl w:val="0"/>
                          <w:jc w:val="center"/>
                        </w:pPr>
                        <w:r>
                          <w:t>Innovation</w:t>
                        </w:r>
                      </w:p>
                      <w:p w14:paraId="2BE8428E" w14:textId="77777777" w:rsidR="00B63507" w:rsidRDefault="00B63507" w:rsidP="008862C7">
                        <w:pPr>
                          <w:widowControl w:val="0"/>
                          <w:spacing w:line="271" w:lineRule="auto"/>
                        </w:pPr>
                        <w:r>
                          <w:t> </w:t>
                        </w:r>
                      </w:p>
                    </w:txbxContent>
                  </v:textbox>
                </v:roundrect>
                <v:roundrect id="AutoShape 91" o:spid="_x0000_s1070" style="position:absolute;left:11028;top:10761;width:123;height: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" strokecolor="#9bbb59" strokeweight="5pt">
                  <v:stroke linestyle="thickThin"/>
                  <v:shadow color="#868686"/>
                  <v:textbox>
                    <w:txbxContent>
                      <w:p w14:paraId="37CC92C7" w14:textId="77777777" w:rsidR="00B63507" w:rsidRDefault="00B63507" w:rsidP="008862C7">
                        <w:pPr>
                          <w:widowControl w:val="0"/>
                          <w:spacing w:line="271" w:lineRule="auto"/>
                          <w:jc w:val="center"/>
                          <w:rPr>
                            <w:sz w:val="20"/>
                          </w:rPr>
                        </w:pPr>
                        <w:r>
                          <w:rPr>
                            <w:sz w:val="20"/>
                          </w:rPr>
                          <w:t>Compétitivité-coût</w:t>
                        </w:r>
                      </w:p>
                    </w:txbxContent>
                  </v:textbox>
                </v:roundrect>
                <v:roundrect id="AutoShape 92" o:spid="_x0000_s1071" style="position:absolute;left:11029;top:10830;width:123;height: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" strokecolor="#9bbb59" strokeweight="5pt">
                  <v:stroke linestyle="thickThin"/>
                  <v:shadow color="#868686"/>
                  <v:textbox>
                    <w:txbxContent>
                      <w:p w14:paraId="15046235" w14:textId="77777777" w:rsidR="00B63507" w:rsidRDefault="00B63507" w:rsidP="008862C7">
                        <w:pPr>
                          <w:widowControl w:val="0"/>
                          <w:spacing w:line="271" w:lineRule="auto"/>
                          <w:jc w:val="center"/>
                          <w:rPr>
                            <w:sz w:val="18"/>
                            <w:szCs w:val="18"/>
                          </w:rPr>
                        </w:pPr>
                        <w:r>
                          <w:rPr>
                            <w:sz w:val="18"/>
                            <w:szCs w:val="18"/>
                          </w:rPr>
                          <w:t>Politique de charge</w:t>
                        </w:r>
                      </w:p>
                    </w:txbxContent>
                  </v:textbox>
                </v:roundrect>
                <v:roundrect id="AutoShape 93" o:spid="_x0000_s1072" style="position:absolute;left:11029;top:10700;width:123;height: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" strokecolor="#9bbb59" strokeweight="5pt">
                  <v:stroke linestyle="thickThin"/>
                  <v:shadow color="#868686"/>
                  <o:lock v:ext="edit" aspectratio="t"/>
                  <v:textbox>
                    <w:txbxContent>
                      <w:p w14:paraId="5DAE7363" w14:textId="77777777" w:rsidR="00B63507" w:rsidRDefault="00B63507" w:rsidP="008862C7">
                        <w:pPr>
                          <w:widowControl w:val="0"/>
                          <w:spacing w:line="271" w:lineRule="auto"/>
                          <w:jc w:val="center"/>
                        </w:pPr>
                        <w:r>
                          <w:t>Taux de change</w:t>
                        </w:r>
                      </w:p>
                    </w:txbxContent>
                  </v:textbox>
                </v:roundrect>
                <v:roundrect id="AutoShape 94" o:spid="_x0000_s1073" style="position:absolute;left:11181;top:10702;width:113;height: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" strokecolor="#9bbb59" strokeweight="2.5pt">
                  <v:shadow color="#868686"/>
                  <v:textbox>
                    <w:txbxContent>
                      <w:p w14:paraId="38F64D46" w14:textId="77777777" w:rsidR="00B63507" w:rsidRDefault="00B63507" w:rsidP="008862C7">
                        <w:pPr>
                          <w:widowControl w:val="0"/>
                          <w:spacing w:line="271" w:lineRule="auto"/>
                          <w:jc w:val="center"/>
                        </w:pPr>
                        <w:r>
                          <w:t>Niveau de productivité</w:t>
                        </w:r>
                      </w:p>
                    </w:txbxContent>
                  </v:textbox>
                </v:roundrect>
                <v:roundrect id="AutoShape 95" o:spid="_x0000_s1074" style="position:absolute;left:11181;top:10813;width:113;height: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" strokecolor="#9bbb59" strokeweight="2.5pt">
                  <v:shadow color="#868686"/>
                  <v:textbox>
                    <w:txbxContent>
                      <w:p w14:paraId="692801BB" w14:textId="77777777" w:rsidR="00B63507" w:rsidRDefault="00B63507" w:rsidP="008862C7">
                        <w:pPr>
                          <w:widowControl w:val="0"/>
                          <w:jc w:val="center"/>
                        </w:pPr>
                        <w:r>
                          <w:t>Coût de production</w:t>
                        </w:r>
                      </w:p>
                      <w:p w14:paraId="3ED764B6" w14:textId="77777777" w:rsidR="00B63507" w:rsidRDefault="00B63507" w:rsidP="008862C7">
                        <w:pPr>
                          <w:widowControl w:val="0"/>
                          <w:spacing w:line="271" w:lineRule="auto"/>
                        </w:pPr>
                        <w:r>
                          <w:t> </w:t>
                        </w:r>
                      </w:p>
                    </w:txbxContent>
                  </v:textbox>
                </v:roundrect>
                <v:roundrect id="AutoShape 96" o:spid="_x0000_s1075" style="position:absolute;left:11169;top:10947;width:120;height: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" strokecolor="#4f81bd" strokeweight="2.5pt">
                  <v:shadow color="#868686"/>
                  <v:textbox>
                    <w:txbxContent>
                      <w:p w14:paraId="6305EA0E" w14:textId="77777777" w:rsidR="00B63507" w:rsidRDefault="00B63507" w:rsidP="008862C7">
                        <w:pPr>
                          <w:widowControl w:val="0"/>
                          <w:spacing w:line="271" w:lineRule="auto"/>
                          <w:jc w:val="center"/>
                        </w:pPr>
                        <w:r>
                          <w:t>Recherche et développement</w:t>
                        </w:r>
                      </w:p>
                    </w:txbxContent>
                  </v:textbox>
                </v:roundrect>
                <v:roundrect id="AutoShape 97" o:spid="_x0000_s1076" style="position:absolute;left:11174;top:11055;width:120;height: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" strokecolor="#4f81bd" strokeweight="2.5pt">
                  <v:shadow color="#868686"/>
                  <v:textbox>
                    <w:txbxContent>
                      <w:p w14:paraId="6020FE05" w14:textId="77777777" w:rsidR="00B63507" w:rsidRDefault="00B63507" w:rsidP="008862C7">
                        <w:pPr>
                          <w:widowControl w:val="0"/>
                          <w:spacing w:line="240" w:lineRule="auto"/>
                          <w:jc w:val="center"/>
                        </w:pPr>
                        <w:r>
                          <w:t>Organisation de la production flexible</w:t>
                        </w:r>
                      </w:p>
                    </w:txbxContent>
                  </v:textbox>
                </v:roundrect>
                <v:roundrect id="AutoShape 98" o:spid="_x0000_s1077" style="position:absolute;left:11170;top:11002;width:119;height: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" strokecolor="#4f81bd" strokeweight="2.5pt">
                  <v:shadow color="#868686"/>
                  <v:textbox>
                    <w:txbxContent>
                      <w:p w14:paraId="4D4AE9E8" w14:textId="77777777" w:rsidR="00B63507" w:rsidRDefault="00B63507" w:rsidP="008862C7">
                        <w:pPr>
                          <w:widowControl w:val="0"/>
                          <w:jc w:val="center"/>
                        </w:pPr>
                        <w:r>
                          <w:t>Formation de la main-d’œuvre</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9" o:spid="_x0000_s1078" type="#_x0000_t87" style="position:absolute;left:10861;top:10779;width:1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" adj=",9899" filled="t" strokecolor="#c0504d" strokeweight="2.5pt">
                  <v:shadow color="#868686"/>
                </v:shape>
                <v:shape id="AutoShape 100" o:spid="_x0000_s1079" type="#_x0000_t87" style="position:absolute;left:11155;top:10722;width:2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" adj=",10906" filled="t" strokecolor="#9bbb59" strokeweight="2.5pt">
                  <v:shadow color="#868686"/>
                </v:shape>
                <v:shape id="AutoShape 101" o:spid="_x0000_s1080" type="#_x0000_t87" style="position:absolute;left:11000;top:10922;width:2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" adj="938,9939" filled="t" strokecolor="#4f81bd" strokeweight="2.5pt">
                  <v:shadow color="#868686"/>
                </v:shape>
                <v:shape id="AutoShape 102" o:spid="_x0000_s1081" type="#_x0000_t87" style="position:absolute;left:10997;top:10717;width: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" adj="1796,9746" filled="t" strokecolor="#9bbb59" strokeweight="2.5pt">
                  <v:shadow color="#868686"/>
                </v:shape>
                <v:roundrect id="AutoShape 103" o:spid="_x0000_s1082" style="position:absolute;left:11029;top:10892;width:123;height: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" strokecolor="#4f81bd" strokeweight="5pt">
                  <v:stroke linestyle="thickThin"/>
                  <v:shadow color="#868686"/>
                  <v:textbox>
                    <w:txbxContent>
                      <w:p w14:paraId="62F53EEE" w14:textId="77777777" w:rsidR="00B63507" w:rsidRDefault="00B63507" w:rsidP="008862C7">
                        <w:pPr>
                          <w:widowControl w:val="0"/>
                          <w:jc w:val="center"/>
                        </w:pPr>
                        <w:r>
                          <w:t>Politique marketing</w:t>
                        </w:r>
                      </w:p>
                      <w:p w14:paraId="757C1E87" w14:textId="77777777" w:rsidR="00B63507" w:rsidRDefault="00B63507" w:rsidP="008862C7">
                        <w:pPr>
                          <w:widowControl w:val="0"/>
                          <w:spacing w:line="271" w:lineRule="auto"/>
                        </w:pPr>
                        <w:r>
                          <w:t> </w:t>
                        </w:r>
                      </w:p>
                    </w:txbxContent>
                  </v:textbox>
                </v:roundrect>
                <v:shapetype id="_x0000_t32" coordsize="21600,21600" o:spt="32" o:oned="t" path="m,l21600,21600e" filled="f">
                  <v:path arrowok="t" fillok="f" o:connecttype="none"/>
                  <o:lock v:ext="edit" shapetype="t"/>
                </v:shapetype>
                <v:shape id="AutoShape 104" o:spid="_x0000_s1083" type="#_x0000_t32" style="position:absolute;left:11154;top:10971;width: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" strokecolor="#c0504d" strokeweight="1pt">
                  <v:stroke dashstyle="dash" endarrow="block"/>
                  <v:shadow color="#868686"/>
                </v:shape>
                <v:shape id="AutoShape 105" o:spid="_x0000_s1084" type="#_x0000_t32" style="position:absolute;left:11160;top:11080;width: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" strokecolor="#c0504d" strokeweight="1pt">
                  <v:stroke dashstyle="dash" endarrow="block"/>
                  <v:shadow color="#868686"/>
                </v:shape>
                <v:shape id="AutoShape 106" o:spid="_x0000_s1085" type="#_x0000_t32" style="position:absolute;left:11155;top:11027;width: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" strokecolor="#c0504d" strokeweight="1pt">
                  <v:stroke dashstyle="dash" endarrow="block"/>
                  <v:shadow color="#868686"/>
                </v:shape>
                <v:shape id="AutoShape 107" o:spid="_x0000_s1086" type="#_x0000_t32" style="position:absolute;left:11160;top:11135;width: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" strokecolor="#c0504d" strokeweight="1pt">
                  <v:stroke dashstyle="dash" endarrow="block"/>
                  <v:shadow color="#868686"/>
                </v:shape>
                <v:shape id="AutoShape 108" o:spid="_x0000_s1087" type="#_x0000_t32" style="position:absolute;left:11234;top:10993;width: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" strokecolor="#c0504d" strokeweight="1pt">
                  <v:stroke dashstyle="dash" endarrow="block"/>
                  <v:shadow color="#868686"/>
                </v:shape>
                <v:shape id="AutoShape 109" o:spid="_x0000_s1088" type="#_x0000_t32" style="position:absolute;left:11234;top:11047;width: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" strokecolor="#c0504d" strokeweight="1pt">
                  <v:stroke dashstyle="dash" endarrow="block"/>
                  <v:shadow color="#868686"/>
                </v:shape>
                <v:shape id="AutoShape 110" o:spid="_x0000_s1089" type="#_x0000_t32" style="position:absolute;left:11235;top:11100;width:0;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" strokecolor="#c0504d" strokeweight="1pt">
                  <v:stroke dashstyle="dash" endarrow="block"/>
                  <v:shadow color="#868686"/>
                </v:shape>
                <v:roundrect id="AutoShape 111" o:spid="_x0000_s1090" style="position:absolute;left:10872;top:10990;width:126;height: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" fillcolor="#c6d9f1" strokeweight="3pt">
                  <v:shadow on="t" color="#243f60" opacity=".5" offset="1pt"/>
                  <v:textbox>
                    <w:txbxContent>
                      <w:p w14:paraId="268A2AD0" w14:textId="77777777" w:rsidR="00B63507" w:rsidRDefault="00B63507" w:rsidP="008862C7">
                        <w:pPr>
                          <w:widowControl w:val="0"/>
                          <w:spacing w:line="271" w:lineRule="auto"/>
                          <w:jc w:val="center"/>
                        </w:pPr>
                        <w:r>
                          <w:t>Compétitivité hors-prix ou structurelle</w:t>
                        </w:r>
                      </w:p>
                    </w:txbxContent>
                  </v:textbox>
                </v:roundrect>
                <v:roundrect id="AutoShape 112" o:spid="_x0000_s1091" style="position:absolute;left:10872;top:10761;width:123;height: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" fillcolor="#d6e3bc" strokeweight="3pt">
                  <v:shadow on="t" color="#4e6128" opacity=".5" offset="1pt"/>
                  <v:textbox>
                    <w:txbxContent>
                      <w:p w14:paraId="1880D831" w14:textId="77777777" w:rsidR="00B63507" w:rsidRDefault="00B63507" w:rsidP="008862C7">
                        <w:pPr>
                          <w:widowControl w:val="0"/>
                          <w:spacing w:line="271" w:lineRule="auto"/>
                          <w:jc w:val="center"/>
                        </w:pPr>
                        <w:r>
                          <w:t>Compétitivité prix</w:t>
                        </w:r>
                      </w:p>
                    </w:txbxContent>
                  </v:textbox>
                </v:roundrect>
              </v:group>
            </w:pict>
          </mc:Fallback>
        </mc:AlternateContent>
      </w:r>
    </w:p>
    <w:p w14:paraId="0E6C739E" w14:textId="77777777" w:rsidR="008862C7" w:rsidRDefault="008862C7" w:rsidP="008862C7">
      <w:pPr>
        <w:spacing w:line="360" w:lineRule="auto"/>
        <w:ind w:firstLine="709"/>
        <w:jc w:val="both"/>
        <w:rPr>
          <w:rFonts w:ascii="Arial" w:hAnsi="Arial" w:cs="Arial"/>
        </w:rPr>
      </w:pPr>
    </w:p>
    <w:p w14:paraId="719C1FC7" w14:textId="77777777" w:rsidR="008862C7" w:rsidRDefault="008862C7" w:rsidP="008862C7">
      <w:pPr>
        <w:spacing w:line="360" w:lineRule="auto"/>
        <w:ind w:firstLine="709"/>
        <w:jc w:val="both"/>
        <w:rPr>
          <w:rFonts w:ascii="Arial" w:hAnsi="Arial" w:cs="Arial"/>
        </w:rPr>
      </w:pPr>
    </w:p>
    <w:p w14:paraId="0D7C1C04" w14:textId="77777777" w:rsidR="008862C7" w:rsidRDefault="008862C7" w:rsidP="008862C7">
      <w:pPr>
        <w:spacing w:line="360" w:lineRule="auto"/>
        <w:ind w:firstLine="709"/>
        <w:jc w:val="both"/>
        <w:rPr>
          <w:rFonts w:ascii="Arial" w:hAnsi="Arial" w:cs="Arial"/>
        </w:rPr>
      </w:pPr>
    </w:p>
    <w:p w14:paraId="6D4B8FB4" w14:textId="77777777" w:rsidR="008862C7" w:rsidRDefault="008862C7" w:rsidP="008862C7">
      <w:pPr>
        <w:spacing w:line="360" w:lineRule="auto"/>
        <w:jc w:val="both"/>
        <w:rPr>
          <w:rFonts w:ascii="Arial" w:hAnsi="Arial" w:cs="Arial"/>
        </w:rPr>
      </w:pPr>
    </w:p>
    <w:p w14:paraId="06D4ECD2" w14:textId="77777777" w:rsidR="008862C7" w:rsidRDefault="008862C7" w:rsidP="008862C7">
      <w:pPr>
        <w:spacing w:line="360" w:lineRule="auto"/>
        <w:ind w:firstLine="709"/>
        <w:jc w:val="both"/>
        <w:rPr>
          <w:rFonts w:ascii="Arial" w:hAnsi="Arial" w:cs="Arial"/>
        </w:rPr>
      </w:pPr>
    </w:p>
    <w:p w14:paraId="318DF4A7" w14:textId="77777777" w:rsidR="008862C7" w:rsidRDefault="008862C7" w:rsidP="008862C7">
      <w:pPr>
        <w:spacing w:line="360" w:lineRule="auto"/>
        <w:ind w:firstLine="709"/>
        <w:jc w:val="both"/>
        <w:rPr>
          <w:rFonts w:ascii="Arial" w:hAnsi="Arial" w:cs="Arial"/>
        </w:rPr>
      </w:pPr>
    </w:p>
    <w:p w14:paraId="2DEF85A2" w14:textId="77777777" w:rsidR="008862C7" w:rsidRDefault="008862C7" w:rsidP="008862C7">
      <w:pPr>
        <w:spacing w:line="360" w:lineRule="auto"/>
        <w:ind w:firstLine="709"/>
        <w:jc w:val="both"/>
        <w:rPr>
          <w:rFonts w:ascii="Arial" w:hAnsi="Arial" w:cs="Arial"/>
        </w:rPr>
      </w:pPr>
    </w:p>
    <w:p w14:paraId="58E65EF5" w14:textId="77777777" w:rsidR="008862C7" w:rsidRDefault="008862C7" w:rsidP="008862C7">
      <w:pPr>
        <w:spacing w:line="360" w:lineRule="auto"/>
        <w:ind w:firstLine="709"/>
        <w:jc w:val="both"/>
        <w:rPr>
          <w:rFonts w:ascii="Arial" w:hAnsi="Arial" w:cs="Arial"/>
        </w:rPr>
      </w:pPr>
    </w:p>
    <w:p w14:paraId="18D5C54F" w14:textId="77777777" w:rsidR="008862C7" w:rsidRDefault="008862C7" w:rsidP="008862C7">
      <w:pPr>
        <w:spacing w:line="360" w:lineRule="auto"/>
        <w:ind w:firstLine="709"/>
        <w:jc w:val="both"/>
        <w:rPr>
          <w:rFonts w:ascii="Arial" w:hAnsi="Arial" w:cs="Arial"/>
        </w:rPr>
      </w:pPr>
    </w:p>
    <w:p w14:paraId="5BFF152E" w14:textId="77777777" w:rsidR="008862C7" w:rsidRDefault="008862C7" w:rsidP="008862C7">
      <w:pPr>
        <w:spacing w:after="0" w:line="240" w:lineRule="auto"/>
        <w:jc w:val="both"/>
        <w:rPr>
          <w:rFonts w:ascii="Arial" w:hAnsi="Arial" w:cs="Arial"/>
          <w:b/>
        </w:rPr>
      </w:pPr>
    </w:p>
    <w:p w14:paraId="63DC695D" w14:textId="77777777" w:rsidR="008862C7" w:rsidRDefault="008862C7" w:rsidP="008862C7">
      <w:pPr>
        <w:spacing w:before="240" w:line="360" w:lineRule="auto"/>
        <w:jc w:val="both"/>
        <w:rPr>
          <w:rFonts w:ascii="Arial" w:hAnsi="Arial" w:cs="Arial"/>
        </w:rPr>
      </w:pPr>
    </w:p>
    <w:p w14:paraId="19C304F5" w14:textId="77777777" w:rsidR="008862C7" w:rsidRDefault="008862C7" w:rsidP="008862C7">
      <w:pPr>
        <w:spacing w:before="240" w:line="360" w:lineRule="auto"/>
        <w:jc w:val="both"/>
        <w:rPr>
          <w:rFonts w:ascii="Arial" w:hAnsi="Arial" w:cs="Arial"/>
        </w:rPr>
      </w:pPr>
    </w:p>
    <w:p w14:paraId="69A1DB41" w14:textId="77777777" w:rsidR="008862C7" w:rsidRDefault="008862C7" w:rsidP="008862C7">
      <w:pPr>
        <w:spacing w:before="240" w:line="360" w:lineRule="auto"/>
        <w:jc w:val="both"/>
        <w:rPr>
          <w:rFonts w:ascii="Arial" w:hAnsi="Arial" w:cs="Arial"/>
        </w:rPr>
      </w:pPr>
    </w:p>
    <w:p w14:paraId="01654BEC" w14:textId="77777777" w:rsidR="008862C7" w:rsidRDefault="008862C7" w:rsidP="008862C7">
      <w:pPr>
        <w:spacing w:before="360" w:line="360" w:lineRule="auto"/>
        <w:jc w:val="both"/>
        <w:rPr>
          <w:rFonts w:ascii="Arial" w:hAnsi="Arial" w:cs="Arial"/>
          <w:sz w:val="20"/>
        </w:rPr>
      </w:pPr>
    </w:p>
    <w:p w14:paraId="261E4127" w14:textId="77777777" w:rsidR="008862C7" w:rsidRDefault="008862C7" w:rsidP="008862C7">
      <w:pPr>
        <w:spacing w:before="360" w:line="360" w:lineRule="auto"/>
        <w:jc w:val="both"/>
        <w:rPr>
          <w:rFonts w:ascii="Arial" w:hAnsi="Arial" w:cs="Arial"/>
          <w:sz w:val="20"/>
        </w:rPr>
      </w:pPr>
    </w:p>
    <w:p w14:paraId="71B63348" w14:textId="77777777" w:rsidR="008862C7" w:rsidRDefault="008862C7" w:rsidP="008862C7">
      <w:pPr>
        <w:spacing w:before="360" w:line="360" w:lineRule="auto"/>
        <w:jc w:val="both"/>
        <w:rPr>
          <w:rFonts w:ascii="Arial" w:hAnsi="Arial" w:cs="Arial"/>
          <w:sz w:val="20"/>
        </w:rPr>
      </w:pPr>
    </w:p>
    <w:p w14:paraId="75DA4CBF" w14:textId="77777777" w:rsidR="008862C7" w:rsidRDefault="008862C7" w:rsidP="008862C7">
      <w:pPr>
        <w:spacing w:before="360" w:line="360" w:lineRule="auto"/>
        <w:jc w:val="both"/>
        <w:rPr>
          <w:rFonts w:ascii="Arial" w:hAnsi="Arial" w:cs="Arial"/>
          <w:sz w:val="20"/>
        </w:rPr>
      </w:pPr>
    </w:p>
    <w:p w14:paraId="52BF4015" w14:textId="77777777" w:rsidR="008862C7" w:rsidRDefault="008862C7" w:rsidP="008862C7">
      <w:pPr>
        <w:spacing w:before="360" w:line="360" w:lineRule="auto"/>
        <w:jc w:val="both"/>
        <w:rPr>
          <w:rFonts w:ascii="Arial" w:hAnsi="Arial" w:cs="Arial"/>
          <w:sz w:val="20"/>
        </w:rPr>
      </w:pPr>
    </w:p>
    <w:p w14:paraId="0E0A59D9" w14:textId="77777777" w:rsidR="00945B53" w:rsidRDefault="00945B53" w:rsidP="008862C7">
      <w:pPr>
        <w:spacing w:before="360" w:line="360" w:lineRule="auto"/>
        <w:jc w:val="both"/>
        <w:rPr>
          <w:rFonts w:ascii="Arial" w:hAnsi="Arial" w:cs="Arial"/>
          <w:b/>
          <w:sz w:val="20"/>
        </w:rPr>
      </w:pPr>
    </w:p>
    <w:p w14:paraId="3E2582BE" w14:textId="77777777" w:rsidR="008862C7" w:rsidRDefault="008862C7" w:rsidP="008862C7">
      <w:pPr>
        <w:spacing w:before="360" w:line="360" w:lineRule="auto"/>
        <w:jc w:val="both"/>
        <w:rPr>
          <w:rFonts w:ascii="Arial" w:hAnsi="Arial" w:cs="Arial"/>
          <w:sz w:val="20"/>
        </w:rPr>
      </w:pPr>
      <w:r>
        <w:rPr>
          <w:rFonts w:ascii="Arial" w:hAnsi="Arial" w:cs="Arial"/>
          <w:b/>
          <w:sz w:val="20"/>
        </w:rPr>
        <w:t>Source :</w:t>
      </w:r>
      <w:r>
        <w:rPr>
          <w:rFonts w:ascii="Arial" w:hAnsi="Arial" w:cs="Arial"/>
          <w:sz w:val="20"/>
        </w:rPr>
        <w:t xml:space="preserve"> Centre d’Etude Prospective et d’initiatives Internationales (CEPII)</w:t>
      </w:r>
    </w:p>
    <w:p w14:paraId="4015939B" w14:textId="77777777" w:rsidR="00E72C3F" w:rsidRDefault="00E72C3F" w:rsidP="008862C7">
      <w:pPr>
        <w:spacing w:before="360" w:line="360" w:lineRule="auto"/>
        <w:jc w:val="both"/>
        <w:rPr>
          <w:rFonts w:ascii="Arial" w:hAnsi="Arial" w:cs="Arial"/>
          <w:sz w:val="24"/>
        </w:rPr>
      </w:pPr>
    </w:p>
    <w:p w14:paraId="16CC8052" w14:textId="77777777" w:rsidR="008862C7" w:rsidRDefault="008862C7" w:rsidP="008862C7">
      <w:pPr>
        <w:spacing w:before="360" w:line="360" w:lineRule="auto"/>
        <w:jc w:val="both"/>
        <w:rPr>
          <w:rFonts w:ascii="Arial" w:hAnsi="Arial" w:cs="Arial"/>
          <w:sz w:val="24"/>
        </w:rPr>
      </w:pPr>
      <w:r>
        <w:rPr>
          <w:rFonts w:ascii="Arial" w:hAnsi="Arial" w:cs="Arial"/>
          <w:sz w:val="24"/>
        </w:rPr>
        <w:lastRenderedPageBreak/>
        <w:t>Classés selon les critères prix et qualité, les déterminants de la compétitivité comptent respectivement trois et cinq facteurs explicatifs directs. Parmi les facteurs qui influences la compétitivité prix on a le taux change, la politique de change et la compétitivité coût. La compétitivité coût constitue pour l’entité économique une variable sur laquelle elle peut agir au travers de son niveau de productivité et de sa politique en matière de coût de production. Ainsi le taux de change et la politique de change, constituent pour l’entreprise des données exogène sur lesquelles elle ne peut agir, mais devra les subir. De ce qui précède, une entreprise peut disposer d’un avantage coût sans pour autant qu’elle soit compétitive car le taux de change et la politique de change auxquelles elle est soumise joue en sa défaveur. Tel est le cas de nombreuses filières cotonnières d’AOC dont le cas centrafricain est l’un des plus marquants.</w:t>
      </w:r>
    </w:p>
    <w:p w14:paraId="3E63898E" w14:textId="77777777" w:rsidR="008862C7" w:rsidRDefault="008862C7" w:rsidP="008862C7">
      <w:pPr>
        <w:spacing w:line="360" w:lineRule="auto"/>
        <w:jc w:val="both"/>
        <w:rPr>
          <w:rFonts w:ascii="Arial" w:hAnsi="Arial" w:cs="Arial"/>
          <w:sz w:val="24"/>
        </w:rPr>
      </w:pPr>
      <w:r>
        <w:rPr>
          <w:rFonts w:ascii="Arial" w:hAnsi="Arial" w:cs="Arial"/>
          <w:sz w:val="24"/>
        </w:rPr>
        <w:t>Au nombre des facteurs directs qui influencent la compétitivité structurelle d’une entité économique, on peut citer les cinq principaux qui sont le marketing, l’innovation, la qualité totale, le respect du délai (Juste à temps) et le service après-vente qu’offre l’entreprise à ses consommateurs. Ces cinq facteurs directs sont influencés par des facteurs « indirects » dont les effets sont difficiles à retracer.</w:t>
      </w:r>
    </w:p>
    <w:p w14:paraId="0BA0D62B" w14:textId="77777777" w:rsidR="008862C7" w:rsidRDefault="008862C7" w:rsidP="008862C7">
      <w:pPr>
        <w:pStyle w:val="Paragraphedeliste"/>
        <w:numPr>
          <w:ilvl w:val="3"/>
          <w:numId w:val="8"/>
        </w:numPr>
        <w:spacing w:after="120" w:line="360" w:lineRule="auto"/>
        <w:jc w:val="both"/>
        <w:outlineLvl w:val="5"/>
        <w:rPr>
          <w:rFonts w:ascii="Arial" w:hAnsi="Arial" w:cs="Arial"/>
          <w:b/>
          <w:sz w:val="24"/>
        </w:rPr>
      </w:pPr>
      <w:bookmarkStart w:id="46" w:name="_Toc395107537"/>
      <w:r>
        <w:rPr>
          <w:rFonts w:ascii="Arial" w:hAnsi="Arial" w:cs="Arial"/>
          <w:b/>
          <w:sz w:val="24"/>
        </w:rPr>
        <w:t>Classification des déterminants selon le niveau national et international : classification de Brinkman</w:t>
      </w:r>
      <w:bookmarkEnd w:id="46"/>
    </w:p>
    <w:p w14:paraId="3444F156" w14:textId="77777777" w:rsidR="008862C7" w:rsidRDefault="008862C7" w:rsidP="008862C7">
      <w:pPr>
        <w:spacing w:line="360" w:lineRule="auto"/>
        <w:jc w:val="both"/>
        <w:rPr>
          <w:rFonts w:ascii="Arial" w:hAnsi="Arial" w:cs="Arial"/>
          <w:sz w:val="24"/>
        </w:rPr>
      </w:pPr>
      <w:r>
        <w:rPr>
          <w:rFonts w:ascii="Arial" w:hAnsi="Arial" w:cs="Arial"/>
          <w:sz w:val="24"/>
        </w:rPr>
        <w:t>La classification de Brinkman requière deux niveaux d’agrégation dans la typologie des déterminants : les déterminants nationaux et les déterminants internationaux tel que présenté dans le graphique ci-après.</w:t>
      </w:r>
    </w:p>
    <w:p w14:paraId="53EB2F2E" w14:textId="77777777" w:rsidR="00E72C3F" w:rsidRDefault="00E72C3F" w:rsidP="008862C7">
      <w:pPr>
        <w:spacing w:after="0" w:line="360" w:lineRule="auto"/>
        <w:jc w:val="both"/>
        <w:rPr>
          <w:rFonts w:ascii="Arial" w:hAnsi="Arial" w:cs="Arial"/>
          <w:b/>
          <w:sz w:val="24"/>
          <w:szCs w:val="24"/>
        </w:rPr>
      </w:pPr>
    </w:p>
    <w:p w14:paraId="007DE7BC" w14:textId="77777777" w:rsidR="00E72C3F" w:rsidRDefault="00E72C3F" w:rsidP="008862C7">
      <w:pPr>
        <w:spacing w:after="0" w:line="360" w:lineRule="auto"/>
        <w:jc w:val="both"/>
        <w:rPr>
          <w:rFonts w:ascii="Arial" w:hAnsi="Arial" w:cs="Arial"/>
          <w:b/>
          <w:sz w:val="24"/>
          <w:szCs w:val="24"/>
        </w:rPr>
      </w:pPr>
    </w:p>
    <w:p w14:paraId="792FB99C" w14:textId="77777777" w:rsidR="00E72C3F" w:rsidRDefault="00E72C3F" w:rsidP="008862C7">
      <w:pPr>
        <w:spacing w:after="0" w:line="360" w:lineRule="auto"/>
        <w:jc w:val="both"/>
        <w:rPr>
          <w:rFonts w:ascii="Arial" w:hAnsi="Arial" w:cs="Arial"/>
          <w:b/>
          <w:sz w:val="24"/>
          <w:szCs w:val="24"/>
        </w:rPr>
      </w:pPr>
    </w:p>
    <w:p w14:paraId="36F09D38" w14:textId="77777777" w:rsidR="00E72C3F" w:rsidRDefault="00E72C3F" w:rsidP="008862C7">
      <w:pPr>
        <w:spacing w:after="0" w:line="360" w:lineRule="auto"/>
        <w:jc w:val="both"/>
        <w:rPr>
          <w:rFonts w:ascii="Arial" w:hAnsi="Arial" w:cs="Arial"/>
          <w:b/>
          <w:sz w:val="24"/>
          <w:szCs w:val="24"/>
        </w:rPr>
      </w:pPr>
    </w:p>
    <w:p w14:paraId="47CC42FD" w14:textId="77777777" w:rsidR="00E72C3F" w:rsidRDefault="00E72C3F" w:rsidP="008862C7">
      <w:pPr>
        <w:spacing w:after="0" w:line="360" w:lineRule="auto"/>
        <w:jc w:val="both"/>
        <w:rPr>
          <w:rFonts w:ascii="Arial" w:hAnsi="Arial" w:cs="Arial"/>
          <w:b/>
          <w:sz w:val="24"/>
          <w:szCs w:val="24"/>
        </w:rPr>
      </w:pPr>
    </w:p>
    <w:p w14:paraId="0232AEFE" w14:textId="77777777" w:rsidR="00E72C3F" w:rsidRDefault="00E72C3F" w:rsidP="008862C7">
      <w:pPr>
        <w:spacing w:after="0" w:line="360" w:lineRule="auto"/>
        <w:jc w:val="both"/>
        <w:rPr>
          <w:rFonts w:ascii="Arial" w:hAnsi="Arial" w:cs="Arial"/>
          <w:b/>
          <w:sz w:val="24"/>
          <w:szCs w:val="24"/>
        </w:rPr>
      </w:pPr>
    </w:p>
    <w:p w14:paraId="6D6FF9E6" w14:textId="77777777" w:rsidR="00E72C3F" w:rsidRDefault="00E72C3F" w:rsidP="008862C7">
      <w:pPr>
        <w:spacing w:after="0" w:line="360" w:lineRule="auto"/>
        <w:jc w:val="both"/>
        <w:rPr>
          <w:rFonts w:ascii="Arial" w:hAnsi="Arial" w:cs="Arial"/>
          <w:b/>
          <w:sz w:val="24"/>
          <w:szCs w:val="24"/>
        </w:rPr>
      </w:pPr>
    </w:p>
    <w:p w14:paraId="7BD2CC2A" w14:textId="77777777" w:rsidR="00E72C3F" w:rsidRDefault="00E72C3F" w:rsidP="008862C7">
      <w:pPr>
        <w:spacing w:after="0" w:line="360" w:lineRule="auto"/>
        <w:jc w:val="both"/>
        <w:rPr>
          <w:rFonts w:ascii="Arial" w:hAnsi="Arial" w:cs="Arial"/>
          <w:b/>
          <w:sz w:val="24"/>
          <w:szCs w:val="24"/>
        </w:rPr>
      </w:pPr>
    </w:p>
    <w:p w14:paraId="60EF4F7B" w14:textId="77777777" w:rsidR="00E72C3F" w:rsidRDefault="00E72C3F" w:rsidP="008862C7">
      <w:pPr>
        <w:spacing w:after="0" w:line="360" w:lineRule="auto"/>
        <w:jc w:val="both"/>
        <w:rPr>
          <w:rFonts w:ascii="Arial" w:hAnsi="Arial" w:cs="Arial"/>
          <w:b/>
          <w:sz w:val="24"/>
          <w:szCs w:val="24"/>
        </w:rPr>
      </w:pPr>
    </w:p>
    <w:p w14:paraId="57C914FF" w14:textId="77777777" w:rsidR="00E72C3F" w:rsidRDefault="00E72C3F" w:rsidP="008862C7">
      <w:pPr>
        <w:spacing w:after="0" w:line="360" w:lineRule="auto"/>
        <w:jc w:val="both"/>
        <w:rPr>
          <w:rFonts w:ascii="Arial" w:hAnsi="Arial" w:cs="Arial"/>
          <w:b/>
          <w:sz w:val="24"/>
          <w:szCs w:val="24"/>
        </w:rPr>
      </w:pPr>
    </w:p>
    <w:p w14:paraId="58376961" w14:textId="77777777" w:rsidR="00E72C3F" w:rsidRDefault="00E72C3F" w:rsidP="008862C7">
      <w:pPr>
        <w:spacing w:after="0" w:line="360" w:lineRule="auto"/>
        <w:jc w:val="both"/>
        <w:rPr>
          <w:rFonts w:ascii="Arial" w:hAnsi="Arial" w:cs="Arial"/>
          <w:b/>
          <w:sz w:val="24"/>
          <w:szCs w:val="24"/>
        </w:rPr>
      </w:pPr>
    </w:p>
    <w:p w14:paraId="60D299E9" w14:textId="77777777" w:rsidR="00E72C3F" w:rsidRDefault="00E72C3F" w:rsidP="008862C7">
      <w:pPr>
        <w:spacing w:after="0" w:line="360" w:lineRule="auto"/>
        <w:jc w:val="both"/>
        <w:rPr>
          <w:rFonts w:ascii="Arial" w:hAnsi="Arial" w:cs="Arial"/>
          <w:b/>
          <w:sz w:val="24"/>
          <w:szCs w:val="24"/>
        </w:rPr>
      </w:pPr>
    </w:p>
    <w:p w14:paraId="0A675A29" w14:textId="77777777" w:rsidR="008862C7" w:rsidRDefault="008862C7" w:rsidP="008862C7">
      <w:pPr>
        <w:spacing w:after="0" w:line="360" w:lineRule="auto"/>
        <w:jc w:val="both"/>
        <w:rPr>
          <w:rFonts w:ascii="Arial" w:hAnsi="Arial" w:cs="Arial"/>
          <w:sz w:val="24"/>
        </w:rPr>
      </w:pPr>
      <w:r>
        <w:rPr>
          <w:rFonts w:ascii="Arial" w:hAnsi="Arial" w:cs="Arial"/>
          <w:b/>
          <w:sz w:val="24"/>
          <w:szCs w:val="24"/>
        </w:rPr>
        <w:lastRenderedPageBreak/>
        <w:t>FIGURE1.3.</w:t>
      </w:r>
      <w:r>
        <w:rPr>
          <w:rFonts w:ascii="Arial" w:hAnsi="Arial" w:cs="Arial"/>
          <w:b/>
          <w:sz w:val="24"/>
        </w:rPr>
        <w:t xml:space="preserve">: </w:t>
      </w:r>
      <w:r>
        <w:rPr>
          <w:rFonts w:ascii="Arial" w:hAnsi="Arial" w:cs="Arial"/>
          <w:sz w:val="24"/>
        </w:rPr>
        <w:t>Principaux facteurs de la compétitivité interne et externe</w:t>
      </w:r>
    </w:p>
    <w:p w14:paraId="39FA9A8E" w14:textId="77777777" w:rsidR="008862C7" w:rsidRDefault="00E72C3F" w:rsidP="008862C7">
      <w:pPr>
        <w:spacing w:line="360" w:lineRule="auto"/>
        <w:jc w:val="both"/>
        <w:rPr>
          <w:rFonts w:ascii="Arial" w:hAnsi="Arial" w:cs="Arial"/>
        </w:rPr>
      </w:pPr>
      <w:r>
        <w:rPr>
          <w:rFonts w:ascii="Calibri" w:hAnsi="Calibri" w:cs="Times New Roman"/>
          <w:noProof/>
          <w:lang w:eastAsia="fr-FR"/>
        </w:rPr>
        <mc:AlternateContent>
          <mc:Choice Requires="wps">
            <w:drawing>
              <wp:anchor distT="0" distB="0" distL="114300" distR="114300" simplePos="0" relativeHeight="251679744" behindDoc="0" locked="0" layoutInCell="1" allowOverlap="1" wp14:anchorId="315A7C31" wp14:editId="775B3CBD">
                <wp:simplePos x="0" y="0"/>
                <wp:positionH relativeFrom="column">
                  <wp:posOffset>2308225</wp:posOffset>
                </wp:positionH>
                <wp:positionV relativeFrom="paragraph">
                  <wp:posOffset>2617470</wp:posOffset>
                </wp:positionV>
                <wp:extent cx="1261110" cy="472440"/>
                <wp:effectExtent l="31750" t="36195" r="31115" b="34290"/>
                <wp:wrapNone/>
                <wp:docPr id="8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47244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324377" w14:textId="77777777" w:rsidR="00B63507" w:rsidRDefault="00B63507" w:rsidP="008862C7">
                            <w:pPr>
                              <w:widowControl w:val="0"/>
                              <w:spacing w:line="271" w:lineRule="auto"/>
                              <w:jc w:val="center"/>
                            </w:pPr>
                            <w:r>
                              <w:t>COMPETITIVITE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7C31" id="Text Box 115" o:spid="_x0000_s1092" type="#_x0000_t202" style="position:absolute;left:0;text-align:left;margin-left:181.75pt;margin-top:206.1pt;width:99.3pt;height:3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" filled="f" strokeweight="4.5pt">
                <v:stroke linestyle="thickThin"/>
                <v:textbox>
                  <w:txbxContent>
                    <w:p w14:paraId="73324377" w14:textId="77777777" w:rsidR="00B63507" w:rsidRDefault="00B63507" w:rsidP="008862C7">
                      <w:pPr>
                        <w:widowControl w:val="0"/>
                        <w:spacing w:line="271" w:lineRule="auto"/>
                        <w:jc w:val="center"/>
                      </w:pPr>
                      <w:r>
                        <w:t>COMPETITIVITE</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80768" behindDoc="0" locked="0" layoutInCell="1" allowOverlap="1" wp14:anchorId="02360FCE" wp14:editId="6F091019">
                <wp:simplePos x="0" y="0"/>
                <wp:positionH relativeFrom="column">
                  <wp:posOffset>111125</wp:posOffset>
                </wp:positionH>
                <wp:positionV relativeFrom="paragraph">
                  <wp:posOffset>201930</wp:posOffset>
                </wp:positionV>
                <wp:extent cx="1809750" cy="539750"/>
                <wp:effectExtent l="34925" t="30480" r="31750" b="29845"/>
                <wp:wrapNone/>
                <wp:docPr id="8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39750"/>
                        </a:xfrm>
                        <a:prstGeom prst="rect">
                          <a:avLst/>
                        </a:prstGeom>
                        <a:solidFill>
                          <a:srgbClr val="FFFF66"/>
                        </a:solidFill>
                        <a:ln w="57150" cmpd="thickThin">
                          <a:solidFill>
                            <a:srgbClr val="000000"/>
                          </a:solidFill>
                          <a:miter lim="800000"/>
                          <a:headEnd/>
                          <a:tailEnd/>
                        </a:ln>
                      </wps:spPr>
                      <wps:txbx>
                        <w:txbxContent>
                          <w:p w14:paraId="137D946B" w14:textId="77777777" w:rsidR="00B63507" w:rsidRDefault="00B63507" w:rsidP="008862C7">
                            <w:pPr>
                              <w:widowControl w:val="0"/>
                              <w:spacing w:line="271" w:lineRule="auto"/>
                              <w:jc w:val="center"/>
                              <w:rPr>
                                <w:b/>
                                <w:bCs/>
                              </w:rPr>
                            </w:pPr>
                            <w:r>
                              <w:rPr>
                                <w:b/>
                                <w:bCs/>
                              </w:rPr>
                              <w:t>NIVEAU  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0FCE" id="Text Box 116" o:spid="_x0000_s1093" type="#_x0000_t202" style="position:absolute;left:0;text-align:left;margin-left:8.75pt;margin-top:15.9pt;width:142.5pt;height: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" fillcolor="#ff6" strokeweight="4.5pt">
                <v:stroke linestyle="thickThin"/>
                <v:textbox>
                  <w:txbxContent>
                    <w:p w14:paraId="137D946B" w14:textId="77777777" w:rsidR="00B63507" w:rsidRDefault="00B63507" w:rsidP="008862C7">
                      <w:pPr>
                        <w:widowControl w:val="0"/>
                        <w:spacing w:line="271" w:lineRule="auto"/>
                        <w:jc w:val="center"/>
                        <w:rPr>
                          <w:b/>
                          <w:bCs/>
                        </w:rPr>
                      </w:pPr>
                      <w:r>
                        <w:rPr>
                          <w:b/>
                          <w:bCs/>
                        </w:rPr>
                        <w:t>NIVEAU  NATIONAL</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81792" behindDoc="0" locked="0" layoutInCell="1" allowOverlap="1" wp14:anchorId="49BB8D1D" wp14:editId="3B217005">
                <wp:simplePos x="0" y="0"/>
                <wp:positionH relativeFrom="column">
                  <wp:posOffset>3858260</wp:posOffset>
                </wp:positionH>
                <wp:positionV relativeFrom="paragraph">
                  <wp:posOffset>170815</wp:posOffset>
                </wp:positionV>
                <wp:extent cx="1829435" cy="488950"/>
                <wp:effectExtent l="29210" t="37465" r="36830" b="35560"/>
                <wp:wrapNone/>
                <wp:docPr id="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488950"/>
                        </a:xfrm>
                        <a:prstGeom prst="rect">
                          <a:avLst/>
                        </a:prstGeom>
                        <a:solidFill>
                          <a:srgbClr val="FFFF66"/>
                        </a:solidFill>
                        <a:ln w="57150" cmpd="thickThin">
                          <a:solidFill>
                            <a:srgbClr val="000000"/>
                          </a:solidFill>
                          <a:miter lim="800000"/>
                          <a:headEnd/>
                          <a:tailEnd/>
                        </a:ln>
                      </wps:spPr>
                      <wps:txbx>
                        <w:txbxContent>
                          <w:p w14:paraId="27B74EDC" w14:textId="77777777" w:rsidR="00B63507" w:rsidRDefault="00B63507" w:rsidP="008862C7">
                            <w:pPr>
                              <w:widowControl w:val="0"/>
                              <w:spacing w:line="271" w:lineRule="auto"/>
                              <w:rPr>
                                <w:b/>
                                <w:bCs/>
                              </w:rPr>
                            </w:pPr>
                            <w:r>
                              <w:rPr>
                                <w:b/>
                                <w:bCs/>
                              </w:rPr>
                              <w:t>NIVEAU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8D1D" id="Text Box 117" o:spid="_x0000_s1094" type="#_x0000_t202" style="position:absolute;left:0;text-align:left;margin-left:303.8pt;margin-top:13.45pt;width:144.05pt;height: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" fillcolor="#ff6" strokeweight="4.5pt">
                <v:stroke linestyle="thickThin"/>
                <v:textbox>
                  <w:txbxContent>
                    <w:p w14:paraId="27B74EDC" w14:textId="77777777" w:rsidR="00B63507" w:rsidRDefault="00B63507" w:rsidP="008862C7">
                      <w:pPr>
                        <w:widowControl w:val="0"/>
                        <w:spacing w:line="271" w:lineRule="auto"/>
                        <w:rPr>
                          <w:b/>
                          <w:bCs/>
                        </w:rPr>
                      </w:pPr>
                      <w:r>
                        <w:rPr>
                          <w:b/>
                          <w:bCs/>
                        </w:rPr>
                        <w:t>NIVEAU  INTERNATIONAL</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82816" behindDoc="0" locked="0" layoutInCell="1" allowOverlap="1" wp14:anchorId="0CD34B88" wp14:editId="21056079">
                <wp:simplePos x="0" y="0"/>
                <wp:positionH relativeFrom="column">
                  <wp:posOffset>2003425</wp:posOffset>
                </wp:positionH>
                <wp:positionV relativeFrom="paragraph">
                  <wp:posOffset>1346835</wp:posOffset>
                </wp:positionV>
                <wp:extent cx="281940" cy="1483360"/>
                <wp:effectExtent l="12700" t="13335" r="57785" b="27305"/>
                <wp:wrapNone/>
                <wp:docPr id="7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14833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93EED" id="AutoShape 118" o:spid="_x0000_s1026" type="#_x0000_t32" style="position:absolute;margin-left:157.75pt;margin-top:106.05pt;width:22.2pt;height:1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3840" behindDoc="0" locked="0" layoutInCell="1" allowOverlap="1" wp14:anchorId="6652C10B" wp14:editId="0FC4C0F4">
                <wp:simplePos x="0" y="0"/>
                <wp:positionH relativeFrom="column">
                  <wp:posOffset>1973580</wp:posOffset>
                </wp:positionH>
                <wp:positionV relativeFrom="paragraph">
                  <wp:posOffset>2479675</wp:posOffset>
                </wp:positionV>
                <wp:extent cx="311785" cy="356870"/>
                <wp:effectExtent l="11430" t="12700" r="57785" b="49530"/>
                <wp:wrapNone/>
                <wp:docPr id="7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3568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4F44B8" id="AutoShape 119" o:spid="_x0000_s1026" type="#_x0000_t32" style="position:absolute;margin-left:155.4pt;margin-top:195.25pt;width:24.55pt;height:2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QeOwIAAGU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4864" behindDoc="0" locked="0" layoutInCell="1" allowOverlap="1" wp14:anchorId="0A2B1115" wp14:editId="313B0E33">
                <wp:simplePos x="0" y="0"/>
                <wp:positionH relativeFrom="column">
                  <wp:posOffset>1993900</wp:posOffset>
                </wp:positionH>
                <wp:positionV relativeFrom="paragraph">
                  <wp:posOffset>2094865</wp:posOffset>
                </wp:positionV>
                <wp:extent cx="291465" cy="742315"/>
                <wp:effectExtent l="12700" t="8890" r="57785" b="39370"/>
                <wp:wrapNone/>
                <wp:docPr id="7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7423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A0E15" id="AutoShape 120" o:spid="_x0000_s1026" type="#_x0000_t32" style="position:absolute;margin-left:157pt;margin-top:164.95pt;width:22.95pt;height:5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5888" behindDoc="0" locked="0" layoutInCell="1" allowOverlap="1" wp14:anchorId="419C7D83" wp14:editId="2B87F344">
                <wp:simplePos x="0" y="0"/>
                <wp:positionH relativeFrom="column">
                  <wp:posOffset>1973580</wp:posOffset>
                </wp:positionH>
                <wp:positionV relativeFrom="paragraph">
                  <wp:posOffset>2849245</wp:posOffset>
                </wp:positionV>
                <wp:extent cx="314325" cy="462915"/>
                <wp:effectExtent l="11430" t="48895" r="55245" b="12065"/>
                <wp:wrapNone/>
                <wp:docPr id="7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4629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37D5DC" id="AutoShape 121" o:spid="_x0000_s1026" type="#_x0000_t32" style="position:absolute;margin-left:155.4pt;margin-top:224.35pt;width:24.75pt;height:36.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6912" behindDoc="0" locked="0" layoutInCell="1" allowOverlap="1" wp14:anchorId="198C4807" wp14:editId="35B40398">
                <wp:simplePos x="0" y="0"/>
                <wp:positionH relativeFrom="column">
                  <wp:posOffset>3592195</wp:posOffset>
                </wp:positionH>
                <wp:positionV relativeFrom="paragraph">
                  <wp:posOffset>1548765</wp:posOffset>
                </wp:positionV>
                <wp:extent cx="204470" cy="1285240"/>
                <wp:effectExtent l="58420" t="15240" r="13335" b="23495"/>
                <wp:wrapNone/>
                <wp:docPr id="7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12852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7EE2E" id="AutoShape 122" o:spid="_x0000_s1026" type="#_x0000_t32" style="position:absolute;margin-left:282.85pt;margin-top:121.95pt;width:16.1pt;height:10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7936" behindDoc="0" locked="0" layoutInCell="1" allowOverlap="1" wp14:anchorId="55FAA9E5" wp14:editId="0C54A191">
                <wp:simplePos x="0" y="0"/>
                <wp:positionH relativeFrom="column">
                  <wp:posOffset>3589020</wp:posOffset>
                </wp:positionH>
                <wp:positionV relativeFrom="paragraph">
                  <wp:posOffset>2849245</wp:posOffset>
                </wp:positionV>
                <wp:extent cx="204470" cy="1139190"/>
                <wp:effectExtent l="55245" t="29845" r="6985" b="12065"/>
                <wp:wrapNone/>
                <wp:docPr id="3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470" cy="11391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2F7AA7" id="AutoShape 123" o:spid="_x0000_s1026" type="#_x0000_t32" style="position:absolute;margin-left:282.6pt;margin-top:224.35pt;width:16.1pt;height:89.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8960" behindDoc="0" locked="0" layoutInCell="1" allowOverlap="1" wp14:anchorId="25C6F651" wp14:editId="5CE45592">
                <wp:simplePos x="0" y="0"/>
                <wp:positionH relativeFrom="column">
                  <wp:posOffset>3564890</wp:posOffset>
                </wp:positionH>
                <wp:positionV relativeFrom="paragraph">
                  <wp:posOffset>2837815</wp:posOffset>
                </wp:positionV>
                <wp:extent cx="220980" cy="11430"/>
                <wp:effectExtent l="21590" t="46990" r="14605" b="55880"/>
                <wp:wrapNone/>
                <wp:docPr id="30"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114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67FD0D5" id="AutoShape 124" o:spid="_x0000_s1026" type="#_x0000_t32" style="position:absolute;margin-left:280.7pt;margin-top:223.45pt;width:17.4pt;height:.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89984" behindDoc="0" locked="0" layoutInCell="1" allowOverlap="1" wp14:anchorId="3EB39B34" wp14:editId="0B55F994">
                <wp:simplePos x="0" y="0"/>
                <wp:positionH relativeFrom="column">
                  <wp:posOffset>73025</wp:posOffset>
                </wp:positionH>
                <wp:positionV relativeFrom="paragraph">
                  <wp:posOffset>3803015</wp:posOffset>
                </wp:positionV>
                <wp:extent cx="1858010" cy="440690"/>
                <wp:effectExtent l="34925" t="31115" r="31115" b="33020"/>
                <wp:wrapNone/>
                <wp:docPr id="2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44069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2AA97" w14:textId="77777777" w:rsidR="00B63507" w:rsidRDefault="00B63507" w:rsidP="008862C7">
                            <w:pPr>
                              <w:widowControl w:val="0"/>
                              <w:spacing w:line="271" w:lineRule="auto"/>
                              <w:jc w:val="center"/>
                            </w:pPr>
                            <w:r>
                              <w:t>Dotation en ressources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39B34" id="Text Box 125" o:spid="_x0000_s1095" type="#_x0000_t202" style="position:absolute;left:0;text-align:left;margin-left:5.75pt;margin-top:299.45pt;width:146.3pt;height:3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" filled="f" strokeweight="4.5pt">
                <v:stroke linestyle="thickThin"/>
                <v:textbox>
                  <w:txbxContent>
                    <w:p w14:paraId="7B82AA97" w14:textId="77777777" w:rsidR="00B63507" w:rsidRDefault="00B63507" w:rsidP="008862C7">
                      <w:pPr>
                        <w:widowControl w:val="0"/>
                        <w:spacing w:line="271" w:lineRule="auto"/>
                        <w:jc w:val="center"/>
                      </w:pPr>
                      <w:r>
                        <w:t>Dotation en ressources</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1008" behindDoc="0" locked="0" layoutInCell="1" allowOverlap="1" wp14:anchorId="7C545484" wp14:editId="4A3B3D2B">
                <wp:simplePos x="0" y="0"/>
                <wp:positionH relativeFrom="column">
                  <wp:posOffset>97155</wp:posOffset>
                </wp:positionH>
                <wp:positionV relativeFrom="paragraph">
                  <wp:posOffset>1674495</wp:posOffset>
                </wp:positionV>
                <wp:extent cx="1874520" cy="379730"/>
                <wp:effectExtent l="30480" t="36195" r="28575" b="31750"/>
                <wp:wrapNone/>
                <wp:docPr id="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7973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D4983" w14:textId="77777777" w:rsidR="00B63507" w:rsidRDefault="00B63507" w:rsidP="008862C7">
                            <w:pPr>
                              <w:widowControl w:val="0"/>
                              <w:spacing w:line="271" w:lineRule="auto"/>
                              <w:jc w:val="center"/>
                            </w:pPr>
                            <w:r>
                              <w:t>Technologie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45484" id="Text Box 126" o:spid="_x0000_s1096" type="#_x0000_t202" style="position:absolute;left:0;text-align:left;margin-left:7.65pt;margin-top:131.85pt;width:147.6pt;height:2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" filled="f" strokeweight="4.5pt">
                <v:stroke linestyle="thickThin"/>
                <v:textbox>
                  <w:txbxContent>
                    <w:p w14:paraId="051D4983" w14:textId="77777777" w:rsidR="00B63507" w:rsidRDefault="00B63507" w:rsidP="008862C7">
                      <w:pPr>
                        <w:widowControl w:val="0"/>
                        <w:spacing w:line="271" w:lineRule="auto"/>
                        <w:jc w:val="center"/>
                      </w:pPr>
                      <w:r>
                        <w:t>Technologie</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2032" behindDoc="0" locked="0" layoutInCell="1" allowOverlap="1" wp14:anchorId="5DA68624" wp14:editId="58750604">
                <wp:simplePos x="0" y="0"/>
                <wp:positionH relativeFrom="column">
                  <wp:posOffset>85090</wp:posOffset>
                </wp:positionH>
                <wp:positionV relativeFrom="paragraph">
                  <wp:posOffset>2260600</wp:posOffset>
                </wp:positionV>
                <wp:extent cx="1874520" cy="488950"/>
                <wp:effectExtent l="37465" t="31750" r="31115" b="31750"/>
                <wp:wrapNone/>
                <wp:docPr id="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889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33290" w14:textId="77777777" w:rsidR="00B63507" w:rsidRDefault="00B63507" w:rsidP="008862C7">
                            <w:pPr>
                              <w:widowControl w:val="0"/>
                              <w:spacing w:line="271" w:lineRule="auto"/>
                              <w:jc w:val="center"/>
                            </w:pPr>
                            <w:r>
                              <w:t>Economie d’échelle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A68624" id="Text Box 127" o:spid="_x0000_s1097" type="#_x0000_t202" style="position:absolute;left:0;text-align:left;margin-left:6.7pt;margin-top:178pt;width:147.6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" filled="f" strokeweight="4.5pt">
                <v:stroke linestyle="thickThin"/>
                <v:textbox>
                  <w:txbxContent>
                    <w:p w14:paraId="5C133290" w14:textId="77777777" w:rsidR="00B63507" w:rsidRDefault="00B63507" w:rsidP="008862C7">
                      <w:pPr>
                        <w:widowControl w:val="0"/>
                        <w:spacing w:line="271" w:lineRule="auto"/>
                        <w:jc w:val="center"/>
                      </w:pPr>
                      <w:r>
                        <w:t>Economie d’échelle</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3056" behindDoc="0" locked="0" layoutInCell="1" allowOverlap="1" wp14:anchorId="1C74B9B9" wp14:editId="4505A1C2">
                <wp:simplePos x="0" y="0"/>
                <wp:positionH relativeFrom="column">
                  <wp:posOffset>85090</wp:posOffset>
                </wp:positionH>
                <wp:positionV relativeFrom="paragraph">
                  <wp:posOffset>2964815</wp:posOffset>
                </wp:positionV>
                <wp:extent cx="1881505" cy="617220"/>
                <wp:effectExtent l="37465" t="31115" r="33655" b="37465"/>
                <wp:wrapNone/>
                <wp:docPr id="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1722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C31AC" w14:textId="77777777" w:rsidR="00B63507" w:rsidRDefault="00B63507" w:rsidP="008862C7">
                            <w:pPr>
                              <w:widowControl w:val="0"/>
                              <w:jc w:val="center"/>
                            </w:pPr>
                            <w:r>
                              <w:t>La régulation et les politiques des échanges</w:t>
                            </w:r>
                          </w:p>
                          <w:p w14:paraId="5B1A82D4"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4B9B9" id="Text Box 128" o:spid="_x0000_s1098" type="#_x0000_t202" style="position:absolute;left:0;text-align:left;margin-left:6.7pt;margin-top:233.45pt;width:148.15pt;height:4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" filled="f" strokeweight="4.5pt">
                <v:stroke linestyle="thickThin"/>
                <v:textbox>
                  <w:txbxContent>
                    <w:p w14:paraId="594C31AC" w14:textId="77777777" w:rsidR="00B63507" w:rsidRDefault="00B63507" w:rsidP="008862C7">
                      <w:pPr>
                        <w:widowControl w:val="0"/>
                        <w:jc w:val="center"/>
                      </w:pPr>
                      <w:r>
                        <w:t>La régulation et les politiques des échanges</w:t>
                      </w:r>
                    </w:p>
                    <w:p w14:paraId="5B1A82D4" w14:textId="77777777" w:rsidR="00B63507" w:rsidRDefault="00B63507" w:rsidP="008862C7">
                      <w:pPr>
                        <w:widowControl w:val="0"/>
                        <w:spacing w:line="271" w:lineRule="auto"/>
                      </w:pPr>
                      <w:r>
                        <w:t> </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4080" behindDoc="0" locked="0" layoutInCell="1" allowOverlap="1" wp14:anchorId="041B681F" wp14:editId="2A761C2B">
                <wp:simplePos x="0" y="0"/>
                <wp:positionH relativeFrom="column">
                  <wp:posOffset>97155</wp:posOffset>
                </wp:positionH>
                <wp:positionV relativeFrom="paragraph">
                  <wp:posOffset>1150620</wp:posOffset>
                </wp:positionV>
                <wp:extent cx="1887220" cy="367665"/>
                <wp:effectExtent l="30480" t="36195" r="34925" b="34290"/>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36766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2860AA" w14:textId="77777777" w:rsidR="00B63507" w:rsidRDefault="00B63507" w:rsidP="008862C7">
                            <w:pPr>
                              <w:widowControl w:val="0"/>
                              <w:jc w:val="center"/>
                            </w:pPr>
                            <w:r>
                              <w:t>Caractéristiques du produit</w:t>
                            </w:r>
                          </w:p>
                          <w:p w14:paraId="7511206A"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B681F" id="Text Box 129" o:spid="_x0000_s1099" type="#_x0000_t202" style="position:absolute;left:0;text-align:left;margin-left:7.65pt;margin-top:90.6pt;width:148.6pt;height:2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" filled="f" strokeweight="4.5pt">
                <v:stroke linestyle="thickThin"/>
                <v:textbox>
                  <w:txbxContent>
                    <w:p w14:paraId="312860AA" w14:textId="77777777" w:rsidR="00B63507" w:rsidRDefault="00B63507" w:rsidP="008862C7">
                      <w:pPr>
                        <w:widowControl w:val="0"/>
                        <w:jc w:val="center"/>
                      </w:pPr>
                      <w:r>
                        <w:t>Caractéristiques du produit</w:t>
                      </w:r>
                    </w:p>
                    <w:p w14:paraId="7511206A" w14:textId="77777777" w:rsidR="00B63507" w:rsidRDefault="00B63507" w:rsidP="008862C7">
                      <w:pPr>
                        <w:widowControl w:val="0"/>
                        <w:spacing w:line="271" w:lineRule="auto"/>
                      </w:pPr>
                      <w:r>
                        <w:t> </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5104" behindDoc="0" locked="0" layoutInCell="1" allowOverlap="1" wp14:anchorId="10236C39" wp14:editId="39FB8EF0">
                <wp:simplePos x="0" y="0"/>
                <wp:positionH relativeFrom="column">
                  <wp:posOffset>1931670</wp:posOffset>
                </wp:positionH>
                <wp:positionV relativeFrom="paragraph">
                  <wp:posOffset>2849245</wp:posOffset>
                </wp:positionV>
                <wp:extent cx="352425" cy="1139825"/>
                <wp:effectExtent l="7620" t="29845" r="59055" b="11430"/>
                <wp:wrapNone/>
                <wp:docPr id="2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1398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648C84" id="AutoShape 130" o:spid="_x0000_s1026" type="#_x0000_t32" style="position:absolute;margin-left:152.1pt;margin-top:224.35pt;width:27.75pt;height:89.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" strokeweight="1pt">
                <v:stroke endarrow="block"/>
              </v:shape>
            </w:pict>
          </mc:Fallback>
        </mc:AlternateContent>
      </w:r>
      <w:r>
        <w:rPr>
          <w:rFonts w:ascii="Calibri" w:hAnsi="Calibri" w:cs="Times New Roman"/>
          <w:noProof/>
          <w:lang w:eastAsia="fr-FR"/>
        </w:rPr>
        <mc:AlternateContent>
          <mc:Choice Requires="wps">
            <w:drawing>
              <wp:anchor distT="0" distB="0" distL="114300" distR="114300" simplePos="0" relativeHeight="251696128" behindDoc="0" locked="0" layoutInCell="1" allowOverlap="1" wp14:anchorId="02A76AED" wp14:editId="6BBDC27D">
                <wp:simplePos x="0" y="0"/>
                <wp:positionH relativeFrom="column">
                  <wp:posOffset>3800475</wp:posOffset>
                </wp:positionH>
                <wp:positionV relativeFrom="paragraph">
                  <wp:posOffset>2589530</wp:posOffset>
                </wp:positionV>
                <wp:extent cx="1771650" cy="488950"/>
                <wp:effectExtent l="28575" t="36830" r="28575" b="36195"/>
                <wp:wrapNone/>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889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2B2125" w14:textId="77777777" w:rsidR="00B63507" w:rsidRDefault="00B63507" w:rsidP="008862C7">
                            <w:pPr>
                              <w:widowControl w:val="0"/>
                              <w:spacing w:line="271" w:lineRule="auto"/>
                              <w:jc w:val="center"/>
                            </w:pPr>
                            <w:r>
                              <w:t>Coût de transport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76AED" id="Text Box 131" o:spid="_x0000_s1100" type="#_x0000_t202" style="position:absolute;left:0;text-align:left;margin-left:299.25pt;margin-top:203.9pt;width:139.5pt;height: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" filled="f" strokeweight="4.5pt">
                <v:stroke linestyle="thickThin"/>
                <v:textbox>
                  <w:txbxContent>
                    <w:p w14:paraId="292B2125" w14:textId="77777777" w:rsidR="00B63507" w:rsidRDefault="00B63507" w:rsidP="008862C7">
                      <w:pPr>
                        <w:widowControl w:val="0"/>
                        <w:spacing w:line="271" w:lineRule="auto"/>
                        <w:jc w:val="center"/>
                      </w:pPr>
                      <w:r>
                        <w:t>Coût de transport international</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7152" behindDoc="0" locked="0" layoutInCell="1" allowOverlap="1" wp14:anchorId="69DB1EAF" wp14:editId="16351849">
                <wp:simplePos x="0" y="0"/>
                <wp:positionH relativeFrom="column">
                  <wp:posOffset>3826510</wp:posOffset>
                </wp:positionH>
                <wp:positionV relativeFrom="paragraph">
                  <wp:posOffset>1151890</wp:posOffset>
                </wp:positionV>
                <wp:extent cx="1751965" cy="640715"/>
                <wp:effectExtent l="35560" t="37465" r="31750" b="36195"/>
                <wp:wrapNone/>
                <wp:docPr id="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4071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772EC" w14:textId="77777777" w:rsidR="00B63507" w:rsidRDefault="00B63507" w:rsidP="008862C7">
                            <w:pPr>
                              <w:widowControl w:val="0"/>
                              <w:jc w:val="center"/>
                            </w:pPr>
                            <w:r>
                              <w:t>Conditions du marché international</w:t>
                            </w:r>
                          </w:p>
                          <w:p w14:paraId="6B80CE14" w14:textId="77777777" w:rsidR="00B63507" w:rsidRDefault="00B63507" w:rsidP="008862C7">
                            <w:pPr>
                              <w:widowControl w:val="0"/>
                              <w:spacing w:line="271" w:lineRule="auto"/>
                              <w:jc w:val="center"/>
                              <w:rPr>
                                <w:b/>
                                <w:bCs/>
                              </w:rPr>
                            </w:pPr>
                            <w:r>
                              <w:rPr>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DB1EAF" id="Text Box 132" o:spid="_x0000_s1101" type="#_x0000_t202" style="position:absolute;left:0;text-align:left;margin-left:301.3pt;margin-top:90.7pt;width:137.95pt;height:5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" filled="f" strokeweight="4.5pt">
                <v:stroke linestyle="thickThin"/>
                <v:textbox>
                  <w:txbxContent>
                    <w:p w14:paraId="727772EC" w14:textId="77777777" w:rsidR="00B63507" w:rsidRDefault="00B63507" w:rsidP="008862C7">
                      <w:pPr>
                        <w:widowControl w:val="0"/>
                        <w:jc w:val="center"/>
                      </w:pPr>
                      <w:r>
                        <w:t>Conditions du marché international</w:t>
                      </w:r>
                    </w:p>
                    <w:p w14:paraId="6B80CE14" w14:textId="77777777" w:rsidR="00B63507" w:rsidRDefault="00B63507" w:rsidP="008862C7">
                      <w:pPr>
                        <w:widowControl w:val="0"/>
                        <w:spacing w:line="271" w:lineRule="auto"/>
                        <w:jc w:val="center"/>
                        <w:rPr>
                          <w:b/>
                          <w:bCs/>
                        </w:rPr>
                      </w:pPr>
                      <w:r>
                        <w:rPr>
                          <w:b/>
                          <w:bCs/>
                        </w:rPr>
                        <w:t> </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8176" behindDoc="0" locked="0" layoutInCell="1" allowOverlap="1" wp14:anchorId="0DF173E7" wp14:editId="02F80E0F">
                <wp:simplePos x="0" y="0"/>
                <wp:positionH relativeFrom="column">
                  <wp:posOffset>3818890</wp:posOffset>
                </wp:positionH>
                <wp:positionV relativeFrom="paragraph">
                  <wp:posOffset>3726180</wp:posOffset>
                </wp:positionV>
                <wp:extent cx="1732915" cy="488315"/>
                <wp:effectExtent l="37465" t="30480" r="29845" b="33655"/>
                <wp:wrapNone/>
                <wp:docPr id="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8831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2E834C" w14:textId="77777777" w:rsidR="00B63507" w:rsidRDefault="00B63507" w:rsidP="008862C7">
                            <w:pPr>
                              <w:widowControl w:val="0"/>
                              <w:jc w:val="center"/>
                            </w:pPr>
                            <w:r>
                              <w:t>Taux de change</w:t>
                            </w:r>
                          </w:p>
                          <w:p w14:paraId="136F9DAE" w14:textId="77777777" w:rsidR="00B63507" w:rsidRDefault="00B63507" w:rsidP="008862C7">
                            <w:pPr>
                              <w:widowControl w:val="0"/>
                              <w:spacing w:line="271" w:lineRule="auto"/>
                              <w:jc w:val="center"/>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73E7" id="Text Box 133" o:spid="_x0000_s1102" type="#_x0000_t202" style="position:absolute;left:0;text-align:left;margin-left:300.7pt;margin-top:293.4pt;width:136.45pt;height:38.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" filled="f" strokeweight="4.5pt">
                <v:stroke linestyle="thickThin"/>
                <v:textbox>
                  <w:txbxContent>
                    <w:p w14:paraId="002E834C" w14:textId="77777777" w:rsidR="00B63507" w:rsidRDefault="00B63507" w:rsidP="008862C7">
                      <w:pPr>
                        <w:widowControl w:val="0"/>
                        <w:jc w:val="center"/>
                      </w:pPr>
                      <w:r>
                        <w:t>Taux de change</w:t>
                      </w:r>
                    </w:p>
                    <w:p w14:paraId="136F9DAE" w14:textId="77777777" w:rsidR="00B63507" w:rsidRDefault="00B63507" w:rsidP="008862C7">
                      <w:pPr>
                        <w:widowControl w:val="0"/>
                        <w:spacing w:line="271" w:lineRule="auto"/>
                        <w:jc w:val="center"/>
                      </w:pPr>
                      <w:r>
                        <w:t> </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99200" behindDoc="0" locked="0" layoutInCell="1" allowOverlap="1" wp14:anchorId="013FFE37" wp14:editId="0F083045">
                <wp:simplePos x="0" y="0"/>
                <wp:positionH relativeFrom="column">
                  <wp:posOffset>-33020</wp:posOffset>
                </wp:positionH>
                <wp:positionV relativeFrom="paragraph">
                  <wp:posOffset>36830</wp:posOffset>
                </wp:positionV>
                <wp:extent cx="5795010" cy="4453255"/>
                <wp:effectExtent l="43180" t="46355" r="38735" b="43815"/>
                <wp:wrapNone/>
                <wp:docPr id="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445325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7F277" w14:textId="77777777" w:rsidR="00B63507" w:rsidRDefault="00B63507" w:rsidP="008862C7">
                            <w:pPr>
                              <w:widowControl w:val="0"/>
                            </w:pPr>
                            <w:r>
                              <w:t> </w:t>
                            </w:r>
                          </w:p>
                          <w:p w14:paraId="2B5D64D9" w14:textId="77777777" w:rsidR="00B63507" w:rsidRDefault="00B63507" w:rsidP="008862C7">
                            <w:pPr>
                              <w:widowControl w:val="0"/>
                            </w:pPr>
                            <w:r>
                              <w:t> </w:t>
                            </w:r>
                          </w:p>
                          <w:p w14:paraId="38F2935A" w14:textId="77777777" w:rsidR="00B63507" w:rsidRDefault="00B63507" w:rsidP="008862C7">
                            <w:pPr>
                              <w:widowControl w:val="0"/>
                            </w:pPr>
                            <w:r>
                              <w:t> </w:t>
                            </w:r>
                          </w:p>
                          <w:p w14:paraId="4D0BB837" w14:textId="77777777" w:rsidR="00B63507" w:rsidRDefault="00B63507" w:rsidP="008862C7">
                            <w:pPr>
                              <w:widowControl w:val="0"/>
                            </w:pPr>
                            <w:r>
                              <w:t> </w:t>
                            </w:r>
                          </w:p>
                          <w:p w14:paraId="55A6EB9F" w14:textId="77777777" w:rsidR="00B63507" w:rsidRDefault="00B63507" w:rsidP="008862C7">
                            <w:pPr>
                              <w:widowControl w:val="0"/>
                            </w:pPr>
                            <w:r>
                              <w:t> </w:t>
                            </w:r>
                          </w:p>
                          <w:p w14:paraId="7FAA2433" w14:textId="77777777" w:rsidR="00B63507" w:rsidRDefault="00B63507" w:rsidP="008862C7">
                            <w:pPr>
                              <w:widowControl w:val="0"/>
                            </w:pPr>
                            <w:r>
                              <w:t> </w:t>
                            </w:r>
                          </w:p>
                          <w:p w14:paraId="3D3BB8E1" w14:textId="77777777" w:rsidR="00B63507" w:rsidRDefault="00B63507" w:rsidP="008862C7">
                            <w:pPr>
                              <w:widowControl w:val="0"/>
                            </w:pPr>
                            <w:r>
                              <w:t> </w:t>
                            </w:r>
                          </w:p>
                          <w:p w14:paraId="37306F6C" w14:textId="77777777" w:rsidR="00B63507" w:rsidRDefault="00B63507" w:rsidP="008862C7">
                            <w:pPr>
                              <w:widowControl w:val="0"/>
                            </w:pPr>
                            <w:r>
                              <w:t> </w:t>
                            </w:r>
                          </w:p>
                          <w:p w14:paraId="582F5A59" w14:textId="77777777" w:rsidR="00B63507" w:rsidRDefault="00B63507" w:rsidP="008862C7">
                            <w:pPr>
                              <w:widowControl w:val="0"/>
                              <w:spacing w:line="271" w:lineRule="auto"/>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FFE37" id="Text Box 134" o:spid="_x0000_s1103" type="#_x0000_t202" style="position:absolute;left:0;text-align:left;margin-left:-2.6pt;margin-top:2.9pt;width:456.3pt;height:35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" filled="f" strokeweight="6pt">
                <v:stroke linestyle="thickBetweenThin"/>
                <v:textbox>
                  <w:txbxContent>
                    <w:p w14:paraId="0637F277" w14:textId="77777777" w:rsidR="00B63507" w:rsidRDefault="00B63507" w:rsidP="008862C7">
                      <w:pPr>
                        <w:widowControl w:val="0"/>
                      </w:pPr>
                      <w:r>
                        <w:t> </w:t>
                      </w:r>
                    </w:p>
                    <w:p w14:paraId="2B5D64D9" w14:textId="77777777" w:rsidR="00B63507" w:rsidRDefault="00B63507" w:rsidP="008862C7">
                      <w:pPr>
                        <w:widowControl w:val="0"/>
                      </w:pPr>
                      <w:r>
                        <w:t> </w:t>
                      </w:r>
                    </w:p>
                    <w:p w14:paraId="38F2935A" w14:textId="77777777" w:rsidR="00B63507" w:rsidRDefault="00B63507" w:rsidP="008862C7">
                      <w:pPr>
                        <w:widowControl w:val="0"/>
                      </w:pPr>
                      <w:r>
                        <w:t> </w:t>
                      </w:r>
                    </w:p>
                    <w:p w14:paraId="4D0BB837" w14:textId="77777777" w:rsidR="00B63507" w:rsidRDefault="00B63507" w:rsidP="008862C7">
                      <w:pPr>
                        <w:widowControl w:val="0"/>
                      </w:pPr>
                      <w:r>
                        <w:t> </w:t>
                      </w:r>
                    </w:p>
                    <w:p w14:paraId="55A6EB9F" w14:textId="77777777" w:rsidR="00B63507" w:rsidRDefault="00B63507" w:rsidP="008862C7">
                      <w:pPr>
                        <w:widowControl w:val="0"/>
                      </w:pPr>
                      <w:r>
                        <w:t> </w:t>
                      </w:r>
                    </w:p>
                    <w:p w14:paraId="7FAA2433" w14:textId="77777777" w:rsidR="00B63507" w:rsidRDefault="00B63507" w:rsidP="008862C7">
                      <w:pPr>
                        <w:widowControl w:val="0"/>
                      </w:pPr>
                      <w:r>
                        <w:t> </w:t>
                      </w:r>
                    </w:p>
                    <w:p w14:paraId="3D3BB8E1" w14:textId="77777777" w:rsidR="00B63507" w:rsidRDefault="00B63507" w:rsidP="008862C7">
                      <w:pPr>
                        <w:widowControl w:val="0"/>
                      </w:pPr>
                      <w:r>
                        <w:t> </w:t>
                      </w:r>
                    </w:p>
                    <w:p w14:paraId="37306F6C" w14:textId="77777777" w:rsidR="00B63507" w:rsidRDefault="00B63507" w:rsidP="008862C7">
                      <w:pPr>
                        <w:widowControl w:val="0"/>
                      </w:pPr>
                      <w:r>
                        <w:t> </w:t>
                      </w:r>
                    </w:p>
                    <w:p w14:paraId="582F5A59" w14:textId="77777777" w:rsidR="00B63507" w:rsidRDefault="00B63507" w:rsidP="008862C7">
                      <w:pPr>
                        <w:widowControl w:val="0"/>
                        <w:spacing w:line="271" w:lineRule="auto"/>
                      </w:pPr>
                      <w:r>
                        <w:t> </w:t>
                      </w:r>
                    </w:p>
                  </w:txbxContent>
                </v:textbox>
              </v:shape>
            </w:pict>
          </mc:Fallback>
        </mc:AlternateContent>
      </w:r>
    </w:p>
    <w:p w14:paraId="5E08143F" w14:textId="77777777" w:rsidR="008862C7" w:rsidRDefault="008862C7" w:rsidP="008862C7">
      <w:pPr>
        <w:spacing w:line="360" w:lineRule="auto"/>
        <w:jc w:val="both"/>
        <w:rPr>
          <w:rFonts w:ascii="Arial" w:hAnsi="Arial" w:cs="Arial"/>
        </w:rPr>
      </w:pPr>
    </w:p>
    <w:p w14:paraId="76FDACD8" w14:textId="77777777" w:rsidR="008862C7" w:rsidRDefault="008862C7" w:rsidP="008862C7">
      <w:pPr>
        <w:spacing w:line="360" w:lineRule="auto"/>
        <w:jc w:val="both"/>
        <w:rPr>
          <w:rFonts w:ascii="Arial" w:hAnsi="Arial" w:cs="Arial"/>
        </w:rPr>
      </w:pPr>
    </w:p>
    <w:p w14:paraId="7CDCD340" w14:textId="77777777" w:rsidR="008862C7" w:rsidRDefault="008862C7" w:rsidP="008862C7">
      <w:pPr>
        <w:spacing w:line="360" w:lineRule="auto"/>
        <w:jc w:val="both"/>
        <w:rPr>
          <w:rFonts w:ascii="Arial" w:hAnsi="Arial" w:cs="Arial"/>
        </w:rPr>
      </w:pPr>
    </w:p>
    <w:p w14:paraId="3EA136F6" w14:textId="77777777" w:rsidR="008862C7" w:rsidRDefault="008862C7" w:rsidP="008862C7">
      <w:pPr>
        <w:spacing w:line="360" w:lineRule="auto"/>
        <w:jc w:val="both"/>
        <w:rPr>
          <w:rFonts w:ascii="Arial" w:hAnsi="Arial" w:cs="Arial"/>
        </w:rPr>
      </w:pPr>
    </w:p>
    <w:p w14:paraId="49C646D2" w14:textId="77777777" w:rsidR="008862C7" w:rsidRDefault="008862C7" w:rsidP="008862C7">
      <w:pPr>
        <w:spacing w:line="360" w:lineRule="auto"/>
        <w:jc w:val="both"/>
        <w:rPr>
          <w:rFonts w:ascii="Arial" w:hAnsi="Arial" w:cs="Arial"/>
        </w:rPr>
      </w:pPr>
    </w:p>
    <w:p w14:paraId="5697BCC1" w14:textId="77777777" w:rsidR="008862C7" w:rsidRDefault="008862C7" w:rsidP="008862C7">
      <w:pPr>
        <w:spacing w:line="360" w:lineRule="auto"/>
        <w:jc w:val="both"/>
        <w:rPr>
          <w:rFonts w:ascii="Arial" w:hAnsi="Arial" w:cs="Arial"/>
          <w:b/>
        </w:rPr>
      </w:pPr>
    </w:p>
    <w:p w14:paraId="1631297C" w14:textId="77777777" w:rsidR="008862C7" w:rsidRDefault="008862C7" w:rsidP="008862C7">
      <w:pPr>
        <w:spacing w:line="360" w:lineRule="auto"/>
        <w:jc w:val="both"/>
        <w:rPr>
          <w:rFonts w:ascii="Arial" w:hAnsi="Arial" w:cs="Arial"/>
          <w:b/>
        </w:rPr>
      </w:pPr>
    </w:p>
    <w:p w14:paraId="771126B3" w14:textId="77777777" w:rsidR="008862C7" w:rsidRDefault="008862C7" w:rsidP="008862C7">
      <w:pPr>
        <w:spacing w:before="240" w:line="480" w:lineRule="auto"/>
        <w:jc w:val="both"/>
        <w:rPr>
          <w:rFonts w:ascii="Arial" w:hAnsi="Arial" w:cs="Arial"/>
          <w:b/>
        </w:rPr>
      </w:pPr>
    </w:p>
    <w:p w14:paraId="6806AB1E" w14:textId="77777777" w:rsidR="008862C7" w:rsidRDefault="008862C7" w:rsidP="008862C7">
      <w:pPr>
        <w:spacing w:before="240" w:line="480" w:lineRule="auto"/>
        <w:jc w:val="both"/>
        <w:rPr>
          <w:rFonts w:ascii="Arial" w:hAnsi="Arial" w:cs="Arial"/>
          <w:b/>
        </w:rPr>
      </w:pPr>
    </w:p>
    <w:p w14:paraId="62DF951C" w14:textId="77777777" w:rsidR="008862C7" w:rsidRDefault="008862C7" w:rsidP="008862C7">
      <w:pPr>
        <w:spacing w:before="360" w:line="360" w:lineRule="auto"/>
        <w:jc w:val="both"/>
        <w:rPr>
          <w:rFonts w:ascii="Arial" w:hAnsi="Arial" w:cs="Arial"/>
          <w:b/>
        </w:rPr>
      </w:pPr>
    </w:p>
    <w:p w14:paraId="36682CA3" w14:textId="77777777" w:rsidR="008862C7" w:rsidRDefault="008862C7" w:rsidP="008862C7">
      <w:pPr>
        <w:spacing w:after="0" w:line="360" w:lineRule="auto"/>
        <w:jc w:val="both"/>
        <w:rPr>
          <w:rFonts w:ascii="Arial" w:hAnsi="Arial" w:cs="Arial"/>
          <w:b/>
        </w:rPr>
      </w:pPr>
    </w:p>
    <w:p w14:paraId="55853E68" w14:textId="77777777" w:rsidR="00E72C3F" w:rsidRDefault="00E72C3F" w:rsidP="008862C7">
      <w:pPr>
        <w:spacing w:line="360" w:lineRule="auto"/>
        <w:jc w:val="both"/>
        <w:rPr>
          <w:rFonts w:ascii="Arial" w:hAnsi="Arial" w:cs="Arial"/>
          <w:b/>
        </w:rPr>
      </w:pPr>
    </w:p>
    <w:p w14:paraId="73B809C6" w14:textId="77777777" w:rsidR="008862C7" w:rsidRDefault="008862C7" w:rsidP="008862C7">
      <w:pPr>
        <w:spacing w:line="360" w:lineRule="auto"/>
        <w:jc w:val="both"/>
        <w:rPr>
          <w:rFonts w:ascii="Arial" w:hAnsi="Arial" w:cs="Arial"/>
        </w:rPr>
      </w:pPr>
      <w:r>
        <w:rPr>
          <w:rFonts w:ascii="Arial" w:hAnsi="Arial" w:cs="Arial"/>
          <w:b/>
        </w:rPr>
        <w:t>Source :</w:t>
      </w:r>
      <w:r>
        <w:rPr>
          <w:rFonts w:ascii="Arial" w:hAnsi="Arial" w:cs="Arial"/>
        </w:rPr>
        <w:t xml:space="preserve"> Brinkman, 1987 cité par Linchaal, 2001.</w:t>
      </w:r>
    </w:p>
    <w:p w14:paraId="765BE3A4" w14:textId="77777777" w:rsidR="008862C7" w:rsidRDefault="008862C7" w:rsidP="008862C7">
      <w:pPr>
        <w:pStyle w:val="Titre7"/>
        <w:spacing w:line="360" w:lineRule="auto"/>
        <w:rPr>
          <w:rFonts w:ascii="Arial" w:hAnsi="Arial" w:cs="Arial"/>
          <w:b/>
          <w:i w:val="0"/>
          <w:color w:val="auto"/>
        </w:rPr>
      </w:pPr>
      <w:bookmarkStart w:id="47" w:name="_Toc395107538"/>
      <w:r>
        <w:rPr>
          <w:rFonts w:ascii="Arial" w:hAnsi="Arial" w:cs="Arial"/>
          <w:b/>
          <w:i w:val="0"/>
          <w:color w:val="auto"/>
        </w:rPr>
        <w:t>a. Déterminants de la compétitivité nationale</w:t>
      </w:r>
      <w:bookmarkEnd w:id="47"/>
      <w:r>
        <w:rPr>
          <w:rFonts w:ascii="Arial" w:hAnsi="Arial" w:cs="Arial"/>
          <w:b/>
          <w:i w:val="0"/>
          <w:color w:val="auto"/>
        </w:rPr>
        <w:t xml:space="preserve"> </w:t>
      </w:r>
    </w:p>
    <w:p w14:paraId="3E390E61"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 l’échelle nationale, les dotations en ressources, la technologie, la productivité, les caractéristiques du produit, les économies d’échelle, le coût de commercialisation et de transport, la régulation fiscale et monétaire et enfin la politique des échanges semblent être les facteurs les plus importants qui conditionnent la compétitivité d’une industrie et/ou d’une entreprise. De cette liste, certains facteurs sont liés à la compétitivité prix alors que d’autres à la compétitivité structurelle.</w:t>
      </w:r>
    </w:p>
    <w:p w14:paraId="2DE96632" w14:textId="77777777" w:rsidR="008862C7" w:rsidRDefault="008862C7" w:rsidP="008862C7">
      <w:pPr>
        <w:pStyle w:val="Titre8"/>
        <w:numPr>
          <w:ilvl w:val="0"/>
          <w:numId w:val="10"/>
        </w:numPr>
        <w:spacing w:line="360" w:lineRule="auto"/>
        <w:rPr>
          <w:rFonts w:ascii="Arial" w:hAnsi="Arial" w:cs="Arial"/>
          <w:b/>
          <w:color w:val="auto"/>
          <w:sz w:val="24"/>
          <w:szCs w:val="24"/>
        </w:rPr>
      </w:pPr>
      <w:bookmarkStart w:id="48" w:name="_Toc395107539"/>
      <w:r>
        <w:rPr>
          <w:rFonts w:ascii="Arial" w:hAnsi="Arial" w:cs="Arial"/>
          <w:b/>
          <w:color w:val="auto"/>
          <w:sz w:val="24"/>
          <w:szCs w:val="24"/>
        </w:rPr>
        <w:t>Dotations en ressources</w:t>
      </w:r>
      <w:bookmarkEnd w:id="48"/>
    </w:p>
    <w:p w14:paraId="6E026686"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L’importance de la dotation en ressources a été présentée dès les premiers travaux des économistes classiques. Avec les théories de l’avantage absolu et de l’avantage comparatif suivies du théorème de HOS, un accent particulier est mis sur les avantages que les entités économiques peuvent tirer de leurs avantages comparatifs et de leurs dotations en facteurs de production. Les ressources naturelles (terre, climat, eau, etc.) aussi bien que les ressources en </w:t>
      </w:r>
      <w:r>
        <w:rPr>
          <w:rFonts w:ascii="Arial" w:hAnsi="Arial" w:cs="Arial"/>
          <w:sz w:val="24"/>
          <w:szCs w:val="24"/>
        </w:rPr>
        <w:lastRenderedPageBreak/>
        <w:t xml:space="preserve">capital humain sont des facteurs critiques dans la détermination de la compétitivité d’un produit ou d’une entreprise donnée. Une composante importante de dimension « capital humain » est l’expertise des décideurs au niveau des entreprises. Ainsi, la qualité de gestion peut être déterminante du succès ou de l’échec de ces unités. </w:t>
      </w:r>
    </w:p>
    <w:p w14:paraId="6D242521"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49" w:name="_Toc395107540"/>
      <w:r>
        <w:rPr>
          <w:rFonts w:ascii="Arial" w:hAnsi="Arial" w:cs="Arial"/>
          <w:b/>
          <w:color w:val="auto"/>
          <w:sz w:val="24"/>
          <w:szCs w:val="24"/>
        </w:rPr>
        <w:t>Technologie</w:t>
      </w:r>
      <w:bookmarkEnd w:id="49"/>
    </w:p>
    <w:p w14:paraId="1EB145F9"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 progrès technologique ainsi que l’efficacité du processus de production impliquent tous les deux une productivité des facteurs plus élevés et par conséquent conditionnent l’avantage compétitif d’une entreprise ou d’un secteur donné. La recherche et le développement de nouvelles techniques plus appropriées nécessitant parfois des investissements lourds, peuvent conférer aux différentes entités une meilleure compétitivité.</w:t>
      </w:r>
    </w:p>
    <w:p w14:paraId="11D612FD"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50" w:name="_Toc395107541"/>
      <w:r>
        <w:rPr>
          <w:rFonts w:ascii="Arial" w:hAnsi="Arial" w:cs="Arial"/>
          <w:b/>
          <w:color w:val="auto"/>
          <w:sz w:val="24"/>
          <w:szCs w:val="24"/>
        </w:rPr>
        <w:t>Caractéristiques du produit</w:t>
      </w:r>
      <w:bookmarkEnd w:id="50"/>
    </w:p>
    <w:p w14:paraId="5CA329D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Les caractéristiques d’un produit donné peuvent être très importantes dans la détermination de sa position concurrentielle sur le marché et ceci d’autant plus que le produit est différencié. Par conséquent, étant donné la diversité des préférences des consommateurs, les entreprises peuvent focaliser leur stratégie à servir des niches de marchés pour répondre à une demande bien particulière. D’autres facteurs hors prix, tels la maintenance, la fiabilité, le service après vente, etc. peuvent être des éléments décisifs dans la détermination de la compétitivité d’un produit. En effet, la compétitivité hors prix est aussi importante que la compétitivité prix dans la détermination du succès des échanges d’une économie déterminée. La spécification et la qualité du produit, la commercialisation, ainsi que les dispositions pour sa maintenance peuvent devenir des éléments décisifs de sa compétitivité plutôt que son prix (Morris, 1985).</w:t>
      </w:r>
    </w:p>
    <w:p w14:paraId="7A89AE5E"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51" w:name="_Toc395107542"/>
      <w:r>
        <w:rPr>
          <w:rFonts w:ascii="Arial" w:hAnsi="Arial" w:cs="Arial"/>
          <w:b/>
          <w:color w:val="auto"/>
          <w:sz w:val="24"/>
          <w:szCs w:val="24"/>
        </w:rPr>
        <w:t>Economies d’échelle</w:t>
      </w:r>
      <w:bookmarkEnd w:id="51"/>
    </w:p>
    <w:p w14:paraId="0EF3370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productivité des ressources et donc le coût marginal varie avec le niveau de production d’un produit donné. Ainsi, l’économie d’échelle est un facteur critique dans l’évaluation de la compétitivité d’un produit donné, car elle confère des gains de productivité.</w:t>
      </w:r>
    </w:p>
    <w:p w14:paraId="2391AF60"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52" w:name="_Toc395107543"/>
      <w:r>
        <w:rPr>
          <w:rFonts w:ascii="Arial" w:hAnsi="Arial" w:cs="Arial"/>
          <w:b/>
          <w:color w:val="auto"/>
          <w:sz w:val="24"/>
          <w:szCs w:val="24"/>
        </w:rPr>
        <w:t>Régulation et politiques des échanges</w:t>
      </w:r>
      <w:bookmarkEnd w:id="52"/>
    </w:p>
    <w:p w14:paraId="2701CE71"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Non moins important que les facteurs cités ci-dessus, les politiques de l’Etat ont aussi des effets profonds sur la compétitivité d’une industrie ou d’un produit donné. Les politiques fiscales et monétaires (taxation, taux d’intérêt, contrôle de l’inflation), la politique interventionniste de l’état (subvention) et celle des échanges commerciaux avec l’extérieur (tarifs, quotas, etc.) ont toutes des influences sur la compétitivité des différents produits. </w:t>
      </w:r>
    </w:p>
    <w:p w14:paraId="0B59935B" w14:textId="77777777" w:rsidR="008862C7" w:rsidRDefault="008862C7" w:rsidP="008862C7">
      <w:pPr>
        <w:pStyle w:val="Titre7"/>
        <w:spacing w:line="360" w:lineRule="auto"/>
        <w:jc w:val="both"/>
        <w:rPr>
          <w:rFonts w:ascii="Arial" w:hAnsi="Arial" w:cs="Arial"/>
          <w:b/>
          <w:i w:val="0"/>
          <w:color w:val="auto"/>
        </w:rPr>
      </w:pPr>
      <w:bookmarkStart w:id="53" w:name="_Toc395107544"/>
      <w:r>
        <w:rPr>
          <w:rFonts w:ascii="Arial" w:hAnsi="Arial" w:cs="Arial"/>
          <w:b/>
          <w:i w:val="0"/>
          <w:color w:val="auto"/>
        </w:rPr>
        <w:lastRenderedPageBreak/>
        <w:t>b. Déterminants de la compétitivité internationale</w:t>
      </w:r>
      <w:bookmarkEnd w:id="53"/>
      <w:r>
        <w:rPr>
          <w:rFonts w:ascii="Arial" w:hAnsi="Arial" w:cs="Arial"/>
          <w:b/>
          <w:i w:val="0"/>
          <w:color w:val="auto"/>
        </w:rPr>
        <w:t xml:space="preserve"> </w:t>
      </w:r>
    </w:p>
    <w:p w14:paraId="0676B66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 l’échelle internationale, la compétitivité dépend d’une multitude de facteurs. Parmi les plus importants se trouvent le taux de change, les conditions du marché international, le coût de transport international et enfin les préférences et arrangements entre les différents pays.</w:t>
      </w:r>
    </w:p>
    <w:p w14:paraId="1340EEBB"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54" w:name="_Toc395107545"/>
      <w:r>
        <w:rPr>
          <w:rFonts w:ascii="Arial" w:hAnsi="Arial" w:cs="Arial"/>
          <w:b/>
          <w:color w:val="auto"/>
          <w:sz w:val="24"/>
          <w:szCs w:val="24"/>
        </w:rPr>
        <w:t>Taux de change</w:t>
      </w:r>
      <w:bookmarkEnd w:id="54"/>
    </w:p>
    <w:p w14:paraId="3D1336D4"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 taux de change est déterminé par l’offre et la demande relatives d’une monnaie par rapport à une autre. Dans certains cas, ce taux est influencé par les mesures de politique que les différents gouvernements mettent en place. Ainsi, la dévaluation de la monnaie d’un pays par rapport à celle de son concurrent se traduit par une amélioration de la compétitivité des produits exportés, produits devenus moins chers en termes de monnaie du pays importateur. Les produits importés, à leur tour, deviennent plus chers rendant ainsi les producteurs locaux de ces biens plus compétitifs.</w:t>
      </w:r>
    </w:p>
    <w:p w14:paraId="252B3404" w14:textId="77777777" w:rsidR="008862C7" w:rsidRDefault="008862C7" w:rsidP="008862C7">
      <w:pPr>
        <w:pStyle w:val="Titre8"/>
        <w:numPr>
          <w:ilvl w:val="0"/>
          <w:numId w:val="10"/>
        </w:numPr>
        <w:spacing w:line="360" w:lineRule="auto"/>
        <w:jc w:val="both"/>
        <w:rPr>
          <w:rFonts w:ascii="Arial" w:hAnsi="Arial" w:cs="Arial"/>
          <w:b/>
          <w:color w:val="auto"/>
          <w:sz w:val="24"/>
          <w:szCs w:val="24"/>
        </w:rPr>
      </w:pPr>
      <w:bookmarkStart w:id="55" w:name="_Toc395107546"/>
      <w:r>
        <w:rPr>
          <w:rFonts w:ascii="Arial" w:hAnsi="Arial" w:cs="Arial"/>
          <w:b/>
          <w:color w:val="auto"/>
          <w:sz w:val="24"/>
          <w:szCs w:val="24"/>
        </w:rPr>
        <w:t>Conditions du marché international</w:t>
      </w:r>
      <w:bookmarkEnd w:id="55"/>
    </w:p>
    <w:p w14:paraId="05773E7F"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Avec le développement du libre-échange, qui favorise le commerce international entre les nations, la tendance sur le marché mondial des produits soumis aux échanges internationaux influence fortement la compétitivité des pays et des industries. Ainsi, la flambée des prix des produits agricoles sur le marché mondial conduisant à la crise alimentaire internationale est un déterminant considérable des industries agricoles au niveau local. </w:t>
      </w:r>
    </w:p>
    <w:p w14:paraId="4AA534B9" w14:textId="77777777" w:rsidR="008862C7" w:rsidRDefault="008862C7" w:rsidP="008862C7">
      <w:pPr>
        <w:pStyle w:val="Titre8"/>
        <w:numPr>
          <w:ilvl w:val="0"/>
          <w:numId w:val="10"/>
        </w:numPr>
        <w:spacing w:line="360" w:lineRule="auto"/>
        <w:rPr>
          <w:rFonts w:ascii="Arial" w:hAnsi="Arial" w:cs="Arial"/>
          <w:b/>
          <w:color w:val="auto"/>
          <w:sz w:val="24"/>
          <w:szCs w:val="24"/>
        </w:rPr>
      </w:pPr>
      <w:bookmarkStart w:id="56" w:name="_Toc395107547"/>
      <w:r>
        <w:rPr>
          <w:rFonts w:ascii="Arial" w:hAnsi="Arial" w:cs="Arial"/>
          <w:b/>
          <w:color w:val="auto"/>
          <w:sz w:val="24"/>
          <w:szCs w:val="24"/>
        </w:rPr>
        <w:t>Coût de transport international</w:t>
      </w:r>
      <w:bookmarkEnd w:id="56"/>
    </w:p>
    <w:p w14:paraId="3EE48BF4"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 transport et la logistique ainsi que la localisation par rapport aux marchés sont aujourd’hui des facteurs non négligeables dans la position concurrentielle d’une économie. Ainsi, il a été démontré que les pays disposant d’un accès direct à la mer dispose des coûts de transport relativement faibles que les pays enclavés. Ce faisant, les coûts de transport à l’international constituent un facteur essentiel pour la compétitivité d’une entité économique.</w:t>
      </w:r>
    </w:p>
    <w:p w14:paraId="60D9D4F3" w14:textId="77777777" w:rsidR="008862C7" w:rsidRDefault="008862C7" w:rsidP="008862C7">
      <w:pPr>
        <w:pStyle w:val="Paragraphedeliste"/>
        <w:numPr>
          <w:ilvl w:val="0"/>
          <w:numId w:val="10"/>
        </w:numPr>
        <w:spacing w:after="120" w:line="360" w:lineRule="auto"/>
        <w:jc w:val="both"/>
        <w:outlineLvl w:val="7"/>
        <w:rPr>
          <w:rFonts w:ascii="Arial" w:hAnsi="Arial" w:cs="Arial"/>
          <w:b/>
          <w:sz w:val="24"/>
          <w:szCs w:val="24"/>
        </w:rPr>
      </w:pPr>
      <w:bookmarkStart w:id="57" w:name="_Toc395107548"/>
      <w:r>
        <w:rPr>
          <w:rFonts w:ascii="Arial" w:hAnsi="Arial" w:cs="Arial"/>
          <w:b/>
          <w:sz w:val="24"/>
          <w:szCs w:val="24"/>
        </w:rPr>
        <w:t>Préférences et arrangements entre les différents pays</w:t>
      </w:r>
      <w:bookmarkEnd w:id="57"/>
    </w:p>
    <w:p w14:paraId="1FCB48C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diplomatie et l’état des relations bilatérales et multilatérales entre des nations constituent aujourd’hui des facteurs importants de détermination de la compétitivité d’une entité économique. Selon que les pays, où résident les industries, sont unis par une union économique, douanière, zone de libre-échange, etc., le niveau des arrangements (intégration) constitue un véritable levier pour la réduction de certains coûts de production par suppression et la réduction des barrières tarifaires et ainsi accroître la compétitivité des entreprises.</w:t>
      </w:r>
    </w:p>
    <w:p w14:paraId="54B45768" w14:textId="77777777" w:rsidR="008862C7" w:rsidRDefault="008862C7" w:rsidP="008862C7">
      <w:pPr>
        <w:pStyle w:val="Paragraphedeliste"/>
        <w:numPr>
          <w:ilvl w:val="2"/>
          <w:numId w:val="8"/>
        </w:numPr>
        <w:spacing w:after="120" w:line="360" w:lineRule="auto"/>
        <w:jc w:val="both"/>
        <w:outlineLvl w:val="4"/>
        <w:rPr>
          <w:rFonts w:ascii="Arial" w:hAnsi="Arial" w:cs="Arial"/>
          <w:b/>
          <w:sz w:val="24"/>
          <w:szCs w:val="24"/>
        </w:rPr>
      </w:pPr>
      <w:bookmarkStart w:id="58" w:name="_Toc395107549"/>
      <w:r>
        <w:rPr>
          <w:rFonts w:ascii="Arial" w:hAnsi="Arial" w:cs="Arial"/>
          <w:b/>
          <w:sz w:val="24"/>
          <w:szCs w:val="24"/>
        </w:rPr>
        <w:lastRenderedPageBreak/>
        <w:t>Indicateurs de la compétitivité</w:t>
      </w:r>
      <w:bookmarkEnd w:id="58"/>
    </w:p>
    <w:p w14:paraId="258A0B72"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Après le passage en revue des différents facteurs pouvant influencer la compétitivité, la question qu’on peut se poser est la suivante : quels sont les instruments appropriés pour évaluer la compétitivité d’une nation, d’une industrie ou d’une entreprise ? Nombreux sont les instruments qui ont été utilisés dans les travaux empiriques portant sur l’évaluation de la compétitivité. Cependant, bien que cette évaluation ait été dans la plupart des cas statiques (évaluée à un point donné dans le temps), ces mesures ont changé d’un niveau d’analyse à un autre. </w:t>
      </w:r>
    </w:p>
    <w:p w14:paraId="3BE5E603"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Au niveau national, les travaux portant sur l’évaluation de la compétitivité sont surtout focalisé sur le déficit de la balance commerciale ainsi que la croissance de la productivité nationale des facteurs (MC Corriston et Sheldon, 1994). Au niveau sectoriel trois types de mesures ont été utilisés, à savoir les mesures relatives aux coûts de production, les mesures relatives à la productivité des facteurs, et enfin les mesures relatives aux échanges commerciaux. Finalement, au niveau micro-économique, deux types d’instrument ont été au centre de l’analyse de la compétitivité des entreprises. On cite, les mesures relatives à la part du marché et les mesures relatives au profit. Dans ce qui suit, il sera présenté les différents indicateurs nécessaires à l’évaluation de la compétitivité d’une entité économique donnée.</w:t>
      </w:r>
    </w:p>
    <w:p w14:paraId="7DB5D382" w14:textId="77777777" w:rsidR="008862C7" w:rsidRDefault="008862C7" w:rsidP="008862C7">
      <w:pPr>
        <w:pStyle w:val="Titre6"/>
        <w:numPr>
          <w:ilvl w:val="3"/>
          <w:numId w:val="8"/>
        </w:numPr>
        <w:spacing w:line="360" w:lineRule="auto"/>
        <w:jc w:val="both"/>
        <w:rPr>
          <w:rFonts w:ascii="Arial" w:hAnsi="Arial" w:cs="Arial"/>
          <w:b/>
          <w:i w:val="0"/>
          <w:color w:val="auto"/>
        </w:rPr>
      </w:pPr>
      <w:bookmarkStart w:id="59" w:name="_Toc395107550"/>
      <w:r>
        <w:rPr>
          <w:rFonts w:ascii="Arial" w:hAnsi="Arial" w:cs="Arial"/>
          <w:b/>
          <w:i w:val="0"/>
          <w:color w:val="auto"/>
        </w:rPr>
        <w:t>Indicateurs de la compétitivité au niveau d’une économie nationale</w:t>
      </w:r>
      <w:bookmarkEnd w:id="59"/>
    </w:p>
    <w:p w14:paraId="43801AF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Au niveau macroéconomique, la compétitivité est rattachée á la capacité d’améliorer le niveau de vie des habitants, de générer des augmentations soutenues en productivité, de s’insérer avec succès sur les marchés internationaux. Plusieurs indicateurs ont été utilisés pour mesurer la compétitivité nationale.  Les études sur la compétitivité d’un pays retiennent deux approches: la croissance de la productivité nationale et la performance commerciale. </w:t>
      </w:r>
    </w:p>
    <w:p w14:paraId="249634A4" w14:textId="77777777" w:rsidR="008862C7" w:rsidRDefault="008862C7" w:rsidP="008862C7">
      <w:pPr>
        <w:pStyle w:val="Titre8"/>
        <w:numPr>
          <w:ilvl w:val="0"/>
          <w:numId w:val="10"/>
        </w:numPr>
        <w:spacing w:line="360" w:lineRule="auto"/>
        <w:rPr>
          <w:rFonts w:ascii="Arial" w:hAnsi="Arial" w:cs="Arial"/>
          <w:b/>
          <w:color w:val="auto"/>
          <w:sz w:val="24"/>
        </w:rPr>
      </w:pPr>
      <w:bookmarkStart w:id="60" w:name="_Toc395107551"/>
      <w:r>
        <w:rPr>
          <w:rFonts w:ascii="Arial" w:hAnsi="Arial" w:cs="Arial"/>
          <w:b/>
          <w:color w:val="auto"/>
          <w:sz w:val="24"/>
        </w:rPr>
        <w:t>Mesures relatives à la croissance de la productivité nationale des facteurs</w:t>
      </w:r>
      <w:bookmarkEnd w:id="60"/>
    </w:p>
    <w:p w14:paraId="316E4E0C" w14:textId="77777777" w:rsidR="008862C7" w:rsidRDefault="008862C7" w:rsidP="008862C7">
      <w:pPr>
        <w:spacing w:line="360" w:lineRule="auto"/>
        <w:jc w:val="both"/>
        <w:rPr>
          <w:rFonts w:ascii="Arial" w:hAnsi="Arial" w:cs="Arial"/>
          <w:sz w:val="24"/>
          <w:szCs w:val="24"/>
        </w:rPr>
      </w:pPr>
      <w:bookmarkStart w:id="61" w:name="_Toc395018827"/>
      <w:bookmarkStart w:id="62" w:name="_Toc395015391"/>
      <w:bookmarkStart w:id="63" w:name="_Toc395013105"/>
      <w:bookmarkStart w:id="64" w:name="_Toc394954772"/>
      <w:bookmarkStart w:id="65" w:name="_Toc394954616"/>
      <w:r>
        <w:rPr>
          <w:rFonts w:ascii="Arial" w:hAnsi="Arial" w:cs="Arial"/>
          <w:sz w:val="24"/>
          <w:szCs w:val="24"/>
        </w:rPr>
        <w:t xml:space="preserve">La productivité est la quantité produite par unité de facteur. Elle peut être calculée pour un facteur ou pour l’ensemble des facteurs (productivité totale des facteurs). La croissance de la productivité totale des facteurs est intimement associée à l’augmentation du revenu per capita. Cette augmentation peut provenir entre autres d’innovations technologiques, d’amélioration en capital humain ou en stock de connaissance. </w:t>
      </w:r>
    </w:p>
    <w:p w14:paraId="6FB4ED5C" w14:textId="77777777" w:rsidR="008862C7" w:rsidRDefault="008862C7" w:rsidP="008862C7">
      <w:pPr>
        <w:tabs>
          <w:tab w:val="left" w:pos="1064"/>
        </w:tabs>
        <w:autoSpaceDE w:val="0"/>
        <w:autoSpaceDN w:val="0"/>
        <w:adjustRightInd w:val="0"/>
        <w:spacing w:line="360" w:lineRule="auto"/>
        <w:jc w:val="both"/>
        <w:outlineLvl w:val="6"/>
        <w:rPr>
          <w:rFonts w:ascii="Arial" w:hAnsi="Arial" w:cs="Arial"/>
          <w:sz w:val="24"/>
          <w:szCs w:val="24"/>
        </w:rPr>
      </w:pPr>
      <w:r>
        <w:rPr>
          <w:rFonts w:ascii="Arial" w:hAnsi="Arial" w:cs="Arial"/>
          <w:sz w:val="24"/>
          <w:szCs w:val="24"/>
        </w:rPr>
        <w:t xml:space="preserve">La croissance de la productivité totale des facteurs et celle du revenu per capita sont souvent les indicateurs les plus courants pour évaluer le succès économique d’un pays. Une hausse de la productivité induira une amélioration de la compétitivité prix, si la répartition de gain de productivité permet de réduire le prix de revient. Par exemple dans le secteur agricole, la </w:t>
      </w:r>
      <w:r>
        <w:rPr>
          <w:rFonts w:ascii="Arial" w:hAnsi="Arial" w:cs="Arial"/>
          <w:sz w:val="24"/>
          <w:szCs w:val="24"/>
        </w:rPr>
        <w:lastRenderedPageBreak/>
        <w:t>productivité peut permettre d’accroître la compétitivité-volume car elle génère un accroissement des revenus des producteurs même sans hausse des prix à la production.</w:t>
      </w:r>
      <w:bookmarkStart w:id="66" w:name="_Toc395107552"/>
      <w:bookmarkEnd w:id="61"/>
      <w:bookmarkEnd w:id="62"/>
      <w:bookmarkEnd w:id="63"/>
      <w:bookmarkEnd w:id="64"/>
      <w:bookmarkEnd w:id="65"/>
    </w:p>
    <w:p w14:paraId="0B02DBCF" w14:textId="77777777" w:rsidR="008862C7" w:rsidRDefault="008862C7" w:rsidP="008862C7">
      <w:pPr>
        <w:pStyle w:val="Paragraphedeliste"/>
        <w:numPr>
          <w:ilvl w:val="0"/>
          <w:numId w:val="10"/>
        </w:numPr>
        <w:tabs>
          <w:tab w:val="clear" w:pos="708"/>
          <w:tab w:val="left" w:pos="1064"/>
        </w:tabs>
        <w:autoSpaceDE w:val="0"/>
        <w:autoSpaceDN w:val="0"/>
        <w:adjustRightInd w:val="0"/>
        <w:spacing w:line="360" w:lineRule="auto"/>
        <w:jc w:val="both"/>
        <w:outlineLvl w:val="6"/>
        <w:rPr>
          <w:rFonts w:ascii="Arial" w:hAnsi="Arial" w:cs="Arial"/>
          <w:sz w:val="24"/>
          <w:szCs w:val="24"/>
        </w:rPr>
      </w:pPr>
      <w:r>
        <w:rPr>
          <w:rFonts w:ascii="Arial" w:hAnsi="Arial" w:cs="Arial"/>
          <w:b/>
          <w:sz w:val="24"/>
          <w:szCs w:val="24"/>
        </w:rPr>
        <w:t>Mesures relatives à la performance de la balance commerciale.</w:t>
      </w:r>
      <w:bookmarkEnd w:id="66"/>
    </w:p>
    <w:p w14:paraId="07B7519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En matière de performance commerciale, les mesures utilisées sont relatives au changement de la structure des exportations vers des produits ayant un contenu technologique plus élève ou une plus grande valeur ajoutée, ainsi que la croissance dans le quota des marchés internationaux. Cette définition, celle du CEPII (1999) pour qui, parmi les mesures d’une bonne performance commerciale, sont communément utilisées : le changement de la structure des exportations vers des produits ayant un contenu technologique plus élevé ou une plus grande valeur ajoutée ; et la croissance dans le quota des marchés internationaux.</w:t>
      </w:r>
    </w:p>
    <w:p w14:paraId="1EC0F87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Les parts de marché à l’étranger constituent un indicateur révélateur de la compétitivité d’un pays. Cet indicateur est particulièrement utilisé pour comparer les performances à l’exportation. Il permet de calculer la part des produits exportés d’un pays dans l’ensemble de la demande mondiale. Il est dans ce cas le rapport des exportations à la demande mondiale. Elle peut être calculée de plusieurs manières. Du point de vue d’un pays, elle peut être définie globalement :</w:t>
      </w:r>
    </w:p>
    <w:p w14:paraId="6C082645" w14:textId="77777777" w:rsidR="008862C7" w:rsidRDefault="008862C7" w:rsidP="008862C7">
      <w:pPr>
        <w:pStyle w:val="Paragraphedeliste"/>
        <w:numPr>
          <w:ilvl w:val="0"/>
          <w:numId w:val="11"/>
        </w:numPr>
        <w:autoSpaceDE w:val="0"/>
        <w:autoSpaceDN w:val="0"/>
        <w:adjustRightInd w:val="0"/>
        <w:spacing w:line="360" w:lineRule="auto"/>
        <w:jc w:val="both"/>
        <w:rPr>
          <w:rFonts w:ascii="Arial" w:hAnsi="Arial" w:cs="Arial"/>
          <w:sz w:val="24"/>
          <w:szCs w:val="24"/>
        </w:rPr>
      </w:pPr>
      <w:r>
        <w:rPr>
          <w:rFonts w:ascii="Arial" w:hAnsi="Arial" w:cs="Arial"/>
          <w:sz w:val="24"/>
          <w:szCs w:val="24"/>
        </w:rPr>
        <w:t>sur le marché mondial : PDM</w:t>
      </w:r>
      <w:r>
        <w:rPr>
          <w:rFonts w:ascii="Arial" w:hAnsi="Arial" w:cs="Arial"/>
          <w:sz w:val="24"/>
          <w:szCs w:val="24"/>
          <w:vertAlign w:val="subscript"/>
        </w:rPr>
        <w:t>i</w:t>
      </w:r>
      <w:r>
        <w:rPr>
          <w:rFonts w:ascii="Arial" w:hAnsi="Arial" w:cs="Arial"/>
          <w:sz w:val="24"/>
          <w:szCs w:val="24"/>
        </w:rPr>
        <w:t xml:space="preserve"> = Xi/M, où Xi sont les exportations totales (tous produits) d’un pays et M les importations mondiales ;</w:t>
      </w:r>
    </w:p>
    <w:p w14:paraId="0FB124BF" w14:textId="77777777" w:rsidR="008862C7" w:rsidRDefault="008862C7" w:rsidP="008862C7">
      <w:pPr>
        <w:pStyle w:val="Paragraphedeliste"/>
        <w:numPr>
          <w:ilvl w:val="0"/>
          <w:numId w:val="11"/>
        </w:numPr>
        <w:autoSpaceDE w:val="0"/>
        <w:autoSpaceDN w:val="0"/>
        <w:adjustRightInd w:val="0"/>
        <w:spacing w:line="360" w:lineRule="auto"/>
        <w:jc w:val="both"/>
        <w:rPr>
          <w:rFonts w:ascii="Arial" w:hAnsi="Arial" w:cs="Arial"/>
          <w:sz w:val="24"/>
          <w:szCs w:val="24"/>
        </w:rPr>
      </w:pPr>
      <w:r>
        <w:rPr>
          <w:rFonts w:ascii="Arial" w:hAnsi="Arial" w:cs="Arial"/>
          <w:sz w:val="24"/>
          <w:szCs w:val="24"/>
        </w:rPr>
        <w:t>par rapport à un groupe de pays : PDM</w:t>
      </w:r>
      <w:r>
        <w:rPr>
          <w:rFonts w:ascii="Arial" w:hAnsi="Arial" w:cs="Arial"/>
          <w:sz w:val="24"/>
          <w:szCs w:val="24"/>
          <w:vertAlign w:val="subscript"/>
        </w:rPr>
        <w:t>ij</w:t>
      </w:r>
      <w:r>
        <w:rPr>
          <w:rFonts w:ascii="Arial" w:hAnsi="Arial" w:cs="Arial"/>
          <w:sz w:val="24"/>
          <w:szCs w:val="24"/>
        </w:rPr>
        <w:t xml:space="preserve"> = X</w:t>
      </w:r>
      <w:r>
        <w:rPr>
          <w:rFonts w:ascii="Arial" w:hAnsi="Arial" w:cs="Arial"/>
          <w:sz w:val="24"/>
          <w:szCs w:val="24"/>
          <w:vertAlign w:val="subscript"/>
        </w:rPr>
        <w:t>ij</w:t>
      </w:r>
      <w:r>
        <w:rPr>
          <w:rFonts w:ascii="Arial" w:hAnsi="Arial" w:cs="Arial"/>
          <w:sz w:val="24"/>
          <w:szCs w:val="24"/>
        </w:rPr>
        <w:t>/M</w:t>
      </w:r>
      <w:r>
        <w:rPr>
          <w:rFonts w:ascii="Arial" w:hAnsi="Arial" w:cs="Arial"/>
          <w:sz w:val="24"/>
          <w:szCs w:val="24"/>
          <w:vertAlign w:val="subscript"/>
        </w:rPr>
        <w:t>j</w:t>
      </w:r>
      <w:r>
        <w:rPr>
          <w:rFonts w:ascii="Arial" w:hAnsi="Arial" w:cs="Arial"/>
          <w:sz w:val="24"/>
          <w:szCs w:val="24"/>
        </w:rPr>
        <w:t xml:space="preserve"> où X</w:t>
      </w:r>
      <w:r>
        <w:rPr>
          <w:rFonts w:ascii="Arial" w:hAnsi="Arial" w:cs="Arial"/>
          <w:sz w:val="24"/>
          <w:szCs w:val="24"/>
          <w:vertAlign w:val="subscript"/>
        </w:rPr>
        <w:t>ij</w:t>
      </w:r>
      <w:r>
        <w:rPr>
          <w:rFonts w:ascii="Arial" w:hAnsi="Arial" w:cs="Arial"/>
          <w:sz w:val="24"/>
          <w:szCs w:val="24"/>
        </w:rPr>
        <w:t xml:space="preserve"> sont les exportations de i vers un pays ou groupe de pays j et</w:t>
      </w:r>
      <w:r>
        <w:rPr>
          <w:rFonts w:ascii="Arial" w:hAnsi="Arial" w:cs="Arial"/>
          <w:sz w:val="24"/>
          <w:szCs w:val="24"/>
          <w:vertAlign w:val="subscript"/>
        </w:rPr>
        <w:t xml:space="preserve"> </w:t>
      </w:r>
      <w:r>
        <w:rPr>
          <w:rFonts w:ascii="Arial" w:hAnsi="Arial" w:cs="Arial"/>
          <w:sz w:val="24"/>
          <w:szCs w:val="24"/>
        </w:rPr>
        <w:t>M</w:t>
      </w:r>
      <w:r>
        <w:rPr>
          <w:rFonts w:ascii="Arial" w:hAnsi="Arial" w:cs="Arial"/>
          <w:sz w:val="24"/>
          <w:szCs w:val="24"/>
          <w:vertAlign w:val="subscript"/>
        </w:rPr>
        <w:t xml:space="preserve">j </w:t>
      </w:r>
      <w:r>
        <w:rPr>
          <w:rFonts w:ascii="Arial" w:hAnsi="Arial" w:cs="Arial"/>
          <w:sz w:val="24"/>
          <w:szCs w:val="24"/>
        </w:rPr>
        <w:t>la demande exercée par j ; et</w:t>
      </w:r>
    </w:p>
    <w:p w14:paraId="19DB7AA5" w14:textId="77777777" w:rsidR="008862C7" w:rsidRDefault="008862C7" w:rsidP="008862C7">
      <w:pPr>
        <w:pStyle w:val="Paragraphedeliste"/>
        <w:numPr>
          <w:ilvl w:val="0"/>
          <w:numId w:val="11"/>
        </w:numPr>
        <w:autoSpaceDE w:val="0"/>
        <w:autoSpaceDN w:val="0"/>
        <w:adjustRightInd w:val="0"/>
        <w:spacing w:line="360" w:lineRule="auto"/>
        <w:jc w:val="both"/>
        <w:rPr>
          <w:rFonts w:ascii="Arial" w:hAnsi="Arial" w:cs="Arial"/>
          <w:sz w:val="24"/>
          <w:szCs w:val="24"/>
        </w:rPr>
      </w:pPr>
      <w:r>
        <w:rPr>
          <w:rFonts w:ascii="Arial" w:hAnsi="Arial" w:cs="Arial"/>
          <w:sz w:val="24"/>
          <w:szCs w:val="24"/>
        </w:rPr>
        <w:t>pour un produit a : PDM</w:t>
      </w:r>
      <w:r>
        <w:rPr>
          <w:rFonts w:ascii="Arial" w:hAnsi="Arial" w:cs="Arial"/>
          <w:sz w:val="24"/>
          <w:szCs w:val="24"/>
          <w:vertAlign w:val="subscript"/>
        </w:rPr>
        <w:t>ia</w:t>
      </w:r>
      <w:r>
        <w:rPr>
          <w:rFonts w:ascii="Arial" w:hAnsi="Arial" w:cs="Arial"/>
          <w:sz w:val="24"/>
          <w:szCs w:val="24"/>
        </w:rPr>
        <w:t xml:space="preserve"> = X</w:t>
      </w:r>
      <w:r>
        <w:rPr>
          <w:rFonts w:ascii="Arial" w:hAnsi="Arial" w:cs="Arial"/>
          <w:sz w:val="24"/>
          <w:szCs w:val="24"/>
          <w:vertAlign w:val="subscript"/>
        </w:rPr>
        <w:t>ia</w:t>
      </w:r>
      <w:r>
        <w:rPr>
          <w:rFonts w:ascii="Arial" w:hAnsi="Arial" w:cs="Arial"/>
          <w:sz w:val="24"/>
          <w:szCs w:val="24"/>
        </w:rPr>
        <w:t>/M</w:t>
      </w:r>
      <w:r>
        <w:rPr>
          <w:rFonts w:ascii="Arial" w:hAnsi="Arial" w:cs="Arial"/>
          <w:sz w:val="24"/>
          <w:szCs w:val="24"/>
          <w:vertAlign w:val="subscript"/>
        </w:rPr>
        <w:t>a</w:t>
      </w:r>
      <w:r>
        <w:rPr>
          <w:rFonts w:ascii="Arial" w:hAnsi="Arial" w:cs="Arial"/>
          <w:sz w:val="24"/>
          <w:szCs w:val="24"/>
        </w:rPr>
        <w:t xml:space="preserve"> ou X</w:t>
      </w:r>
      <w:r>
        <w:rPr>
          <w:rFonts w:ascii="Arial" w:hAnsi="Arial" w:cs="Arial"/>
          <w:sz w:val="24"/>
          <w:szCs w:val="24"/>
          <w:vertAlign w:val="subscript"/>
        </w:rPr>
        <w:t>ia</w:t>
      </w:r>
      <w:r>
        <w:rPr>
          <w:rFonts w:ascii="Arial" w:hAnsi="Arial" w:cs="Arial"/>
          <w:sz w:val="24"/>
          <w:szCs w:val="24"/>
        </w:rPr>
        <w:t xml:space="preserve"> sont les exportations en produit a de i et M</w:t>
      </w:r>
      <w:r>
        <w:rPr>
          <w:rFonts w:ascii="Arial" w:hAnsi="Arial" w:cs="Arial"/>
          <w:sz w:val="24"/>
          <w:szCs w:val="24"/>
          <w:vertAlign w:val="subscript"/>
        </w:rPr>
        <w:t>a</w:t>
      </w:r>
      <w:r>
        <w:rPr>
          <w:rFonts w:ascii="Arial" w:hAnsi="Arial" w:cs="Arial"/>
          <w:sz w:val="24"/>
          <w:szCs w:val="24"/>
        </w:rPr>
        <w:t xml:space="preserve"> la demande mondiale de a (a ici peut designer le coton).</w:t>
      </w:r>
    </w:p>
    <w:p w14:paraId="13FCDBD1" w14:textId="77777777" w:rsidR="008862C7" w:rsidRDefault="008862C7" w:rsidP="008862C7">
      <w:pPr>
        <w:pStyle w:val="Titre6"/>
        <w:numPr>
          <w:ilvl w:val="3"/>
          <w:numId w:val="8"/>
        </w:numPr>
        <w:rPr>
          <w:rFonts w:ascii="Arial" w:hAnsi="Arial" w:cs="Arial"/>
          <w:b/>
          <w:i w:val="0"/>
          <w:color w:val="auto"/>
        </w:rPr>
      </w:pPr>
      <w:bookmarkStart w:id="67" w:name="_Toc395107553"/>
      <w:r>
        <w:rPr>
          <w:rFonts w:ascii="Arial" w:hAnsi="Arial" w:cs="Arial"/>
          <w:b/>
          <w:i w:val="0"/>
          <w:color w:val="auto"/>
        </w:rPr>
        <w:t>Indicateurs de la compétitivité au niveau d’un secteur économique</w:t>
      </w:r>
      <w:bookmarkEnd w:id="67"/>
      <w:r>
        <w:rPr>
          <w:rFonts w:ascii="Arial" w:hAnsi="Arial" w:cs="Arial"/>
          <w:b/>
          <w:i w:val="0"/>
          <w:color w:val="auto"/>
        </w:rPr>
        <w:t xml:space="preserve"> </w:t>
      </w:r>
    </w:p>
    <w:p w14:paraId="6689AC87" w14:textId="77777777" w:rsidR="008862C7" w:rsidRDefault="008862C7" w:rsidP="008862C7">
      <w:pPr>
        <w:pStyle w:val="Titre7"/>
        <w:numPr>
          <w:ilvl w:val="0"/>
          <w:numId w:val="10"/>
        </w:numPr>
        <w:spacing w:after="240"/>
        <w:rPr>
          <w:rFonts w:ascii="Arial" w:hAnsi="Arial" w:cs="Arial"/>
          <w:b/>
          <w:i w:val="0"/>
          <w:color w:val="auto"/>
        </w:rPr>
      </w:pPr>
      <w:bookmarkStart w:id="68" w:name="_Toc395107554"/>
      <w:r>
        <w:rPr>
          <w:rFonts w:ascii="Arial" w:hAnsi="Arial" w:cs="Arial"/>
          <w:b/>
          <w:i w:val="0"/>
          <w:color w:val="auto"/>
        </w:rPr>
        <w:t>Mesures relatives aux coûts de production</w:t>
      </w:r>
      <w:bookmarkEnd w:id="68"/>
    </w:p>
    <w:p w14:paraId="4AAC9B72" w14:textId="77777777" w:rsidR="008862C7" w:rsidRDefault="008862C7" w:rsidP="008862C7">
      <w:pPr>
        <w:spacing w:after="240" w:line="360" w:lineRule="auto"/>
        <w:jc w:val="both"/>
        <w:rPr>
          <w:rFonts w:ascii="Arial" w:hAnsi="Arial" w:cs="Arial"/>
          <w:sz w:val="24"/>
          <w:szCs w:val="24"/>
        </w:rPr>
      </w:pPr>
      <w:r>
        <w:rPr>
          <w:rFonts w:ascii="Arial" w:hAnsi="Arial" w:cs="Arial"/>
          <w:sz w:val="24"/>
          <w:szCs w:val="24"/>
        </w:rPr>
        <w:t>La théorie de l'avantage comparatif</w:t>
      </w:r>
      <w:r>
        <w:rPr>
          <w:rStyle w:val="Appelnotedebasdep"/>
          <w:rFonts w:ascii="Arial" w:hAnsi="Arial" w:cs="Arial"/>
          <w:sz w:val="24"/>
          <w:szCs w:val="24"/>
        </w:rPr>
        <w:footnoteReference w:id="8"/>
      </w:r>
      <w:r>
        <w:rPr>
          <w:rFonts w:ascii="Arial" w:hAnsi="Arial" w:cs="Arial"/>
          <w:sz w:val="24"/>
          <w:szCs w:val="24"/>
        </w:rPr>
        <w:t xml:space="preserve"> stipule la comparaison des coûts relatifs et non des coûts</w:t>
      </w:r>
      <w:r>
        <w:rPr>
          <w:rFonts w:ascii="ArialMS" w:hAnsi="ArialMS" w:cs="ArialMS"/>
          <w:sz w:val="24"/>
          <w:szCs w:val="24"/>
        </w:rPr>
        <w:t xml:space="preserve"> </w:t>
      </w:r>
      <w:r>
        <w:rPr>
          <w:rFonts w:ascii="Arial" w:hAnsi="Arial" w:cs="Arial"/>
          <w:sz w:val="24"/>
          <w:szCs w:val="24"/>
        </w:rPr>
        <w:t xml:space="preserve">absolus de production. Cependant, la majorité des travaux d’évaluation de la compétitivité et par conséquent de l’avantage comparatif ont été principalement axés sur la comparaison internationale des coûts absolus de production (Stanton, 1986 ; Tange, 1992). Par ailleurs, étant </w:t>
      </w:r>
      <w:r>
        <w:rPr>
          <w:rFonts w:ascii="Arial" w:hAnsi="Arial" w:cs="Arial"/>
          <w:sz w:val="24"/>
          <w:szCs w:val="24"/>
        </w:rPr>
        <w:lastRenderedPageBreak/>
        <w:t xml:space="preserve">donné les différentes procédures d’échantillonnage, d’agrégation ainsi que les différentes sources de données, les coûts de production peuvent ne pas être directement comparables et constituent, par conséquent des indicateurs imparfaits de la compétitivité (Ahearn et </w:t>
      </w:r>
      <w:r>
        <w:rPr>
          <w:rFonts w:ascii="Arial" w:hAnsi="Arial" w:cs="Arial"/>
          <w:i/>
          <w:sz w:val="24"/>
          <w:szCs w:val="24"/>
        </w:rPr>
        <w:t>al.</w:t>
      </w:r>
      <w:r>
        <w:rPr>
          <w:rFonts w:ascii="Arial" w:hAnsi="Arial" w:cs="Arial"/>
          <w:sz w:val="24"/>
          <w:szCs w:val="24"/>
        </w:rPr>
        <w:t xml:space="preserve"> 1990).</w:t>
      </w:r>
    </w:p>
    <w:p w14:paraId="5AD44D8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Ainsi le coefficient de coût des ressources, le coût de production d’une unité de produits, apparaît comme une meilleure alternative pour l’application du modèle de l’avantage comparatif (Van Duren et Martin, 1992).</w:t>
      </w:r>
    </w:p>
    <w:p w14:paraId="1DAF7AE8" w14:textId="77777777" w:rsidR="008862C7" w:rsidRDefault="008862C7" w:rsidP="008862C7">
      <w:pPr>
        <w:pStyle w:val="Titre7"/>
        <w:numPr>
          <w:ilvl w:val="0"/>
          <w:numId w:val="10"/>
        </w:numPr>
        <w:spacing w:line="360" w:lineRule="auto"/>
        <w:jc w:val="both"/>
        <w:rPr>
          <w:rFonts w:ascii="Arial" w:hAnsi="Arial" w:cs="Arial"/>
          <w:i w:val="0"/>
          <w:color w:val="auto"/>
        </w:rPr>
      </w:pPr>
      <w:bookmarkStart w:id="69" w:name="_Toc395107555"/>
      <w:r>
        <w:rPr>
          <w:rFonts w:ascii="Arial" w:hAnsi="Arial" w:cs="Arial"/>
          <w:b/>
          <w:i w:val="0"/>
          <w:color w:val="auto"/>
        </w:rPr>
        <w:t>Mesures relatives à la productivité des facteurs</w:t>
      </w:r>
      <w:bookmarkEnd w:id="69"/>
    </w:p>
    <w:p w14:paraId="700ACC9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Jorgensen et Ni Shimizu (1978) ont été les premiers à introduire la notion des écarts de productivité entre deux entités. Défini comme étant la différence relative de produit moins la somme de la différence relative du niveau des intrants pondérée par leurs parts, ce concept a été empiriquement utilisé par Conrad (1988) et Christensen et </w:t>
      </w:r>
      <w:r>
        <w:rPr>
          <w:rFonts w:ascii="Arial" w:hAnsi="Arial" w:cs="Arial"/>
          <w:i/>
          <w:sz w:val="24"/>
          <w:szCs w:val="24"/>
        </w:rPr>
        <w:t>al.</w:t>
      </w:r>
      <w:r>
        <w:rPr>
          <w:rFonts w:ascii="Arial" w:hAnsi="Arial" w:cs="Arial"/>
          <w:sz w:val="24"/>
          <w:szCs w:val="24"/>
        </w:rPr>
        <w:t xml:space="preserve"> (1981). Ainsi, la diminution de l’écart de productivité entre deux entités implique que la première entité est en train d’améliorer sa position concurrentielle par rapport à la seconde. L’écart de productivité comme instrument d’évaluation de la compétitivité présente deux contraintes majeures. La première est que cet indicateur ne capte que les différences dues à la technologie et aux écarts des efficacités techniques. Les différences de compétitivité dues aux différences des prix des facteurs sont négligées. La deuxième est que cet instrument, à l’instar des coûts de production, ne contient aucune information quant aux déterminants de la compétitivité hors prix.   </w:t>
      </w:r>
    </w:p>
    <w:p w14:paraId="6958243B" w14:textId="77777777" w:rsidR="008862C7" w:rsidRDefault="008862C7" w:rsidP="008862C7">
      <w:pPr>
        <w:pStyle w:val="Titre7"/>
        <w:numPr>
          <w:ilvl w:val="0"/>
          <w:numId w:val="10"/>
        </w:numPr>
        <w:spacing w:line="360" w:lineRule="auto"/>
        <w:rPr>
          <w:rFonts w:ascii="Arial" w:hAnsi="Arial" w:cs="Arial"/>
          <w:b/>
          <w:i w:val="0"/>
          <w:color w:val="auto"/>
        </w:rPr>
      </w:pPr>
      <w:bookmarkStart w:id="70" w:name="_Toc395107556"/>
      <w:r>
        <w:rPr>
          <w:rFonts w:ascii="Arial" w:hAnsi="Arial" w:cs="Arial"/>
          <w:b/>
          <w:i w:val="0"/>
          <w:color w:val="auto"/>
        </w:rPr>
        <w:t>Mesures relatives aux échanges commerciaux</w:t>
      </w:r>
      <w:bookmarkEnd w:id="70"/>
    </w:p>
    <w:p w14:paraId="7572E80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A l'instar des indicateurs de performance relatifs à la productivité des facteurs, ceux relatifs aux échanges commerciaux sont basés également sur la théorie de l'avantage comparatif. En effet l'existence d'un avantage comparatif entraîne un avantage coût et donc une certaine spécialisation dans ce produit expliquant sa part importante dans les exportations.</w:t>
      </w:r>
    </w:p>
    <w:p w14:paraId="543CA41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Plusieurs indicateurs axés principalement sur la part des exportations ont été construit. Parmi ces indicateurs, on cite :</w:t>
      </w:r>
    </w:p>
    <w:p w14:paraId="35700C41" w14:textId="77777777" w:rsidR="008862C7" w:rsidRDefault="008862C7" w:rsidP="008862C7">
      <w:pPr>
        <w:numPr>
          <w:ilvl w:val="0"/>
          <w:numId w:val="12"/>
        </w:numPr>
        <w:tabs>
          <w:tab w:val="left" w:pos="708"/>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La part dans le marché de l'exportation, (XMS) : XMS</w:t>
      </w:r>
      <w:r>
        <w:rPr>
          <w:rFonts w:ascii="Arial" w:hAnsi="Arial" w:cs="Arial"/>
          <w:sz w:val="24"/>
          <w:szCs w:val="24"/>
          <w:vertAlign w:val="subscript"/>
        </w:rPr>
        <w:t>ik</w:t>
      </w:r>
      <w:r>
        <w:rPr>
          <w:rFonts w:ascii="Arial" w:hAnsi="Arial" w:cs="Arial"/>
          <w:sz w:val="24"/>
          <w:szCs w:val="24"/>
        </w:rPr>
        <w:t xml:space="preserve"> = 100(X</w:t>
      </w:r>
      <w:r>
        <w:rPr>
          <w:rFonts w:ascii="Arial" w:hAnsi="Arial" w:cs="Arial"/>
          <w:sz w:val="24"/>
          <w:szCs w:val="24"/>
          <w:vertAlign w:val="subscript"/>
        </w:rPr>
        <w:t>ik</w:t>
      </w:r>
      <w:r>
        <w:rPr>
          <w:rFonts w:ascii="Arial" w:hAnsi="Arial" w:cs="Arial"/>
          <w:sz w:val="24"/>
          <w:szCs w:val="24"/>
        </w:rPr>
        <w:t>/X</w:t>
      </w:r>
      <w:r>
        <w:rPr>
          <w:rFonts w:ascii="Arial" w:hAnsi="Arial" w:cs="Arial"/>
          <w:sz w:val="24"/>
          <w:szCs w:val="24"/>
          <w:vertAlign w:val="subscript"/>
        </w:rPr>
        <w:t>iw</w:t>
      </w:r>
      <w:r>
        <w:rPr>
          <w:rFonts w:ascii="Arial" w:hAnsi="Arial" w:cs="Arial"/>
          <w:sz w:val="24"/>
          <w:szCs w:val="24"/>
        </w:rPr>
        <w:t>), avec : X</w:t>
      </w:r>
      <w:r>
        <w:rPr>
          <w:rFonts w:ascii="Arial" w:hAnsi="Arial" w:cs="Arial"/>
          <w:i/>
          <w:sz w:val="24"/>
          <w:szCs w:val="24"/>
          <w:vertAlign w:val="subscript"/>
        </w:rPr>
        <w:t>ik</w:t>
      </w:r>
      <w:r>
        <w:rPr>
          <w:rFonts w:ascii="Arial" w:hAnsi="Arial" w:cs="Arial"/>
          <w:sz w:val="24"/>
          <w:szCs w:val="24"/>
        </w:rPr>
        <w:t xml:space="preserve"> = valeur des exportations du pays k pour l'industrie i ; X</w:t>
      </w:r>
      <w:r>
        <w:rPr>
          <w:rFonts w:ascii="Arial" w:hAnsi="Arial" w:cs="Arial"/>
          <w:sz w:val="24"/>
          <w:szCs w:val="24"/>
          <w:vertAlign w:val="subscript"/>
        </w:rPr>
        <w:t>iw</w:t>
      </w:r>
      <w:r>
        <w:rPr>
          <w:rFonts w:ascii="Arial" w:hAnsi="Arial" w:cs="Arial"/>
          <w:sz w:val="24"/>
          <w:szCs w:val="24"/>
        </w:rPr>
        <w:t xml:space="preserve"> = valeur des exportations mondiales de l'industrie i ;</w:t>
      </w:r>
    </w:p>
    <w:p w14:paraId="2692E3CB" w14:textId="77777777" w:rsidR="008862C7" w:rsidRDefault="008862C7" w:rsidP="008862C7">
      <w:pPr>
        <w:numPr>
          <w:ilvl w:val="0"/>
          <w:numId w:val="12"/>
        </w:numPr>
        <w:tabs>
          <w:tab w:val="left" w:pos="708"/>
        </w:tabs>
        <w:autoSpaceDE w:val="0"/>
        <w:autoSpaceDN w:val="0"/>
        <w:adjustRightInd w:val="0"/>
        <w:spacing w:after="120" w:line="360" w:lineRule="auto"/>
        <w:jc w:val="both"/>
        <w:rPr>
          <w:rFonts w:ascii="Arial" w:hAnsi="Arial" w:cs="Arial"/>
          <w:sz w:val="24"/>
          <w:szCs w:val="24"/>
        </w:rPr>
      </w:pPr>
      <w:r>
        <w:rPr>
          <w:rFonts w:ascii="Arial" w:hAnsi="Arial" w:cs="Arial"/>
          <w:sz w:val="24"/>
          <w:szCs w:val="24"/>
        </w:rPr>
        <w:t>Indice de l'Avantage Comparatif Révélé de Balassa, (XRCA) : XRCA</w:t>
      </w:r>
      <w:r>
        <w:rPr>
          <w:rFonts w:ascii="Arial" w:hAnsi="Arial" w:cs="Arial"/>
          <w:sz w:val="24"/>
          <w:szCs w:val="24"/>
          <w:vertAlign w:val="subscript"/>
        </w:rPr>
        <w:t>ik</w:t>
      </w:r>
      <w:r>
        <w:rPr>
          <w:rFonts w:ascii="Arial" w:hAnsi="Arial" w:cs="Arial"/>
          <w:sz w:val="24"/>
          <w:szCs w:val="24"/>
        </w:rPr>
        <w:t xml:space="preserve"> = 100 (X</w:t>
      </w:r>
      <w:r>
        <w:rPr>
          <w:rFonts w:ascii="Arial" w:hAnsi="Arial" w:cs="Arial"/>
          <w:sz w:val="24"/>
          <w:szCs w:val="24"/>
          <w:vertAlign w:val="subscript"/>
        </w:rPr>
        <w:t>ik</w:t>
      </w:r>
      <w:r>
        <w:rPr>
          <w:rFonts w:ascii="Arial" w:hAnsi="Arial" w:cs="Arial"/>
          <w:sz w:val="24"/>
          <w:szCs w:val="24"/>
        </w:rPr>
        <w:t>/X</w:t>
      </w:r>
      <w:r>
        <w:rPr>
          <w:rFonts w:ascii="Arial" w:hAnsi="Arial" w:cs="Arial"/>
          <w:sz w:val="24"/>
          <w:szCs w:val="24"/>
          <w:vertAlign w:val="subscript"/>
        </w:rPr>
        <w:t>iw</w:t>
      </w:r>
      <w:r>
        <w:rPr>
          <w:rFonts w:ascii="Arial" w:hAnsi="Arial" w:cs="Arial"/>
          <w:sz w:val="24"/>
          <w:szCs w:val="24"/>
        </w:rPr>
        <w:t>) / (X</w:t>
      </w:r>
      <w:r>
        <w:rPr>
          <w:rFonts w:ascii="Arial" w:hAnsi="Arial" w:cs="Arial"/>
          <w:sz w:val="24"/>
          <w:szCs w:val="24"/>
          <w:vertAlign w:val="subscript"/>
        </w:rPr>
        <w:t>k</w:t>
      </w:r>
      <w:r>
        <w:rPr>
          <w:rFonts w:ascii="Arial" w:hAnsi="Arial" w:cs="Arial"/>
          <w:sz w:val="24"/>
          <w:szCs w:val="24"/>
        </w:rPr>
        <w:t>/X</w:t>
      </w:r>
      <w:r>
        <w:rPr>
          <w:rFonts w:ascii="Arial" w:hAnsi="Arial" w:cs="Arial"/>
          <w:sz w:val="24"/>
          <w:szCs w:val="24"/>
          <w:vertAlign w:val="subscript"/>
        </w:rPr>
        <w:t>w</w:t>
      </w:r>
      <w:r>
        <w:rPr>
          <w:rFonts w:ascii="Arial" w:hAnsi="Arial" w:cs="Arial"/>
          <w:sz w:val="24"/>
          <w:szCs w:val="24"/>
        </w:rPr>
        <w:t>), avec : X</w:t>
      </w:r>
      <w:r>
        <w:rPr>
          <w:rFonts w:ascii="Arial" w:hAnsi="Arial" w:cs="Arial"/>
          <w:sz w:val="24"/>
          <w:szCs w:val="24"/>
          <w:vertAlign w:val="subscript"/>
        </w:rPr>
        <w:t>k</w:t>
      </w:r>
      <w:r>
        <w:rPr>
          <w:rFonts w:ascii="Arial" w:hAnsi="Arial" w:cs="Arial"/>
          <w:sz w:val="24"/>
          <w:szCs w:val="24"/>
        </w:rPr>
        <w:t xml:space="preserve"> = valeur des exportations de toutes les industries du pays k ; X</w:t>
      </w:r>
      <w:r>
        <w:rPr>
          <w:rFonts w:ascii="Arial" w:hAnsi="Arial" w:cs="Arial"/>
          <w:sz w:val="24"/>
          <w:szCs w:val="24"/>
          <w:vertAlign w:val="subscript"/>
        </w:rPr>
        <w:t>w</w:t>
      </w:r>
      <w:r>
        <w:rPr>
          <w:rFonts w:ascii="Arial" w:hAnsi="Arial" w:cs="Arial"/>
          <w:sz w:val="24"/>
          <w:szCs w:val="24"/>
        </w:rPr>
        <w:t xml:space="preserve"> = valeur des exportations mondiales de toutes les industries. La part des exportations d'un pays k </w:t>
      </w:r>
      <w:r>
        <w:rPr>
          <w:rFonts w:ascii="Arial" w:hAnsi="Arial" w:cs="Arial"/>
          <w:sz w:val="24"/>
          <w:szCs w:val="24"/>
        </w:rPr>
        <w:lastRenderedPageBreak/>
        <w:t>dans les exportations mondiales est utilisée pour normaliser cet indice. Une valeur supérieure à 100 implique un avantage comparatif révélé pour l'exportation du produit i par le pays k ;</w:t>
      </w:r>
    </w:p>
    <w:p w14:paraId="6C39B5D7" w14:textId="77777777" w:rsidR="008862C7" w:rsidRDefault="008862C7" w:rsidP="008862C7">
      <w:pPr>
        <w:numPr>
          <w:ilvl w:val="0"/>
          <w:numId w:val="12"/>
        </w:numPr>
        <w:tabs>
          <w:tab w:val="left" w:pos="708"/>
        </w:tabs>
        <w:autoSpaceDE w:val="0"/>
        <w:autoSpaceDN w:val="0"/>
        <w:adjustRightInd w:val="0"/>
        <w:spacing w:after="100" w:afterAutospacing="1" w:line="360" w:lineRule="auto"/>
        <w:jc w:val="both"/>
        <w:rPr>
          <w:rFonts w:ascii="Arial" w:hAnsi="Arial" w:cs="Arial"/>
          <w:sz w:val="24"/>
          <w:szCs w:val="24"/>
        </w:rPr>
      </w:pPr>
      <w:r>
        <w:rPr>
          <w:rFonts w:ascii="Arial" w:hAnsi="Arial" w:cs="Arial"/>
          <w:sz w:val="24"/>
          <w:szCs w:val="24"/>
        </w:rPr>
        <w:t>Indice des exportations nettes de Balassa et Bauwens, (NX) : NX</w:t>
      </w:r>
      <w:r>
        <w:rPr>
          <w:rFonts w:ascii="Arial" w:hAnsi="Arial" w:cs="Arial"/>
          <w:sz w:val="24"/>
          <w:szCs w:val="24"/>
          <w:vertAlign w:val="subscript"/>
        </w:rPr>
        <w:t xml:space="preserve">ik </w:t>
      </w:r>
      <w:r>
        <w:rPr>
          <w:rFonts w:ascii="Arial" w:hAnsi="Arial" w:cs="Arial"/>
          <w:sz w:val="24"/>
          <w:szCs w:val="24"/>
        </w:rPr>
        <w:t>= 100 (X</w:t>
      </w:r>
      <w:r>
        <w:rPr>
          <w:rFonts w:ascii="Arial" w:hAnsi="Arial" w:cs="Arial"/>
          <w:sz w:val="24"/>
          <w:szCs w:val="24"/>
          <w:vertAlign w:val="subscript"/>
        </w:rPr>
        <w:t>ik</w:t>
      </w:r>
      <w:r>
        <w:rPr>
          <w:rFonts w:ascii="Arial" w:hAnsi="Arial" w:cs="Arial"/>
          <w:sz w:val="24"/>
          <w:szCs w:val="24"/>
        </w:rPr>
        <w:t xml:space="preserve"> – M</w:t>
      </w:r>
      <w:r>
        <w:rPr>
          <w:rFonts w:ascii="Arial" w:hAnsi="Arial" w:cs="Arial"/>
          <w:sz w:val="24"/>
          <w:szCs w:val="24"/>
          <w:vertAlign w:val="subscript"/>
        </w:rPr>
        <w:t>ik</w:t>
      </w:r>
      <w:r>
        <w:rPr>
          <w:rFonts w:ascii="Arial" w:hAnsi="Arial" w:cs="Arial"/>
          <w:sz w:val="24"/>
          <w:szCs w:val="24"/>
        </w:rPr>
        <w:t>)/Y</w:t>
      </w:r>
      <w:r>
        <w:rPr>
          <w:rFonts w:ascii="Arial" w:hAnsi="Arial" w:cs="Arial"/>
          <w:sz w:val="24"/>
          <w:szCs w:val="24"/>
          <w:vertAlign w:val="subscript"/>
        </w:rPr>
        <w:t>ik</w:t>
      </w:r>
      <w:r>
        <w:rPr>
          <w:rFonts w:ascii="Arial" w:hAnsi="Arial" w:cs="Arial"/>
          <w:sz w:val="24"/>
          <w:szCs w:val="24"/>
        </w:rPr>
        <w:t>, avec : M</w:t>
      </w:r>
      <w:r>
        <w:rPr>
          <w:rFonts w:ascii="Arial" w:hAnsi="Arial" w:cs="Arial"/>
          <w:sz w:val="24"/>
          <w:szCs w:val="24"/>
          <w:vertAlign w:val="subscript"/>
        </w:rPr>
        <w:t>ik</w:t>
      </w:r>
      <w:r>
        <w:rPr>
          <w:rFonts w:ascii="Arial" w:hAnsi="Arial" w:cs="Arial"/>
          <w:sz w:val="24"/>
          <w:szCs w:val="24"/>
        </w:rPr>
        <w:t xml:space="preserve"> = valeur des importations de l'industrie i pour le pays k ; Y</w:t>
      </w:r>
      <w:r>
        <w:rPr>
          <w:rFonts w:ascii="Arial" w:hAnsi="Arial" w:cs="Arial"/>
          <w:sz w:val="24"/>
          <w:szCs w:val="24"/>
          <w:vertAlign w:val="subscript"/>
        </w:rPr>
        <w:t xml:space="preserve">ik </w:t>
      </w:r>
      <w:r>
        <w:rPr>
          <w:rFonts w:ascii="Arial" w:hAnsi="Arial" w:cs="Arial"/>
          <w:sz w:val="24"/>
          <w:szCs w:val="24"/>
        </w:rPr>
        <w:t>= valeur de la production de l'industrie i pour le pays k. L'indice des exportations nettes peut prendre des valeurs positives ou négatives et par conséquent ne peut être directement comparé à l'indice de l'avantage comparatif révélé.</w:t>
      </w:r>
    </w:p>
    <w:p w14:paraId="7D01E3C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Ces indices, bien qu'ils apportent un certain éclairage sur la notion de la compétitivité, ne dressent guerre la question des entreprises multinationales dont la production de leurs filiales à l'étranger peut être 3 à 4 fois plus grande que celle dans leur pays d'appartenance. Traill et Da Silva (1994) abordent cette question et présentent des alternatives aux indices ci-dessus développés en tenant compte de la production des entreprises multinationales à l'étranger. Ainsi, les auteurs démontrent que certains pays, apparemment non compétitifs d'après les indices traditionnels, sont en réalité compétitifs si la production à l'étranger des entreprises multinationales est considérée.</w:t>
      </w:r>
    </w:p>
    <w:p w14:paraId="4C8D227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L’analyse des indicateurs de part de marché d’une entreprise devra être soutenue par l’examen de ratios plus précis concernant sa rentabilité, sa productivité et sa profitabilité. Par exemple, comme indicateur, les taux de marge permettent de mesurer : la capacité d’une entreprise à contrôler ses coûts et à fixer ses prix, l’excellence de son processus de production (qualité, fiabilité, flexibilité, sécurité, etc.) et ses compétences en matière de gestion des ressources humaines.</w:t>
      </w:r>
    </w:p>
    <w:p w14:paraId="5D70E85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rentabilité financière constitue un autre indicateur de compétitivité qui mesure le rendement du capital investi par l’actionnaire majoritaire. D’autres indicateurs comme la rentabilité économique, ou taux de profit (Excédent brut global/capital engagé), la productivité apparente du travail (Valeur ajoutée globale/effectifs salariés), le taux d’autofinancement, les parts de marché, etc. pourraient être calculés. Ces indicateurs permettront de classer les entreprises les unes par rapport aux autres ou de comparer la compétitivité de deux ou plusieurs groupes homogènes entre eux.</w:t>
      </w:r>
    </w:p>
    <w:p w14:paraId="4F8EC7D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 compétitivité d’une entreprise dépend aussi à la fois de sa gestion interne, de sa capacité d’investissement, de son adaptation à la demande et à l’environnement dans lequel elle évolue. L’intérêt de cette dernière va se fixer sur la compétitivité du produit sur ses lieux de </w:t>
      </w:r>
      <w:r>
        <w:rPr>
          <w:rFonts w:ascii="Arial" w:hAnsi="Arial" w:cs="Arial"/>
          <w:sz w:val="24"/>
          <w:szCs w:val="24"/>
        </w:rPr>
        <w:lastRenderedPageBreak/>
        <w:t xml:space="preserve">commercialisation, d’ou l’importance du choix des marches sur lesquels elle se positionne. En effet, la recherche de la qualité, la spécialisation en fonction de la demande, le choix des clients et des pays destinataires des exportations sont des éléments stratégiques de compétitivité. </w:t>
      </w:r>
    </w:p>
    <w:p w14:paraId="3394982F" w14:textId="77777777" w:rsidR="008862C7" w:rsidRDefault="008862C7" w:rsidP="008862C7">
      <w:pPr>
        <w:pStyle w:val="Titre7"/>
        <w:numPr>
          <w:ilvl w:val="0"/>
          <w:numId w:val="10"/>
        </w:numPr>
        <w:spacing w:line="360" w:lineRule="auto"/>
        <w:jc w:val="both"/>
        <w:rPr>
          <w:rFonts w:ascii="Arial" w:hAnsi="Arial" w:cs="Arial"/>
          <w:b/>
          <w:i w:val="0"/>
          <w:color w:val="auto"/>
        </w:rPr>
      </w:pPr>
      <w:bookmarkStart w:id="71" w:name="_Toc395107557"/>
      <w:r>
        <w:rPr>
          <w:rFonts w:ascii="Arial" w:hAnsi="Arial" w:cs="Arial"/>
          <w:b/>
          <w:i w:val="0"/>
          <w:color w:val="auto"/>
        </w:rPr>
        <w:t>Mesures relatives au part du marché</w:t>
      </w:r>
      <w:bookmarkEnd w:id="71"/>
      <w:r>
        <w:rPr>
          <w:rFonts w:ascii="Arial" w:hAnsi="Arial" w:cs="Arial"/>
          <w:b/>
          <w:i w:val="0"/>
          <w:color w:val="auto"/>
        </w:rPr>
        <w:t xml:space="preserve"> </w:t>
      </w:r>
    </w:p>
    <w:p w14:paraId="669F153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part du marché ou plus exactement la croissance de la part du marché a été utilisée comme indicateur de performance dans de nombreux travaux empiriques (Larson et Rask, 1992 ; Djimasra, 2010). Cependant, à l'encontre des mesures relatives aux coûts de production et ceux relatives à la productivité des facteurs, cet indicateur capte aussi bien les facteurs de compétitivité hors prix que les facteurs de compétitivité prix affectant la performance d'un produit donnée et est considéré comme étant une mesure du résultat final de la compétitivité. Par ailleurs, en dépit de son utilisation répandue, une insuffisance à l'encontre de cet indicateur peut être avancée. En effet, cet indicateur ne peut pas distinguer entre un accroissement de la part du marché dû à une performance supérieure de celui dû à une subvention des exportations, ni entre une diminution de la part due à une faible performance de celle due à un quota. Une telle insuffisance peut s'avérer trop limitant pour certains produits étant donnée la diversité des mesures de politique en place et les distorsions qu'elles peuvent causer.</w:t>
      </w:r>
    </w:p>
    <w:p w14:paraId="7FFCFBFF" w14:textId="77777777" w:rsidR="008862C7" w:rsidRDefault="008862C7" w:rsidP="008862C7">
      <w:pPr>
        <w:pStyle w:val="Titre7"/>
        <w:numPr>
          <w:ilvl w:val="0"/>
          <w:numId w:val="10"/>
        </w:numPr>
        <w:spacing w:line="360" w:lineRule="auto"/>
        <w:jc w:val="both"/>
        <w:rPr>
          <w:rFonts w:ascii="Arial" w:hAnsi="Arial" w:cs="Arial"/>
          <w:i w:val="0"/>
          <w:color w:val="auto"/>
        </w:rPr>
      </w:pPr>
      <w:bookmarkStart w:id="72" w:name="_Toc395107558"/>
      <w:r>
        <w:rPr>
          <w:rFonts w:ascii="Arial" w:hAnsi="Arial" w:cs="Arial"/>
          <w:b/>
          <w:i w:val="0"/>
          <w:color w:val="auto"/>
        </w:rPr>
        <w:t>Mesures relatives au profit.</w:t>
      </w:r>
      <w:bookmarkEnd w:id="72"/>
    </w:p>
    <w:p w14:paraId="275C67D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L'utilisation du profit en tant qu'indicateur de performance de l'entreprise est peu courante dans la littérature. Les quelques applications qu'on retrouve sont focalisées ou bien sur les mesures des marges brutes et nettes de l'entreprise ou bien sur les indicateurs de comportement prix-coût.</w:t>
      </w:r>
    </w:p>
    <w:p w14:paraId="1F09577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En somme, pour mesurer la compétitivité internationale du coton centrafricain, une question de choix se pose pour savoir entre les différents indicateurs servant à la mesure de la compétitivité économique et qui ont été présentés dans le cadre de ce travail lesquels seront retenus pour notre analyse. L’indicateur clé qui sera retenu dans le cadre de ce travail est la part du marché ou plus exactement la croissance de la part du marché du coton centrafricain sur le marché mondial. Il sera mesuré par le taux moyen annuel de croissance des exportations cotonnières(XMA) de chaque pays</w:t>
      </w:r>
      <w:r>
        <w:footnoteReference w:id="9"/>
      </w:r>
      <w:r>
        <w:rPr>
          <w:rFonts w:ascii="Arial" w:hAnsi="Arial" w:cs="Arial"/>
          <w:sz w:val="24"/>
          <w:szCs w:val="24"/>
        </w:rPr>
        <w:t xml:space="preserve"> de l’échantillon (année de base 2000 = 100), plus </w:t>
      </w:r>
      <w:r>
        <w:rPr>
          <w:rFonts w:ascii="Arial" w:hAnsi="Arial" w:cs="Arial"/>
          <w:sz w:val="24"/>
          <w:szCs w:val="24"/>
        </w:rPr>
        <w:lastRenderedPageBreak/>
        <w:t xml:space="preserve">exactement il s’agit de la croissance de la part du marché. Pour nuancer la faiblesse couramment formulée à l'encontre de cet indicateur, une autre mesure de la compétitivité sera spécifiée en complément. Cette mesure fait une nette distinction entre les sources de compétitivité structurelle et de compétitivité prix. </w:t>
      </w:r>
    </w:p>
    <w:p w14:paraId="446C2879" w14:textId="77777777" w:rsidR="008862C7" w:rsidRDefault="008862C7" w:rsidP="008862C7">
      <w:pPr>
        <w:pStyle w:val="Titre3"/>
        <w:rPr>
          <w:b/>
        </w:rPr>
      </w:pPr>
      <w:bookmarkStart w:id="73" w:name="_Toc395107559"/>
      <w:bookmarkStart w:id="74" w:name="_Toc394954773"/>
      <w:r>
        <w:rPr>
          <w:b/>
        </w:rPr>
        <w:t>II. CADRE THEORIQUE DE LA COMPETITIVITE DES FILIERES AGRICOLES</w:t>
      </w:r>
      <w:bookmarkEnd w:id="73"/>
      <w:bookmarkEnd w:id="74"/>
    </w:p>
    <w:p w14:paraId="04597A0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Différentes théories sous-tendent la présente étude sur les déterminants de la compétitivité du coton centrafricain. Il s’agit plus principalement de l’approche filière, de la</w:t>
      </w:r>
      <w:r>
        <w:rPr>
          <w:rFonts w:ascii="Arial" w:hAnsi="Arial" w:cs="Arial"/>
          <w:bCs/>
          <w:sz w:val="24"/>
          <w:szCs w:val="24"/>
        </w:rPr>
        <w:t xml:space="preserve"> nouvelle théorie du commerce international </w:t>
      </w:r>
      <w:r>
        <w:rPr>
          <w:rFonts w:ascii="Arial" w:hAnsi="Arial" w:cs="Arial"/>
          <w:sz w:val="24"/>
          <w:szCs w:val="24"/>
        </w:rPr>
        <w:t>et l’application de cette théorie au concept de compétitivité dans le cadre des filières agro-alimentaires. En présentant un tableau panoramique de ces théories, elles permettent donc d’avoir une meilleure compréhension des déterminants de la compétitivité d’une filière agro-alimentaire.</w:t>
      </w:r>
    </w:p>
    <w:p w14:paraId="77AC4B97" w14:textId="77777777" w:rsidR="008862C7" w:rsidRDefault="008862C7" w:rsidP="008862C7">
      <w:pPr>
        <w:pStyle w:val="Titre4"/>
        <w:numPr>
          <w:ilvl w:val="1"/>
          <w:numId w:val="13"/>
        </w:numPr>
        <w:spacing w:line="360" w:lineRule="auto"/>
        <w:jc w:val="both"/>
        <w:rPr>
          <w:rFonts w:ascii="Arial" w:hAnsi="Arial" w:cs="Arial"/>
          <w:sz w:val="24"/>
          <w:szCs w:val="24"/>
        </w:rPr>
      </w:pPr>
      <w:bookmarkStart w:id="75" w:name="_Toc395107560"/>
      <w:r>
        <w:rPr>
          <w:rFonts w:ascii="Arial" w:hAnsi="Arial" w:cs="Arial"/>
          <w:sz w:val="24"/>
          <w:szCs w:val="24"/>
        </w:rPr>
        <w:t>Approche filière en agro-alimentaire</w:t>
      </w:r>
      <w:bookmarkEnd w:id="75"/>
    </w:p>
    <w:p w14:paraId="27DCDE4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Au regard des enjeux que représentent les filières cotonnières dans les économies des pays producteurs d’Afrique de l’Ouest et du Centre, les institutions financières internationales et certains partenaires au développement ont préconisé diverses réformes pour faire face aux crises itératives que connaît la filière depuis quelques décennies (Hugon </w:t>
      </w:r>
      <w:r>
        <w:rPr>
          <w:rFonts w:ascii="Arial" w:hAnsi="Arial" w:cs="Arial"/>
          <w:i/>
          <w:iCs/>
          <w:sz w:val="24"/>
          <w:szCs w:val="24"/>
        </w:rPr>
        <w:t>et al.,</w:t>
      </w:r>
      <w:r>
        <w:rPr>
          <w:rFonts w:ascii="Arial" w:hAnsi="Arial" w:cs="Arial"/>
          <w:sz w:val="24"/>
          <w:szCs w:val="24"/>
        </w:rPr>
        <w:t xml:space="preserve"> 2003 ; Fok, 2000). Ces réformes, tant structurelles qu’organisationnelle, s’inscrivent dans le cadre de la mise en œuvre du programme d’ajustement structurel (PAS). Elles visaient à réorganiser les filières cotonnières africaines afin d’améliorer leur productivité ainsi que leur compétitivité. Les mesures proposées concernent principalement : l’organisation des filières en termes de « filière intégrée »</w:t>
      </w:r>
      <w:r>
        <w:rPr>
          <w:rStyle w:val="Appelnotedebasdep"/>
          <w:rFonts w:ascii="Arial" w:hAnsi="Arial" w:cs="Arial"/>
          <w:sz w:val="24"/>
          <w:szCs w:val="24"/>
        </w:rPr>
        <w:footnoteReference w:id="10"/>
      </w:r>
      <w:r>
        <w:rPr>
          <w:rFonts w:ascii="Arial" w:hAnsi="Arial" w:cs="Arial"/>
          <w:sz w:val="24"/>
          <w:szCs w:val="24"/>
        </w:rPr>
        <w:t xml:space="preserve"> ; la libéralisation complète des filières ; et la privatisation des filières. </w:t>
      </w:r>
    </w:p>
    <w:p w14:paraId="5F47744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L’ensemble des réformes à mettre en œuvre renvoie directement aux débats relatifs à la notion de filière par rapport à un produit tel le coton.</w:t>
      </w:r>
    </w:p>
    <w:p w14:paraId="53457E25" w14:textId="77777777" w:rsidR="008862C7" w:rsidRDefault="008862C7" w:rsidP="008862C7">
      <w:pPr>
        <w:pStyle w:val="Paragraphedeliste"/>
        <w:numPr>
          <w:ilvl w:val="2"/>
          <w:numId w:val="14"/>
        </w:numPr>
        <w:autoSpaceDE w:val="0"/>
        <w:autoSpaceDN w:val="0"/>
        <w:adjustRightInd w:val="0"/>
        <w:spacing w:after="120" w:line="360" w:lineRule="auto"/>
        <w:jc w:val="both"/>
        <w:outlineLvl w:val="4"/>
        <w:rPr>
          <w:rFonts w:ascii="Arial" w:hAnsi="Arial" w:cs="Arial"/>
          <w:b/>
          <w:bCs/>
          <w:sz w:val="24"/>
          <w:szCs w:val="24"/>
        </w:rPr>
      </w:pPr>
      <w:r>
        <w:rPr>
          <w:rFonts w:ascii="Arial" w:hAnsi="Arial" w:cs="Arial"/>
          <w:b/>
          <w:bCs/>
          <w:sz w:val="24"/>
          <w:szCs w:val="24"/>
        </w:rPr>
        <w:t xml:space="preserve"> </w:t>
      </w:r>
      <w:bookmarkStart w:id="76" w:name="_Toc395107561"/>
      <w:r>
        <w:rPr>
          <w:rFonts w:ascii="Arial" w:hAnsi="Arial" w:cs="Arial"/>
          <w:b/>
          <w:bCs/>
          <w:sz w:val="24"/>
          <w:szCs w:val="24"/>
        </w:rPr>
        <w:t>Différentes interprétations du concept de filière</w:t>
      </w:r>
      <w:bookmarkEnd w:id="76"/>
    </w:p>
    <w:p w14:paraId="2C0538E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Les débats sur la notion de filière ont donné lieu à diverses interprétations de ce concept. Une filière peut être définie comme étant une division de la structure économique articulée autour d’une suite nécessaire d’états intermédiaires d’un bien (Rainelli, 1988). La notion est liée à l’économie industrielle française</w:t>
      </w:r>
      <w:r>
        <w:rPr>
          <w:rStyle w:val="Appelnotedebasdep"/>
          <w:rFonts w:ascii="Arial" w:hAnsi="Arial" w:cs="Arial"/>
          <w:sz w:val="24"/>
          <w:szCs w:val="24"/>
        </w:rPr>
        <w:footnoteReference w:id="11"/>
      </w:r>
      <w:r>
        <w:rPr>
          <w:rFonts w:ascii="Arial" w:hAnsi="Arial" w:cs="Arial"/>
          <w:sz w:val="24"/>
          <w:szCs w:val="24"/>
        </w:rPr>
        <w:t xml:space="preserve">. Son acceptation première repose sur la dimension technique </w:t>
      </w:r>
      <w:r>
        <w:rPr>
          <w:rFonts w:ascii="Arial" w:hAnsi="Arial" w:cs="Arial"/>
          <w:sz w:val="24"/>
          <w:szCs w:val="24"/>
        </w:rPr>
        <w:lastRenderedPageBreak/>
        <w:t>permettant de suivre le processus de production industrielle d’une matière première en amont jusqu’au produit fini et sa distribution en aval. Les utilisateurs de ce concept s’intéresseront aux coefficients techniques pour étudier les différents stades de la production et les répercussions des changements techniques, etc.</w:t>
      </w:r>
    </w:p>
    <w:p w14:paraId="5F65634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Une autre définition met l’accent sur les stratégies des agents économiques (des firmes) qui peuvent exercer une domination sur un ensemble d’opérations. Ces stratégies amènent les entreprises à rechercher une intégration verticale (contrôle de l'ensemble des stades de production transformation, et distribution), une internalisation des transactions, si les coûts de transactions internes sont inférieurs à ceux (externes) du marché. Cette politique pouvant s’effectuer aussi bien vers l’amont que vers l’aval. La recherche de position à l’intersection de plusieurs filières étant particulièrement convoitée.</w:t>
      </w:r>
    </w:p>
    <w:p w14:paraId="4F9EF88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Une autre conception, pas très rigoureuse sur les limites de chaque filière, met l’accent sur la cohérence des objectifs de politiques économiques. Il s’agit de réfléchir, en général à partir d’un produit fini, aux meilleurs politiques industrielles à mettre en place : élimination des goulots d’étranglement, objectifs politiques (filières de souveraineté, de substitution aux importations, effets d’entraînements, etc.).</w:t>
      </w:r>
    </w:p>
    <w:p w14:paraId="20B058EA" w14:textId="77777777" w:rsidR="008862C7" w:rsidRDefault="008862C7" w:rsidP="008862C7">
      <w:pPr>
        <w:autoSpaceDE w:val="0"/>
        <w:autoSpaceDN w:val="0"/>
        <w:adjustRightInd w:val="0"/>
        <w:spacing w:line="360" w:lineRule="auto"/>
        <w:jc w:val="both"/>
        <w:rPr>
          <w:rFonts w:ascii="Arial" w:hAnsi="Arial" w:cs="Arial"/>
          <w:sz w:val="24"/>
          <w:szCs w:val="24"/>
        </w:rPr>
      </w:pPr>
    </w:p>
    <w:p w14:paraId="284FB9A3" w14:textId="77777777" w:rsidR="008862C7" w:rsidRDefault="008862C7" w:rsidP="008862C7">
      <w:pPr>
        <w:autoSpaceDE w:val="0"/>
        <w:autoSpaceDN w:val="0"/>
        <w:adjustRightInd w:val="0"/>
        <w:spacing w:line="360" w:lineRule="auto"/>
        <w:jc w:val="both"/>
        <w:rPr>
          <w:rFonts w:ascii="Arial" w:hAnsi="Arial" w:cs="Arial"/>
          <w:sz w:val="24"/>
          <w:szCs w:val="24"/>
        </w:rPr>
      </w:pPr>
    </w:p>
    <w:p w14:paraId="159177A3" w14:textId="77777777" w:rsidR="008862C7" w:rsidRDefault="008862C7" w:rsidP="008862C7">
      <w:pPr>
        <w:pStyle w:val="Paragraphedeliste"/>
        <w:numPr>
          <w:ilvl w:val="2"/>
          <w:numId w:val="14"/>
        </w:numPr>
        <w:autoSpaceDE w:val="0"/>
        <w:autoSpaceDN w:val="0"/>
        <w:adjustRightInd w:val="0"/>
        <w:spacing w:after="0" w:line="360" w:lineRule="auto"/>
        <w:jc w:val="both"/>
        <w:outlineLvl w:val="4"/>
        <w:rPr>
          <w:rFonts w:ascii="Arial" w:hAnsi="Arial" w:cs="Arial"/>
          <w:b/>
          <w:bCs/>
          <w:sz w:val="24"/>
          <w:szCs w:val="24"/>
        </w:rPr>
      </w:pPr>
      <w:bookmarkStart w:id="77" w:name="_Toc395107562"/>
      <w:r>
        <w:rPr>
          <w:rFonts w:ascii="Arial" w:hAnsi="Arial" w:cs="Arial"/>
          <w:b/>
          <w:bCs/>
          <w:sz w:val="24"/>
          <w:szCs w:val="24"/>
        </w:rPr>
        <w:t>Filière comme méso-système</w:t>
      </w:r>
      <w:bookmarkEnd w:id="77"/>
    </w:p>
    <w:p w14:paraId="08A75E64"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Dépassant ces approches et considérée comme un méso-système, la filière est un ensemble organisé d’agents en relation, de concurrence, de coopération, de conflits, etc., à propos d’un champ d’activités diversifiées se traduisant par une dynamique liée aux transformations techniques et aux confrontations des logiques d’acteurs et conduisant à des modes de régulation déterminées (Hugon, 1988). La filière vue comme un méso-système est dynamique et va au-delà de la notion de filière statistique à partir des flux.</w:t>
      </w:r>
    </w:p>
    <w:p w14:paraId="17DCE25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 méso-système est un ensemble organisé de relations (De Brandt, 1988). Les différentes unités ou agents économiques qui le composent peuvent être très hétérogènes et avoir des activités et des stratégies divergentes, des relations de conflits ou de concours. Leurs relations ne sont donc pas uniquement marchandes, même si elles le sont en grande partie. Tous ces </w:t>
      </w:r>
      <w:r>
        <w:rPr>
          <w:rFonts w:ascii="Arial" w:hAnsi="Arial" w:cs="Arial"/>
          <w:sz w:val="24"/>
          <w:szCs w:val="24"/>
        </w:rPr>
        <w:lastRenderedPageBreak/>
        <w:t>éléments sont interdépendants et liés par des contraintes macro-économiques communes. Ces notions définissent un espace évolutif. Cette souplesse en fait justement un instrument particulièrement adapté à la problématique du coton africain. La filière apparaît alors comme un degré intermédiaire entre le micro-économique, le comportement des exploitants, l’entreprise industrielle de première transformation et le macro-économique, la place du coton dans l’ensemble économique. Cette notion est un mode d’analyse fécond puisqu’elle sert à la fois de grille d’analyse et aussi d’instrument d’intervention. Les politiques agricoles de l’Etat comme des partenaires financiers, trouvent dans ce concept de filière comme méso-système un champ d’intervention à leurs actions d’incitations (Kadékoy-Tigagué, 2010)</w:t>
      </w:r>
    </w:p>
    <w:p w14:paraId="0FE31BE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A partir de ce cadre d’analyse, Hugon (1988) a proposé la typologie des filières agroalimentaires. Il a distingué quatre sous-filières selon leur mode de régulation, leur système de production et leur dimension spatiale (à régulation domestique, marchande, étatique et capitaliste). Les filières cotonnières africaines s’inscrivent dans cette typologie, en tenant compte du fait que l’on change de type de filière au moment des différents stades de la transformation. Si les filières cotonnières sont agricoles, elles ne sont pas tout à fait alimentaires. L’huile de coton contient du gossypol qui la rend impropre à la consommation humaine. Il faut donc la débarrasser de ce gossypol ou produire des variétés de coton « glandless » ne contenant pas de gossypol. Dans certains pays (Tchad, Côte d’Ivoire, Bénin, etc.) la production d’huile de coton apporte un complément de recettes très apprécié par les sociétés cotonnières permettant de couvrir une partie des coûts d’égrenage. Mais, le produit principal de ces filières reste la fibre.</w:t>
      </w:r>
    </w:p>
    <w:p w14:paraId="16B2955C" w14:textId="77777777" w:rsidR="008862C7" w:rsidRDefault="008862C7" w:rsidP="008862C7">
      <w:pPr>
        <w:widowControl w:val="0"/>
        <w:autoSpaceDE w:val="0"/>
        <w:autoSpaceDN w:val="0"/>
        <w:adjustRightInd w:val="0"/>
        <w:spacing w:line="360" w:lineRule="auto"/>
        <w:ind w:right="66"/>
        <w:jc w:val="both"/>
        <w:rPr>
          <w:rFonts w:ascii="Arial" w:hAnsi="Arial" w:cs="Arial"/>
          <w:position w:val="-1"/>
          <w:sz w:val="24"/>
        </w:rPr>
      </w:pPr>
      <w:r>
        <w:rPr>
          <w:rFonts w:ascii="Arial" w:hAnsi="Arial" w:cs="Arial"/>
          <w:sz w:val="24"/>
          <w:szCs w:val="24"/>
        </w:rPr>
        <w:t>Se</w:t>
      </w:r>
      <w:r>
        <w:rPr>
          <w:rFonts w:ascii="Arial" w:hAnsi="Arial" w:cs="Arial"/>
          <w:spacing w:val="1"/>
          <w:sz w:val="24"/>
          <w:szCs w:val="24"/>
        </w:rPr>
        <w:t>l</w:t>
      </w:r>
      <w:r>
        <w:rPr>
          <w:rFonts w:ascii="Arial" w:hAnsi="Arial" w:cs="Arial"/>
          <w:sz w:val="24"/>
          <w:szCs w:val="24"/>
        </w:rPr>
        <w:t>on</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B</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q</w:t>
      </w:r>
      <w:r>
        <w:rPr>
          <w:rFonts w:ascii="Arial" w:hAnsi="Arial" w:cs="Arial"/>
          <w:sz w:val="24"/>
          <w:szCs w:val="24"/>
        </w:rPr>
        <w:t xml:space="preserve">ue </w:t>
      </w:r>
      <w:r>
        <w:rPr>
          <w:rFonts w:ascii="Arial" w:hAnsi="Arial" w:cs="Arial"/>
          <w:spacing w:val="-1"/>
          <w:sz w:val="24"/>
          <w:szCs w:val="24"/>
        </w:rPr>
        <w:t>M</w:t>
      </w:r>
      <w:r>
        <w:rPr>
          <w:rFonts w:ascii="Arial" w:hAnsi="Arial" w:cs="Arial"/>
          <w:sz w:val="24"/>
          <w:szCs w:val="24"/>
        </w:rPr>
        <w:t>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w:t>
      </w:r>
      <w:r>
        <w:rPr>
          <w:rFonts w:ascii="Arial" w:hAnsi="Arial" w:cs="Arial"/>
          <w:spacing w:val="1"/>
          <w:sz w:val="24"/>
          <w:szCs w:val="24"/>
        </w:rPr>
        <w:t>2008</w:t>
      </w:r>
      <w:r>
        <w:rPr>
          <w:rFonts w:ascii="Arial" w:hAnsi="Arial" w:cs="Arial"/>
          <w:spacing w:val="-1"/>
          <w:sz w:val="24"/>
          <w:szCs w:val="24"/>
        </w:rPr>
        <w:t>)</w:t>
      </w:r>
      <w:r>
        <w:rPr>
          <w:rFonts w:ascii="Arial" w:hAnsi="Arial" w:cs="Arial"/>
          <w:sz w:val="24"/>
          <w:szCs w:val="24"/>
        </w:rPr>
        <w:t>, on</w:t>
      </w:r>
      <w:r>
        <w:rPr>
          <w:rFonts w:ascii="Arial" w:hAnsi="Arial" w:cs="Arial"/>
          <w:spacing w:val="5"/>
          <w:sz w:val="24"/>
          <w:szCs w:val="24"/>
        </w:rPr>
        <w:t xml:space="preserve"> </w:t>
      </w:r>
      <w:r>
        <w:rPr>
          <w:rFonts w:ascii="Arial" w:hAnsi="Arial" w:cs="Arial"/>
          <w:spacing w:val="-1"/>
          <w:sz w:val="24"/>
          <w:szCs w:val="24"/>
        </w:rPr>
        <w:t>p</w:t>
      </w:r>
      <w:r>
        <w:rPr>
          <w:rFonts w:ascii="Arial" w:hAnsi="Arial" w:cs="Arial"/>
          <w:sz w:val="24"/>
          <w:szCs w:val="24"/>
        </w:rPr>
        <w:t>eut</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g</w:t>
      </w:r>
      <w:r>
        <w:rPr>
          <w:rFonts w:ascii="Arial" w:hAnsi="Arial" w:cs="Arial"/>
          <w:sz w:val="24"/>
          <w:szCs w:val="24"/>
        </w:rPr>
        <w:t xml:space="preserve">uer </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nq</w:t>
      </w:r>
      <w:r>
        <w:rPr>
          <w:rFonts w:ascii="Arial" w:hAnsi="Arial" w:cs="Arial"/>
          <w:spacing w:val="6"/>
          <w:sz w:val="24"/>
          <w:szCs w:val="24"/>
        </w:rPr>
        <w:t xml:space="preserve"> </w:t>
      </w:r>
      <w:r>
        <w:rPr>
          <w:rFonts w:ascii="Arial" w:hAnsi="Arial" w:cs="Arial"/>
          <w:sz w:val="24"/>
          <w:szCs w:val="24"/>
        </w:rPr>
        <w:t>t</w:t>
      </w:r>
      <w:r>
        <w:rPr>
          <w:rFonts w:ascii="Arial" w:hAnsi="Arial" w:cs="Arial"/>
          <w:spacing w:val="1"/>
          <w:sz w:val="24"/>
          <w:szCs w:val="24"/>
        </w:rPr>
        <w:t>y</w:t>
      </w:r>
      <w:r>
        <w:rPr>
          <w:rFonts w:ascii="Arial" w:hAnsi="Arial" w:cs="Arial"/>
          <w:spacing w:val="-1"/>
          <w:sz w:val="24"/>
          <w:szCs w:val="24"/>
        </w:rPr>
        <w:t>p</w:t>
      </w:r>
      <w:r>
        <w:rPr>
          <w:rFonts w:ascii="Arial" w:hAnsi="Arial" w:cs="Arial"/>
          <w:spacing w:val="2"/>
          <w:sz w:val="24"/>
          <w:szCs w:val="24"/>
        </w:rPr>
        <w:t>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16"/>
          <w:sz w:val="24"/>
          <w:szCs w:val="24"/>
        </w:rPr>
        <w:t xml:space="preserve">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13"/>
          <w:sz w:val="24"/>
          <w:szCs w:val="24"/>
        </w:rPr>
        <w:t xml:space="preserve"> </w:t>
      </w:r>
      <w:r>
        <w:rPr>
          <w:rFonts w:ascii="Arial" w:hAnsi="Arial" w:cs="Arial"/>
          <w:sz w:val="24"/>
          <w:szCs w:val="24"/>
        </w:rPr>
        <w:t>en</w:t>
      </w:r>
      <w:r>
        <w:rPr>
          <w:rFonts w:ascii="Arial" w:hAnsi="Arial" w:cs="Arial"/>
          <w:spacing w:val="19"/>
          <w:sz w:val="24"/>
          <w:szCs w:val="24"/>
        </w:rPr>
        <w:t xml:space="preserve"> </w:t>
      </w:r>
      <w:r>
        <w:rPr>
          <w:rFonts w:ascii="Arial" w:hAnsi="Arial" w:cs="Arial"/>
          <w:sz w:val="24"/>
          <w:szCs w:val="24"/>
        </w:rPr>
        <w:t>A</w:t>
      </w:r>
      <w:r>
        <w:rPr>
          <w:rFonts w:ascii="Arial" w:hAnsi="Arial" w:cs="Arial"/>
          <w:spacing w:val="-1"/>
          <w:sz w:val="24"/>
          <w:szCs w:val="24"/>
        </w:rPr>
        <w:t>fr</w:t>
      </w:r>
      <w:r>
        <w:rPr>
          <w:rFonts w:ascii="Arial" w:hAnsi="Arial" w:cs="Arial"/>
          <w:spacing w:val="1"/>
          <w:sz w:val="24"/>
          <w:szCs w:val="24"/>
        </w:rPr>
        <w:t>iq</w:t>
      </w:r>
      <w:r>
        <w:rPr>
          <w:rFonts w:ascii="Arial" w:hAnsi="Arial" w:cs="Arial"/>
          <w:sz w:val="24"/>
          <w:szCs w:val="24"/>
        </w:rPr>
        <w:t>ue</w:t>
      </w:r>
      <w:r>
        <w:rPr>
          <w:rFonts w:ascii="Arial" w:hAnsi="Arial" w:cs="Arial"/>
          <w:spacing w:val="15"/>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20"/>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diff</w:t>
      </w:r>
      <w:r>
        <w:rPr>
          <w:rFonts w:ascii="Arial" w:hAnsi="Arial" w:cs="Arial"/>
          <w:sz w:val="24"/>
          <w:szCs w:val="24"/>
        </w:rPr>
        <w:t>é</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ent</w:t>
      </w:r>
      <w:r>
        <w:rPr>
          <w:rFonts w:ascii="Arial" w:hAnsi="Arial" w:cs="Arial"/>
          <w:spacing w:val="12"/>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z w:val="24"/>
          <w:szCs w:val="24"/>
        </w:rPr>
        <w:t>r</w:t>
      </w:r>
      <w:r>
        <w:rPr>
          <w:rFonts w:ascii="Arial" w:hAnsi="Arial" w:cs="Arial"/>
          <w:spacing w:val="19"/>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0"/>
          <w:sz w:val="24"/>
          <w:szCs w:val="24"/>
        </w:rPr>
        <w:t xml:space="preserve"> </w:t>
      </w:r>
      <w:r>
        <w:rPr>
          <w:rFonts w:ascii="Arial" w:hAnsi="Arial" w:cs="Arial"/>
          <w:spacing w:val="1"/>
          <w:sz w:val="24"/>
          <w:szCs w:val="24"/>
        </w:rPr>
        <w:t>ba</w:t>
      </w:r>
      <w:r>
        <w:rPr>
          <w:rFonts w:ascii="Arial" w:hAnsi="Arial" w:cs="Arial"/>
          <w:spacing w:val="-3"/>
          <w:sz w:val="24"/>
          <w:szCs w:val="24"/>
        </w:rPr>
        <w:t>s</w:t>
      </w:r>
      <w:r>
        <w:rPr>
          <w:rFonts w:ascii="Arial" w:hAnsi="Arial" w:cs="Arial"/>
          <w:sz w:val="24"/>
          <w:szCs w:val="24"/>
        </w:rPr>
        <w:t>e</w:t>
      </w:r>
      <w:r>
        <w:rPr>
          <w:rFonts w:ascii="Arial" w:hAnsi="Arial" w:cs="Arial"/>
          <w:spacing w:val="1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0"/>
          <w:sz w:val="24"/>
          <w:szCs w:val="24"/>
        </w:rPr>
        <w:t xml:space="preserve"> </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z w:val="24"/>
          <w:szCs w:val="24"/>
        </w:rPr>
        <w:t>u</w:t>
      </w:r>
      <w:r>
        <w:rPr>
          <w:rFonts w:ascii="Arial" w:hAnsi="Arial" w:cs="Arial"/>
          <w:spacing w:val="-1"/>
          <w:sz w:val="24"/>
          <w:szCs w:val="24"/>
        </w:rPr>
        <w:t>c</w:t>
      </w:r>
      <w:r>
        <w:rPr>
          <w:rFonts w:ascii="Arial" w:hAnsi="Arial" w:cs="Arial"/>
          <w:sz w:val="24"/>
          <w:szCs w:val="24"/>
        </w:rPr>
        <w:t>tu</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40"/>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u</w:t>
      </w:r>
      <w:r>
        <w:rPr>
          <w:rFonts w:ascii="Arial" w:hAnsi="Arial" w:cs="Arial"/>
          <w:sz w:val="24"/>
          <w:szCs w:val="24"/>
        </w:rPr>
        <w:t>r</w:t>
      </w:r>
      <w:r>
        <w:rPr>
          <w:rFonts w:ascii="Arial" w:hAnsi="Arial" w:cs="Arial"/>
          <w:spacing w:val="7"/>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w:t>
      </w:r>
      <w:r>
        <w:rPr>
          <w:rFonts w:ascii="Arial" w:hAnsi="Arial" w:cs="Arial"/>
          <w:spacing w:val="2"/>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1"/>
          <w:sz w:val="24"/>
          <w:szCs w:val="24"/>
        </w:rPr>
        <w:t>-</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ai</w:t>
      </w:r>
      <w:r>
        <w:rPr>
          <w:rFonts w:ascii="Arial" w:hAnsi="Arial" w:cs="Arial"/>
          <w:sz w:val="24"/>
          <w:szCs w:val="24"/>
        </w:rPr>
        <w:t>ne</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pacing w:val="1"/>
          <w:sz w:val="24"/>
          <w:szCs w:val="24"/>
        </w:rPr>
        <w:t>ad</w:t>
      </w:r>
      <w:r>
        <w:rPr>
          <w:rFonts w:ascii="Arial" w:hAnsi="Arial" w:cs="Arial"/>
          <w:spacing w:val="-1"/>
          <w:sz w:val="24"/>
          <w:szCs w:val="24"/>
        </w:rPr>
        <w:t>r</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gl</w:t>
      </w:r>
      <w:r>
        <w:rPr>
          <w:rFonts w:ascii="Arial" w:hAnsi="Arial" w:cs="Arial"/>
          <w:sz w:val="24"/>
          <w:szCs w:val="24"/>
        </w:rPr>
        <w:t>emen</w:t>
      </w:r>
      <w:r>
        <w:rPr>
          <w:rFonts w:ascii="Arial" w:hAnsi="Arial" w:cs="Arial"/>
          <w:spacing w:val="3"/>
          <w:sz w:val="24"/>
          <w:szCs w:val="24"/>
        </w:rPr>
        <w:t>t</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q</w:t>
      </w:r>
      <w:r>
        <w:rPr>
          <w:rFonts w:ascii="Arial" w:hAnsi="Arial" w:cs="Arial"/>
          <w:sz w:val="24"/>
          <w:szCs w:val="24"/>
        </w:rPr>
        <w:t>u</w:t>
      </w:r>
      <w:r>
        <w:rPr>
          <w:rFonts w:ascii="Arial" w:hAnsi="Arial" w:cs="Arial"/>
          <w:spacing w:val="-2"/>
          <w:sz w:val="24"/>
          <w:szCs w:val="24"/>
        </w:rPr>
        <w:t>e</w:t>
      </w:r>
      <w:r>
        <w:rPr>
          <w:rFonts w:ascii="Arial" w:hAnsi="Arial" w:cs="Arial"/>
          <w:sz w:val="24"/>
          <w:szCs w:val="24"/>
        </w:rPr>
        <w:t>l é</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uent</w:t>
      </w:r>
      <w:r>
        <w:rPr>
          <w:rFonts w:ascii="Arial" w:hAnsi="Arial" w:cs="Arial"/>
          <w:spacing w:val="51"/>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56"/>
          <w:sz w:val="24"/>
          <w:szCs w:val="24"/>
        </w:rPr>
        <w:t xml:space="preserve"> </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55"/>
          <w:sz w:val="24"/>
          <w:szCs w:val="24"/>
        </w:rPr>
        <w:t xml:space="preserve"> </w:t>
      </w:r>
      <w:r>
        <w:rPr>
          <w:rFonts w:ascii="Arial" w:hAnsi="Arial" w:cs="Arial"/>
          <w:sz w:val="24"/>
          <w:szCs w:val="24"/>
        </w:rPr>
        <w:t>Ces</w:t>
      </w:r>
      <w:r>
        <w:rPr>
          <w:rFonts w:ascii="Arial" w:hAnsi="Arial" w:cs="Arial"/>
          <w:spacing w:val="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ff</w:t>
      </w:r>
      <w:r>
        <w:rPr>
          <w:rFonts w:ascii="Arial" w:hAnsi="Arial" w:cs="Arial"/>
          <w:sz w:val="24"/>
          <w:szCs w:val="24"/>
        </w:rPr>
        <w:t>é</w:t>
      </w:r>
      <w:r>
        <w:rPr>
          <w:rFonts w:ascii="Arial" w:hAnsi="Arial" w:cs="Arial"/>
          <w:spacing w:val="-1"/>
          <w:sz w:val="24"/>
          <w:szCs w:val="24"/>
        </w:rPr>
        <w:t>r</w:t>
      </w:r>
      <w:r>
        <w:rPr>
          <w:rFonts w:ascii="Arial" w:hAnsi="Arial" w:cs="Arial"/>
          <w:sz w:val="24"/>
          <w:szCs w:val="24"/>
        </w:rPr>
        <w:t xml:space="preserve">ents </w:t>
      </w:r>
      <w:r>
        <w:rPr>
          <w:rFonts w:ascii="Arial" w:hAnsi="Arial" w:cs="Arial"/>
          <w:position w:val="-1"/>
          <w:sz w:val="24"/>
          <w:szCs w:val="24"/>
        </w:rPr>
        <w:t>t</w:t>
      </w:r>
      <w:r>
        <w:rPr>
          <w:rFonts w:ascii="Arial" w:hAnsi="Arial" w:cs="Arial"/>
          <w:spacing w:val="1"/>
          <w:position w:val="-1"/>
          <w:sz w:val="24"/>
          <w:szCs w:val="24"/>
        </w:rPr>
        <w:t>y</w:t>
      </w:r>
      <w:r>
        <w:rPr>
          <w:rFonts w:ascii="Arial" w:hAnsi="Arial" w:cs="Arial"/>
          <w:spacing w:val="-1"/>
          <w:position w:val="-1"/>
          <w:sz w:val="24"/>
          <w:szCs w:val="24"/>
        </w:rPr>
        <w:t>p</w:t>
      </w:r>
      <w:r>
        <w:rPr>
          <w:rFonts w:ascii="Arial" w:hAnsi="Arial" w:cs="Arial"/>
          <w:position w:val="-1"/>
          <w:sz w:val="24"/>
          <w:szCs w:val="24"/>
        </w:rPr>
        <w:t>es</w:t>
      </w:r>
      <w:r>
        <w:rPr>
          <w:rFonts w:ascii="Arial" w:hAnsi="Arial" w:cs="Arial"/>
          <w:spacing w:val="-5"/>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2"/>
          <w:position w:val="-1"/>
          <w:sz w:val="24"/>
          <w:szCs w:val="24"/>
        </w:rPr>
        <w:t xml:space="preserve"> </w:t>
      </w:r>
      <w:r>
        <w:rPr>
          <w:rFonts w:ascii="Arial" w:hAnsi="Arial" w:cs="Arial"/>
          <w:spacing w:val="-1"/>
          <w:position w:val="-1"/>
          <w:sz w:val="24"/>
          <w:szCs w:val="24"/>
        </w:rPr>
        <w:t>f</w:t>
      </w:r>
      <w:r>
        <w:rPr>
          <w:rFonts w:ascii="Arial" w:hAnsi="Arial" w:cs="Arial"/>
          <w:spacing w:val="1"/>
          <w:position w:val="-1"/>
          <w:sz w:val="24"/>
          <w:szCs w:val="24"/>
        </w:rPr>
        <w:t>ili</w:t>
      </w:r>
      <w:r>
        <w:rPr>
          <w:rFonts w:ascii="Arial" w:hAnsi="Arial" w:cs="Arial"/>
          <w:position w:val="-1"/>
          <w:sz w:val="24"/>
          <w:szCs w:val="24"/>
        </w:rPr>
        <w:t>è</w:t>
      </w:r>
      <w:r>
        <w:rPr>
          <w:rFonts w:ascii="Arial" w:hAnsi="Arial" w:cs="Arial"/>
          <w:spacing w:val="-1"/>
          <w:position w:val="-1"/>
          <w:sz w:val="24"/>
          <w:szCs w:val="24"/>
        </w:rPr>
        <w:t>r</w:t>
      </w:r>
      <w:r>
        <w:rPr>
          <w:rFonts w:ascii="Arial" w:hAnsi="Arial" w:cs="Arial"/>
          <w:position w:val="-1"/>
          <w:sz w:val="24"/>
          <w:szCs w:val="24"/>
        </w:rPr>
        <w:t>es</w:t>
      </w:r>
      <w:r>
        <w:rPr>
          <w:rFonts w:ascii="Arial" w:hAnsi="Arial" w:cs="Arial"/>
          <w:spacing w:val="-3"/>
          <w:position w:val="-1"/>
          <w:sz w:val="24"/>
          <w:szCs w:val="24"/>
        </w:rPr>
        <w:t xml:space="preserve"> </w:t>
      </w:r>
      <w:r>
        <w:rPr>
          <w:rFonts w:ascii="Arial" w:hAnsi="Arial" w:cs="Arial"/>
          <w:spacing w:val="-1"/>
          <w:position w:val="-1"/>
          <w:sz w:val="24"/>
          <w:szCs w:val="24"/>
        </w:rPr>
        <w:t>s</w:t>
      </w:r>
      <w:r>
        <w:rPr>
          <w:rFonts w:ascii="Arial" w:hAnsi="Arial" w:cs="Arial"/>
          <w:position w:val="-1"/>
          <w:sz w:val="24"/>
          <w:szCs w:val="24"/>
        </w:rPr>
        <w:t>ont</w:t>
      </w:r>
      <w:r>
        <w:rPr>
          <w:rFonts w:ascii="Arial" w:hAnsi="Arial" w:cs="Arial"/>
          <w:spacing w:val="-1"/>
          <w:position w:val="-1"/>
          <w:sz w:val="24"/>
          <w:szCs w:val="24"/>
        </w:rPr>
        <w:t xml:space="preserve"> sc</w:t>
      </w:r>
      <w:r>
        <w:rPr>
          <w:rFonts w:ascii="Arial" w:hAnsi="Arial" w:cs="Arial"/>
          <w:position w:val="-1"/>
          <w:sz w:val="24"/>
          <w:szCs w:val="24"/>
        </w:rPr>
        <w:t>hém</w:t>
      </w:r>
      <w:r>
        <w:rPr>
          <w:rFonts w:ascii="Arial" w:hAnsi="Arial" w:cs="Arial"/>
          <w:spacing w:val="1"/>
          <w:position w:val="-1"/>
          <w:sz w:val="24"/>
          <w:szCs w:val="24"/>
        </w:rPr>
        <w:t>a</w:t>
      </w:r>
      <w:r>
        <w:rPr>
          <w:rFonts w:ascii="Arial" w:hAnsi="Arial" w:cs="Arial"/>
          <w:position w:val="-1"/>
          <w:sz w:val="24"/>
          <w:szCs w:val="24"/>
        </w:rPr>
        <w:t>t</w:t>
      </w:r>
      <w:r>
        <w:rPr>
          <w:rFonts w:ascii="Arial" w:hAnsi="Arial" w:cs="Arial"/>
          <w:spacing w:val="1"/>
          <w:position w:val="-1"/>
          <w:sz w:val="24"/>
          <w:szCs w:val="24"/>
        </w:rPr>
        <w:t>i</w:t>
      </w:r>
      <w:r>
        <w:rPr>
          <w:rFonts w:ascii="Arial" w:hAnsi="Arial" w:cs="Arial"/>
          <w:spacing w:val="-1"/>
          <w:position w:val="-1"/>
          <w:sz w:val="24"/>
          <w:szCs w:val="24"/>
        </w:rPr>
        <w:t>s</w:t>
      </w:r>
      <w:r>
        <w:rPr>
          <w:rFonts w:ascii="Arial" w:hAnsi="Arial" w:cs="Arial"/>
          <w:position w:val="-1"/>
          <w:sz w:val="24"/>
          <w:szCs w:val="24"/>
        </w:rPr>
        <w:t>és</w:t>
      </w:r>
      <w:r>
        <w:rPr>
          <w:rFonts w:ascii="Arial" w:hAnsi="Arial" w:cs="Arial"/>
          <w:spacing w:val="-7"/>
          <w:position w:val="-1"/>
          <w:sz w:val="24"/>
          <w:szCs w:val="24"/>
        </w:rPr>
        <w:t xml:space="preserve"> </w:t>
      </w:r>
      <w:r>
        <w:rPr>
          <w:rFonts w:ascii="Arial" w:hAnsi="Arial" w:cs="Arial"/>
          <w:spacing w:val="-1"/>
          <w:position w:val="-1"/>
          <w:sz w:val="24"/>
          <w:szCs w:val="24"/>
        </w:rPr>
        <w:t>s</w:t>
      </w:r>
      <w:r>
        <w:rPr>
          <w:rFonts w:ascii="Arial" w:hAnsi="Arial" w:cs="Arial"/>
          <w:position w:val="-1"/>
          <w:sz w:val="24"/>
          <w:szCs w:val="24"/>
        </w:rPr>
        <w:t xml:space="preserve">ur </w:t>
      </w:r>
      <w:r>
        <w:rPr>
          <w:rFonts w:ascii="Arial" w:hAnsi="Arial" w:cs="Arial"/>
          <w:spacing w:val="1"/>
          <w:position w:val="-1"/>
          <w:sz w:val="24"/>
          <w:szCs w:val="24"/>
        </w:rPr>
        <w:t>l</w:t>
      </w:r>
      <w:r>
        <w:rPr>
          <w:rFonts w:ascii="Arial" w:hAnsi="Arial" w:cs="Arial"/>
          <w:position w:val="-1"/>
          <w:sz w:val="24"/>
          <w:szCs w:val="24"/>
        </w:rPr>
        <w:t xml:space="preserve">e </w:t>
      </w:r>
      <w:r>
        <w:rPr>
          <w:rFonts w:ascii="Arial" w:hAnsi="Arial" w:cs="Arial"/>
          <w:spacing w:val="1"/>
          <w:position w:val="-1"/>
          <w:sz w:val="24"/>
          <w:szCs w:val="24"/>
        </w:rPr>
        <w:t>g</w:t>
      </w:r>
      <w:r>
        <w:rPr>
          <w:rFonts w:ascii="Arial" w:hAnsi="Arial" w:cs="Arial"/>
          <w:spacing w:val="-1"/>
          <w:position w:val="-1"/>
          <w:sz w:val="24"/>
          <w:szCs w:val="24"/>
        </w:rPr>
        <w:t>r</w:t>
      </w:r>
      <w:r>
        <w:rPr>
          <w:rFonts w:ascii="Arial" w:hAnsi="Arial" w:cs="Arial"/>
          <w:spacing w:val="1"/>
          <w:position w:val="-1"/>
          <w:sz w:val="24"/>
          <w:szCs w:val="24"/>
        </w:rPr>
        <w:t>a</w:t>
      </w:r>
      <w:r>
        <w:rPr>
          <w:rFonts w:ascii="Arial" w:hAnsi="Arial" w:cs="Arial"/>
          <w:spacing w:val="-1"/>
          <w:position w:val="-1"/>
          <w:sz w:val="24"/>
          <w:szCs w:val="24"/>
        </w:rPr>
        <w:t>p</w:t>
      </w:r>
      <w:r>
        <w:rPr>
          <w:rFonts w:ascii="Arial" w:hAnsi="Arial" w:cs="Arial"/>
          <w:position w:val="-1"/>
          <w:sz w:val="24"/>
          <w:szCs w:val="24"/>
        </w:rPr>
        <w:t>h</w:t>
      </w:r>
      <w:r>
        <w:rPr>
          <w:rFonts w:ascii="Arial" w:hAnsi="Arial" w:cs="Arial"/>
          <w:spacing w:val="1"/>
          <w:position w:val="-1"/>
          <w:sz w:val="24"/>
          <w:szCs w:val="24"/>
        </w:rPr>
        <w:t>iq</w:t>
      </w:r>
      <w:r>
        <w:rPr>
          <w:rFonts w:ascii="Arial" w:hAnsi="Arial" w:cs="Arial"/>
          <w:position w:val="-1"/>
          <w:sz w:val="24"/>
          <w:szCs w:val="24"/>
        </w:rPr>
        <w:t>ue</w:t>
      </w:r>
      <w:r>
        <w:rPr>
          <w:rFonts w:ascii="Arial" w:hAnsi="Arial" w:cs="Arial"/>
          <w:spacing w:val="-7"/>
          <w:position w:val="-1"/>
          <w:sz w:val="24"/>
          <w:szCs w:val="24"/>
        </w:rPr>
        <w:t xml:space="preserve"> </w:t>
      </w:r>
      <w:r>
        <w:rPr>
          <w:rFonts w:ascii="Arial" w:hAnsi="Arial" w:cs="Arial"/>
          <w:spacing w:val="-1"/>
          <w:position w:val="-1"/>
          <w:sz w:val="24"/>
          <w:szCs w:val="24"/>
        </w:rPr>
        <w:t>c</w:t>
      </w:r>
      <w:r>
        <w:rPr>
          <w:rFonts w:ascii="Arial" w:hAnsi="Arial" w:cs="Arial"/>
          <w:spacing w:val="1"/>
          <w:position w:val="-1"/>
          <w:sz w:val="24"/>
          <w:szCs w:val="24"/>
        </w:rPr>
        <w:t>i</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1"/>
          <w:position w:val="-1"/>
          <w:sz w:val="24"/>
          <w:szCs w:val="24"/>
        </w:rPr>
        <w:t>ss</w:t>
      </w:r>
      <w:r>
        <w:rPr>
          <w:rFonts w:ascii="Arial" w:hAnsi="Arial" w:cs="Arial"/>
          <w:position w:val="-1"/>
          <w:sz w:val="24"/>
          <w:szCs w:val="24"/>
        </w:rPr>
        <w:t>ous :</w:t>
      </w:r>
    </w:p>
    <w:p w14:paraId="5C18AA7C" w14:textId="77777777" w:rsidR="008862C7" w:rsidRDefault="008862C7" w:rsidP="008862C7">
      <w:pPr>
        <w:widowControl w:val="0"/>
        <w:autoSpaceDE w:val="0"/>
        <w:autoSpaceDN w:val="0"/>
        <w:adjustRightInd w:val="0"/>
        <w:spacing w:after="0" w:line="360" w:lineRule="auto"/>
        <w:ind w:right="66"/>
        <w:jc w:val="both"/>
        <w:rPr>
          <w:rFonts w:ascii="Arial" w:hAnsi="Arial" w:cs="Arial"/>
          <w:sz w:val="24"/>
        </w:rPr>
      </w:pPr>
      <w:r>
        <w:rPr>
          <w:rFonts w:ascii="Arial" w:hAnsi="Arial" w:cs="Arial"/>
          <w:b/>
          <w:sz w:val="24"/>
          <w:szCs w:val="24"/>
        </w:rPr>
        <w:t>Figure</w:t>
      </w:r>
      <w:r>
        <w:rPr>
          <w:rFonts w:ascii="Arial" w:hAnsi="Arial" w:cs="Arial"/>
          <w:b/>
          <w:spacing w:val="1"/>
          <w:position w:val="-1"/>
          <w:sz w:val="24"/>
        </w:rPr>
        <w:t xml:space="preserve"> 1.4 :</w:t>
      </w:r>
      <w:r>
        <w:rPr>
          <w:rFonts w:ascii="Arial" w:hAnsi="Arial" w:cs="Arial"/>
          <w:spacing w:val="1"/>
          <w:position w:val="-1"/>
          <w:sz w:val="24"/>
        </w:rPr>
        <w:t xml:space="preserve"> </w:t>
      </w:r>
      <w:r>
        <w:rPr>
          <w:rFonts w:ascii="Arial" w:hAnsi="Arial" w:cs="Arial"/>
          <w:spacing w:val="-1"/>
          <w:sz w:val="24"/>
        </w:rPr>
        <w:t>T</w:t>
      </w:r>
      <w:r>
        <w:rPr>
          <w:rFonts w:ascii="Arial" w:hAnsi="Arial" w:cs="Arial"/>
          <w:sz w:val="24"/>
        </w:rPr>
        <w:t>ypologie</w:t>
      </w:r>
      <w:r>
        <w:rPr>
          <w:rFonts w:ascii="Arial" w:hAnsi="Arial" w:cs="Arial"/>
          <w:spacing w:val="53"/>
          <w:sz w:val="24"/>
        </w:rPr>
        <w:t xml:space="preserve"> </w:t>
      </w:r>
      <w:r>
        <w:rPr>
          <w:rFonts w:ascii="Arial" w:hAnsi="Arial" w:cs="Arial"/>
          <w:spacing w:val="-1"/>
          <w:sz w:val="24"/>
        </w:rPr>
        <w:t>d</w:t>
      </w:r>
      <w:r>
        <w:rPr>
          <w:rFonts w:ascii="Arial" w:hAnsi="Arial" w:cs="Arial"/>
          <w:sz w:val="24"/>
        </w:rPr>
        <w:t>es</w:t>
      </w:r>
      <w:r>
        <w:rPr>
          <w:rFonts w:ascii="Arial" w:hAnsi="Arial" w:cs="Arial"/>
          <w:spacing w:val="56"/>
          <w:sz w:val="24"/>
        </w:rPr>
        <w:t xml:space="preserve"> </w:t>
      </w:r>
      <w:r>
        <w:rPr>
          <w:rFonts w:ascii="Arial" w:hAnsi="Arial" w:cs="Arial"/>
          <w:spacing w:val="-1"/>
          <w:sz w:val="24"/>
        </w:rPr>
        <w:t>f</w:t>
      </w:r>
      <w:r>
        <w:rPr>
          <w:rFonts w:ascii="Arial" w:hAnsi="Arial" w:cs="Arial"/>
          <w:spacing w:val="1"/>
          <w:sz w:val="24"/>
        </w:rPr>
        <w:t>ili</w:t>
      </w:r>
      <w:r>
        <w:rPr>
          <w:rFonts w:ascii="Arial" w:hAnsi="Arial" w:cs="Arial"/>
          <w:sz w:val="24"/>
        </w:rPr>
        <w:t>è</w:t>
      </w:r>
      <w:r>
        <w:rPr>
          <w:rFonts w:ascii="Arial" w:hAnsi="Arial" w:cs="Arial"/>
          <w:spacing w:val="-1"/>
          <w:sz w:val="24"/>
        </w:rPr>
        <w:t>r</w:t>
      </w:r>
      <w:r>
        <w:rPr>
          <w:rFonts w:ascii="Arial" w:hAnsi="Arial" w:cs="Arial"/>
          <w:sz w:val="24"/>
        </w:rPr>
        <w:t>es coton en Afrique</w:t>
      </w:r>
    </w:p>
    <w:p w14:paraId="39513C80" w14:textId="77777777" w:rsidR="008862C7" w:rsidRDefault="00E72C3F" w:rsidP="008862C7">
      <w:pPr>
        <w:widowControl w:val="0"/>
        <w:autoSpaceDE w:val="0"/>
        <w:autoSpaceDN w:val="0"/>
        <w:adjustRightInd w:val="0"/>
        <w:spacing w:line="360" w:lineRule="auto"/>
        <w:ind w:right="66"/>
        <w:jc w:val="both"/>
        <w:rPr>
          <w:rFonts w:ascii="Arial" w:hAnsi="Arial" w:cs="Arial"/>
          <w:position w:val="-1"/>
        </w:rPr>
      </w:pPr>
      <w:r>
        <w:rPr>
          <w:rFonts w:ascii="Calibri" w:hAnsi="Calibri" w:cs="Times New Roman"/>
          <w:noProof/>
          <w:lang w:eastAsia="fr-FR"/>
        </w:rPr>
        <w:lastRenderedPageBreak/>
        <mc:AlternateContent>
          <mc:Choice Requires="wps">
            <w:drawing>
              <wp:anchor distT="0" distB="0" distL="114300" distR="114300" simplePos="0" relativeHeight="251671552" behindDoc="0" locked="0" layoutInCell="1" allowOverlap="1" wp14:anchorId="48307897" wp14:editId="068F020C">
                <wp:simplePos x="0" y="0"/>
                <wp:positionH relativeFrom="column">
                  <wp:posOffset>-101600</wp:posOffset>
                </wp:positionH>
                <wp:positionV relativeFrom="paragraph">
                  <wp:posOffset>4025265</wp:posOffset>
                </wp:positionV>
                <wp:extent cx="2755265" cy="459105"/>
                <wp:effectExtent l="3175" t="0" r="3810" b="1905"/>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5B4F" w14:textId="77777777" w:rsidR="00B63507" w:rsidRDefault="00B63507" w:rsidP="008862C7">
                            <w:pPr>
                              <w:spacing w:before="240" w:line="240" w:lineRule="auto"/>
                              <w:jc w:val="both"/>
                              <w:rPr>
                                <w:rFonts w:ascii="Arial" w:hAnsi="Arial" w:cs="Arial"/>
                              </w:rPr>
                            </w:pPr>
                            <w:r>
                              <w:rPr>
                                <w:rFonts w:ascii="Arial" w:hAnsi="Arial" w:cs="Arial"/>
                                <w:b/>
                                <w:spacing w:val="-1"/>
                              </w:rPr>
                              <w:t>Source :</w:t>
                            </w:r>
                            <w:r>
                              <w:rPr>
                                <w:rFonts w:ascii="Arial" w:hAnsi="Arial" w:cs="Arial"/>
                                <w:spacing w:val="3"/>
                              </w:rPr>
                              <w:t xml:space="preserve"> </w:t>
                            </w:r>
                            <w:r>
                              <w:rPr>
                                <w:rFonts w:ascii="Arial" w:hAnsi="Arial" w:cs="Arial"/>
                              </w:rPr>
                              <w:t>B</w:t>
                            </w:r>
                            <w:r>
                              <w:rPr>
                                <w:rFonts w:ascii="Arial" w:hAnsi="Arial" w:cs="Arial"/>
                                <w:spacing w:val="1"/>
                              </w:rPr>
                              <w:t>a</w:t>
                            </w:r>
                            <w:r>
                              <w:rPr>
                                <w:rFonts w:ascii="Arial" w:hAnsi="Arial" w:cs="Arial"/>
                              </w:rPr>
                              <w:t>n</w:t>
                            </w:r>
                            <w:r>
                              <w:rPr>
                                <w:rFonts w:ascii="Arial" w:hAnsi="Arial" w:cs="Arial"/>
                                <w:spacing w:val="1"/>
                              </w:rPr>
                              <w:t>q</w:t>
                            </w:r>
                            <w:r>
                              <w:rPr>
                                <w:rFonts w:ascii="Arial" w:hAnsi="Arial" w:cs="Arial"/>
                              </w:rPr>
                              <w:t xml:space="preserve">ue </w:t>
                            </w:r>
                            <w:r>
                              <w:rPr>
                                <w:rFonts w:ascii="Arial" w:hAnsi="Arial" w:cs="Arial"/>
                                <w:spacing w:val="-1"/>
                              </w:rPr>
                              <w:t>M</w:t>
                            </w:r>
                            <w:r>
                              <w:rPr>
                                <w:rFonts w:ascii="Arial" w:hAnsi="Arial" w:cs="Arial"/>
                              </w:rPr>
                              <w:t>on</w:t>
                            </w:r>
                            <w:r>
                              <w:rPr>
                                <w:rFonts w:ascii="Arial" w:hAnsi="Arial" w:cs="Arial"/>
                                <w:spacing w:val="-1"/>
                              </w:rPr>
                              <w:t>d</w:t>
                            </w:r>
                            <w:r>
                              <w:rPr>
                                <w:rFonts w:ascii="Arial" w:hAnsi="Arial" w:cs="Arial"/>
                                <w:spacing w:val="1"/>
                              </w:rPr>
                              <w:t>ial</w:t>
                            </w:r>
                            <w:r>
                              <w:rPr>
                                <w:rFonts w:ascii="Arial" w:hAnsi="Arial" w:cs="Arial"/>
                              </w:rPr>
                              <w:t>e</w:t>
                            </w:r>
                            <w:r>
                              <w:rPr>
                                <w:rFonts w:ascii="Arial" w:hAnsi="Arial" w:cs="Arial"/>
                                <w:spacing w:val="1"/>
                              </w:rPr>
                              <w:t xml:space="preserve"> </w:t>
                            </w:r>
                            <w:r>
                              <w:rPr>
                                <w:rFonts w:ascii="Arial" w:hAnsi="Arial" w:cs="Arial"/>
                                <w:spacing w:val="-1"/>
                              </w:rPr>
                              <w:t>(</w:t>
                            </w:r>
                            <w:r>
                              <w:rPr>
                                <w:rFonts w:ascii="Arial" w:hAnsi="Arial" w:cs="Arial"/>
                                <w:spacing w:val="1"/>
                              </w:rPr>
                              <w:t>2008</w:t>
                            </w:r>
                            <w:r>
                              <w:rPr>
                                <w:rFonts w:ascii="Arial" w:hAnsi="Arial" w:cs="Arial"/>
                                <w:spacing w:val="-1"/>
                              </w:rPr>
                              <w:t>)</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7897" id="Text Box 40" o:spid="_x0000_s1104" type="#_x0000_t202" style="position:absolute;left:0;text-align:left;margin-left:-8pt;margin-top:316.95pt;width:216.95pt;height: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t6uw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" filled="f" stroked="f">
                <v:textbox>
                  <w:txbxContent>
                    <w:p w14:paraId="32D75B4F" w14:textId="77777777" w:rsidR="00B63507" w:rsidRDefault="00B63507" w:rsidP="008862C7">
                      <w:pPr>
                        <w:spacing w:before="240" w:line="240" w:lineRule="auto"/>
                        <w:jc w:val="both"/>
                        <w:rPr>
                          <w:rFonts w:ascii="Arial" w:hAnsi="Arial" w:cs="Arial"/>
                        </w:rPr>
                      </w:pPr>
                      <w:r>
                        <w:rPr>
                          <w:rFonts w:ascii="Arial" w:hAnsi="Arial" w:cs="Arial"/>
                          <w:b/>
                          <w:spacing w:val="-1"/>
                        </w:rPr>
                        <w:t>Source :</w:t>
                      </w:r>
                      <w:r>
                        <w:rPr>
                          <w:rFonts w:ascii="Arial" w:hAnsi="Arial" w:cs="Arial"/>
                          <w:spacing w:val="3"/>
                        </w:rPr>
                        <w:t xml:space="preserve"> </w:t>
                      </w:r>
                      <w:r>
                        <w:rPr>
                          <w:rFonts w:ascii="Arial" w:hAnsi="Arial" w:cs="Arial"/>
                        </w:rPr>
                        <w:t>B</w:t>
                      </w:r>
                      <w:r>
                        <w:rPr>
                          <w:rFonts w:ascii="Arial" w:hAnsi="Arial" w:cs="Arial"/>
                          <w:spacing w:val="1"/>
                        </w:rPr>
                        <w:t>a</w:t>
                      </w:r>
                      <w:r>
                        <w:rPr>
                          <w:rFonts w:ascii="Arial" w:hAnsi="Arial" w:cs="Arial"/>
                        </w:rPr>
                        <w:t>n</w:t>
                      </w:r>
                      <w:r>
                        <w:rPr>
                          <w:rFonts w:ascii="Arial" w:hAnsi="Arial" w:cs="Arial"/>
                          <w:spacing w:val="1"/>
                        </w:rPr>
                        <w:t>q</w:t>
                      </w:r>
                      <w:r>
                        <w:rPr>
                          <w:rFonts w:ascii="Arial" w:hAnsi="Arial" w:cs="Arial"/>
                        </w:rPr>
                        <w:t xml:space="preserve">ue </w:t>
                      </w:r>
                      <w:r>
                        <w:rPr>
                          <w:rFonts w:ascii="Arial" w:hAnsi="Arial" w:cs="Arial"/>
                          <w:spacing w:val="-1"/>
                        </w:rPr>
                        <w:t>M</w:t>
                      </w:r>
                      <w:r>
                        <w:rPr>
                          <w:rFonts w:ascii="Arial" w:hAnsi="Arial" w:cs="Arial"/>
                        </w:rPr>
                        <w:t>on</w:t>
                      </w:r>
                      <w:r>
                        <w:rPr>
                          <w:rFonts w:ascii="Arial" w:hAnsi="Arial" w:cs="Arial"/>
                          <w:spacing w:val="-1"/>
                        </w:rPr>
                        <w:t>d</w:t>
                      </w:r>
                      <w:r>
                        <w:rPr>
                          <w:rFonts w:ascii="Arial" w:hAnsi="Arial" w:cs="Arial"/>
                          <w:spacing w:val="1"/>
                        </w:rPr>
                        <w:t>ial</w:t>
                      </w:r>
                      <w:r>
                        <w:rPr>
                          <w:rFonts w:ascii="Arial" w:hAnsi="Arial" w:cs="Arial"/>
                        </w:rPr>
                        <w:t>e</w:t>
                      </w:r>
                      <w:r>
                        <w:rPr>
                          <w:rFonts w:ascii="Arial" w:hAnsi="Arial" w:cs="Arial"/>
                          <w:spacing w:val="1"/>
                        </w:rPr>
                        <w:t xml:space="preserve"> </w:t>
                      </w:r>
                      <w:r>
                        <w:rPr>
                          <w:rFonts w:ascii="Arial" w:hAnsi="Arial" w:cs="Arial"/>
                          <w:spacing w:val="-1"/>
                        </w:rPr>
                        <w:t>(</w:t>
                      </w:r>
                      <w:r>
                        <w:rPr>
                          <w:rFonts w:ascii="Arial" w:hAnsi="Arial" w:cs="Arial"/>
                          <w:spacing w:val="1"/>
                        </w:rPr>
                        <w:t>2008</w:t>
                      </w:r>
                      <w:r>
                        <w:rPr>
                          <w:rFonts w:ascii="Arial" w:hAnsi="Arial" w:cs="Arial"/>
                          <w:spacing w:val="-1"/>
                        </w:rPr>
                        <w:t>)</w:t>
                      </w:r>
                      <w:r>
                        <w:rPr>
                          <w:rFonts w:ascii="Arial" w:hAnsi="Arial" w:cs="Arial"/>
                        </w:rPr>
                        <w:t>,</w:t>
                      </w:r>
                    </w:p>
                  </w:txbxContent>
                </v:textbox>
              </v:shape>
            </w:pict>
          </mc:Fallback>
        </mc:AlternateContent>
      </w:r>
      <w:r>
        <w:rPr>
          <w:rFonts w:ascii="Calibri" w:hAnsi="Calibri" w:cs="Times New Roman"/>
          <w:noProof/>
          <w:lang w:eastAsia="fr-FR"/>
        </w:rPr>
        <mc:AlternateContent>
          <mc:Choice Requires="wps">
            <w:drawing>
              <wp:inline distT="0" distB="0" distL="0" distR="0" wp14:anchorId="374E2D19" wp14:editId="4D24EE66">
                <wp:extent cx="5692140" cy="3924935"/>
                <wp:effectExtent l="28575" t="28575" r="32385" b="37465"/>
                <wp:docPr id="1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92493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76C5B8" w14:textId="77777777" w:rsidR="00B63507" w:rsidRDefault="00B63507" w:rsidP="008862C7">
                            <w:r>
                              <w:rPr>
                                <w:rFonts w:eastAsia="Calibri" w:cs="Calibri"/>
                                <w:noProof/>
                                <w:sz w:val="20"/>
                                <w:szCs w:val="20"/>
                                <w:lang w:eastAsia="fr-FR"/>
                              </w:rPr>
                              <w:drawing>
                                <wp:inline distT="0" distB="0" distL="0" distR="0" wp14:anchorId="42E83A04" wp14:editId="62068EF5">
                                  <wp:extent cx="5569585" cy="372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585" cy="3728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74E2D19" id="Text Box 142" o:spid="_x0000_s1105" type="#_x0000_t202" style="width:448.2pt;height:3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" filled="f" strokeweight="4.5pt">
                <v:stroke linestyle="thickThin"/>
                <v:textbox>
                  <w:txbxContent>
                    <w:p w14:paraId="6876C5B8" w14:textId="77777777" w:rsidR="00B63507" w:rsidRDefault="00B63507" w:rsidP="008862C7">
                      <w:r>
                        <w:rPr>
                          <w:rFonts w:eastAsia="Calibri" w:cs="Calibri"/>
                          <w:noProof/>
                          <w:sz w:val="20"/>
                          <w:szCs w:val="20"/>
                          <w:lang w:eastAsia="fr-FR"/>
                        </w:rPr>
                        <w:drawing>
                          <wp:inline distT="0" distB="0" distL="0" distR="0" wp14:anchorId="42E83A04" wp14:editId="62068EF5">
                            <wp:extent cx="5569585" cy="372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585" cy="3728720"/>
                                    </a:xfrm>
                                    <a:prstGeom prst="rect">
                                      <a:avLst/>
                                    </a:prstGeom>
                                    <a:noFill/>
                                    <a:ln>
                                      <a:noFill/>
                                    </a:ln>
                                  </pic:spPr>
                                </pic:pic>
                              </a:graphicData>
                            </a:graphic>
                          </wp:inline>
                        </w:drawing>
                      </w:r>
                    </w:p>
                  </w:txbxContent>
                </v:textbox>
                <w10:anchorlock/>
              </v:shape>
            </w:pict>
          </mc:Fallback>
        </mc:AlternateContent>
      </w:r>
    </w:p>
    <w:p w14:paraId="7C8AD216" w14:textId="77777777" w:rsidR="008862C7" w:rsidRDefault="008862C7" w:rsidP="008862C7">
      <w:pPr>
        <w:widowControl w:val="0"/>
        <w:autoSpaceDE w:val="0"/>
        <w:autoSpaceDN w:val="0"/>
        <w:adjustRightInd w:val="0"/>
        <w:spacing w:line="360" w:lineRule="auto"/>
        <w:ind w:right="66"/>
        <w:jc w:val="both"/>
        <w:rPr>
          <w:rFonts w:ascii="Arial" w:hAnsi="Arial" w:cs="Arial"/>
          <w:spacing w:val="1"/>
          <w:sz w:val="2"/>
        </w:rPr>
      </w:pPr>
    </w:p>
    <w:p w14:paraId="74AAA327" w14:textId="77777777" w:rsidR="008862C7" w:rsidRDefault="008862C7" w:rsidP="008862C7">
      <w:pPr>
        <w:widowControl w:val="0"/>
        <w:autoSpaceDE w:val="0"/>
        <w:autoSpaceDN w:val="0"/>
        <w:adjustRightInd w:val="0"/>
        <w:spacing w:line="360" w:lineRule="auto"/>
        <w:ind w:right="66"/>
        <w:jc w:val="both"/>
        <w:rPr>
          <w:rFonts w:ascii="Arial" w:hAnsi="Arial" w:cs="Arial"/>
          <w:spacing w:val="1"/>
          <w:sz w:val="24"/>
          <w:szCs w:val="24"/>
        </w:rPr>
      </w:pPr>
    </w:p>
    <w:p w14:paraId="51421776" w14:textId="77777777" w:rsidR="008862C7" w:rsidRDefault="008862C7" w:rsidP="008862C7">
      <w:pPr>
        <w:widowControl w:val="0"/>
        <w:autoSpaceDE w:val="0"/>
        <w:autoSpaceDN w:val="0"/>
        <w:adjustRightInd w:val="0"/>
        <w:spacing w:line="360" w:lineRule="auto"/>
        <w:ind w:right="66"/>
        <w:jc w:val="both"/>
        <w:rPr>
          <w:rFonts w:ascii="Arial" w:hAnsi="Arial" w:cs="Arial"/>
          <w:sz w:val="24"/>
          <w:szCs w:val="24"/>
        </w:rPr>
      </w:pPr>
      <w:r>
        <w:rPr>
          <w:rFonts w:ascii="Arial" w:hAnsi="Arial" w:cs="Arial"/>
          <w:spacing w:val="1"/>
          <w:sz w:val="24"/>
          <w:szCs w:val="24"/>
        </w:rPr>
        <w:t>De ce tableau on distingue d</w:t>
      </w:r>
      <w:r>
        <w:rPr>
          <w:rFonts w:ascii="Arial" w:hAnsi="Arial" w:cs="Arial"/>
          <w:sz w:val="24"/>
          <w:szCs w:val="24"/>
        </w:rPr>
        <w:t>eux</w:t>
      </w:r>
      <w:r>
        <w:rPr>
          <w:rFonts w:ascii="Arial" w:hAnsi="Arial" w:cs="Arial"/>
          <w:spacing w:val="54"/>
          <w:sz w:val="24"/>
          <w:szCs w:val="24"/>
        </w:rPr>
        <w:t xml:space="preserve"> </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d</w:t>
      </w:r>
      <w:r>
        <w:rPr>
          <w:rFonts w:ascii="Arial" w:hAnsi="Arial" w:cs="Arial"/>
          <w:sz w:val="24"/>
          <w:szCs w:val="24"/>
        </w:rPr>
        <w:t>s</w:t>
      </w:r>
      <w:r>
        <w:rPr>
          <w:rFonts w:ascii="Arial" w:hAnsi="Arial" w:cs="Arial"/>
          <w:spacing w:val="53"/>
          <w:sz w:val="24"/>
          <w:szCs w:val="24"/>
        </w:rPr>
        <w:t xml:space="preserve"> </w:t>
      </w:r>
      <w:r>
        <w:rPr>
          <w:rFonts w:ascii="Arial" w:hAnsi="Arial" w:cs="Arial"/>
          <w:sz w:val="24"/>
          <w:szCs w:val="24"/>
        </w:rPr>
        <w:t>t</w:t>
      </w:r>
      <w:r>
        <w:rPr>
          <w:rFonts w:ascii="Arial" w:hAnsi="Arial" w:cs="Arial"/>
          <w:spacing w:val="1"/>
          <w:sz w:val="24"/>
          <w:szCs w:val="24"/>
        </w:rPr>
        <w:t>y</w:t>
      </w:r>
      <w:r>
        <w:rPr>
          <w:rFonts w:ascii="Arial" w:hAnsi="Arial" w:cs="Arial"/>
          <w:spacing w:val="-1"/>
          <w:sz w:val="24"/>
          <w:szCs w:val="24"/>
        </w:rPr>
        <w:t>p</w:t>
      </w:r>
      <w:r>
        <w:rPr>
          <w:rFonts w:ascii="Arial" w:hAnsi="Arial" w:cs="Arial"/>
          <w:sz w:val="24"/>
          <w:szCs w:val="24"/>
        </w:rPr>
        <w:t>es</w:t>
      </w:r>
      <w:r>
        <w:rPr>
          <w:rFonts w:ascii="Arial" w:hAnsi="Arial" w:cs="Arial"/>
          <w:spacing w:val="5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6"/>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es :</w:t>
      </w:r>
      <w:r>
        <w:rPr>
          <w:rFonts w:ascii="Arial" w:hAnsi="Arial" w:cs="Arial"/>
          <w:spacing w:val="58"/>
          <w:sz w:val="24"/>
          <w:szCs w:val="24"/>
        </w:rPr>
        <w:t xml:space="preserve"> </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f</w:t>
      </w:r>
      <w:r>
        <w:rPr>
          <w:rFonts w:ascii="Arial" w:hAnsi="Arial" w:cs="Arial"/>
          <w:sz w:val="24"/>
          <w:szCs w:val="24"/>
        </w:rPr>
        <w:t>on</w:t>
      </w:r>
      <w:r>
        <w:rPr>
          <w:rFonts w:ascii="Arial" w:hAnsi="Arial" w:cs="Arial"/>
          <w:spacing w:val="-1"/>
          <w:sz w:val="24"/>
          <w:szCs w:val="24"/>
        </w:rPr>
        <w:t>d</w:t>
      </w:r>
      <w:r>
        <w:rPr>
          <w:rFonts w:ascii="Arial" w:hAnsi="Arial" w:cs="Arial"/>
          <w:sz w:val="24"/>
          <w:szCs w:val="24"/>
        </w:rPr>
        <w:t>ées</w:t>
      </w:r>
      <w:r>
        <w:rPr>
          <w:rFonts w:ascii="Arial" w:hAnsi="Arial" w:cs="Arial"/>
          <w:spacing w:val="6"/>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8"/>
          <w:sz w:val="24"/>
          <w:szCs w:val="24"/>
        </w:rPr>
        <w:t xml:space="preserve"> </w:t>
      </w:r>
      <w:r>
        <w:rPr>
          <w:rFonts w:ascii="Arial" w:hAnsi="Arial" w:cs="Arial"/>
          <w:spacing w:val="4"/>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5"/>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0"/>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gl</w:t>
      </w:r>
      <w:r>
        <w:rPr>
          <w:rFonts w:ascii="Arial" w:hAnsi="Arial" w:cs="Arial"/>
          <w:sz w:val="24"/>
          <w:szCs w:val="24"/>
        </w:rPr>
        <w:t>ementée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0"/>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c</w:t>
      </w:r>
      <w:r>
        <w:rPr>
          <w:rFonts w:ascii="Arial" w:hAnsi="Arial" w:cs="Arial"/>
          <w:sz w:val="24"/>
          <w:szCs w:val="24"/>
        </w:rPr>
        <w:t>teu</w:t>
      </w:r>
      <w:r>
        <w:rPr>
          <w:rFonts w:ascii="Arial" w:hAnsi="Arial" w:cs="Arial"/>
          <w:spacing w:val="2"/>
          <w:sz w:val="24"/>
          <w:szCs w:val="24"/>
        </w:rPr>
        <w:t>r</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w:t>
      </w:r>
      <w:r>
        <w:rPr>
          <w:rFonts w:ascii="Arial" w:hAnsi="Arial" w:cs="Arial"/>
          <w:sz w:val="24"/>
          <w:szCs w:val="24"/>
        </w:rPr>
        <w:t>u</w:t>
      </w:r>
      <w:r>
        <w:rPr>
          <w:rFonts w:ascii="Arial" w:hAnsi="Arial" w:cs="Arial"/>
          <w:spacing w:val="1"/>
          <w:sz w:val="24"/>
          <w:szCs w:val="24"/>
        </w:rPr>
        <w:t>l</w:t>
      </w:r>
      <w:r>
        <w:rPr>
          <w:rFonts w:ascii="Arial" w:hAnsi="Arial" w:cs="Arial"/>
          <w:sz w:val="24"/>
          <w:szCs w:val="24"/>
        </w:rPr>
        <w:t xml:space="preserve">és </w:t>
      </w:r>
      <w:r>
        <w:rPr>
          <w:rFonts w:ascii="Arial" w:hAnsi="Arial" w:cs="Arial"/>
          <w:spacing w:val="-1"/>
          <w:sz w:val="24"/>
          <w:szCs w:val="24"/>
        </w:rPr>
        <w:t>s</w:t>
      </w:r>
      <w:r>
        <w:rPr>
          <w:rFonts w:ascii="Arial" w:hAnsi="Arial" w:cs="Arial"/>
          <w:sz w:val="24"/>
          <w:szCs w:val="24"/>
        </w:rPr>
        <w:t>ont</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s</w:t>
      </w:r>
      <w:r>
        <w:rPr>
          <w:rFonts w:ascii="Arial" w:hAnsi="Arial" w:cs="Arial"/>
          <w:spacing w:val="2"/>
          <w:sz w:val="24"/>
          <w:szCs w:val="24"/>
        </w:rPr>
        <w:t>é</w:t>
      </w:r>
      <w:r>
        <w:rPr>
          <w:rFonts w:ascii="Arial" w:hAnsi="Arial" w:cs="Arial"/>
          <w:sz w:val="24"/>
          <w:szCs w:val="24"/>
        </w:rPr>
        <w:t>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3"/>
          <w:sz w:val="24"/>
          <w:szCs w:val="24"/>
        </w:rPr>
        <w:t>m</w:t>
      </w:r>
      <w:r>
        <w:rPr>
          <w:rFonts w:ascii="Arial" w:hAnsi="Arial" w:cs="Arial"/>
          <w:sz w:val="24"/>
          <w:szCs w:val="24"/>
        </w:rPr>
        <w:t>ono</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l</w:t>
      </w:r>
      <w:r>
        <w:rPr>
          <w:rFonts w:ascii="Arial" w:hAnsi="Arial" w:cs="Arial"/>
          <w:sz w:val="24"/>
          <w:szCs w:val="24"/>
        </w:rPr>
        <w:t>es 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a</w:t>
      </w:r>
      <w:r>
        <w:rPr>
          <w:rFonts w:ascii="Arial" w:hAnsi="Arial" w:cs="Arial"/>
          <w:sz w:val="24"/>
          <w:szCs w:val="24"/>
        </w:rPr>
        <w:t>ux</w:t>
      </w:r>
      <w:r>
        <w:rPr>
          <w:rFonts w:ascii="Arial" w:hAnsi="Arial" w:cs="Arial"/>
          <w:spacing w:val="4"/>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mono</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w:t>
      </w:r>
      <w:r>
        <w:rPr>
          <w:rFonts w:ascii="Arial" w:hAnsi="Arial" w:cs="Arial"/>
          <w:sz w:val="24"/>
          <w:szCs w:val="24"/>
        </w:rPr>
        <w:t>.</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eux</w:t>
      </w:r>
      <w:r>
        <w:rPr>
          <w:rFonts w:ascii="Arial" w:hAnsi="Arial" w:cs="Arial"/>
          <w:spacing w:val="8"/>
          <w:sz w:val="24"/>
          <w:szCs w:val="24"/>
        </w:rPr>
        <w:t xml:space="preserve"> </w:t>
      </w:r>
      <w:r>
        <w:rPr>
          <w:rFonts w:ascii="Arial" w:hAnsi="Arial" w:cs="Arial"/>
          <w:sz w:val="24"/>
          <w:szCs w:val="24"/>
        </w:rPr>
        <w:t>t</w:t>
      </w:r>
      <w:r>
        <w:rPr>
          <w:rFonts w:ascii="Arial" w:hAnsi="Arial" w:cs="Arial"/>
          <w:spacing w:val="1"/>
          <w:sz w:val="24"/>
          <w:szCs w:val="24"/>
        </w:rPr>
        <w:t>y</w:t>
      </w:r>
      <w:r>
        <w:rPr>
          <w:rFonts w:ascii="Arial" w:hAnsi="Arial" w:cs="Arial"/>
          <w:spacing w:val="-1"/>
          <w:sz w:val="24"/>
          <w:szCs w:val="24"/>
        </w:rPr>
        <w:t>p</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s</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 xml:space="preserve">tèmes </w:t>
      </w:r>
      <w:r>
        <w:rPr>
          <w:rFonts w:ascii="Arial" w:hAnsi="Arial" w:cs="Arial"/>
          <w:spacing w:val="-1"/>
          <w:sz w:val="24"/>
          <w:szCs w:val="24"/>
        </w:rPr>
        <w:t>f</w:t>
      </w:r>
      <w:r>
        <w:rPr>
          <w:rFonts w:ascii="Arial" w:hAnsi="Arial" w:cs="Arial"/>
          <w:sz w:val="24"/>
          <w:szCs w:val="24"/>
        </w:rPr>
        <w:t>o</w:t>
      </w:r>
      <w:r>
        <w:rPr>
          <w:rFonts w:ascii="Arial" w:hAnsi="Arial" w:cs="Arial"/>
          <w:spacing w:val="2"/>
          <w:sz w:val="24"/>
          <w:szCs w:val="24"/>
        </w:rPr>
        <w:t>n</w:t>
      </w:r>
      <w:r>
        <w:rPr>
          <w:rFonts w:ascii="Arial" w:hAnsi="Arial" w:cs="Arial"/>
          <w:spacing w:val="-1"/>
          <w:sz w:val="24"/>
          <w:szCs w:val="24"/>
        </w:rPr>
        <w:t>d</w:t>
      </w:r>
      <w:r>
        <w:rPr>
          <w:rFonts w:ascii="Arial" w:hAnsi="Arial" w:cs="Arial"/>
          <w:sz w:val="24"/>
          <w:szCs w:val="24"/>
        </w:rPr>
        <w:t xml:space="preserve">és </w:t>
      </w:r>
      <w:r>
        <w:rPr>
          <w:rFonts w:ascii="Arial" w:hAnsi="Arial" w:cs="Arial"/>
          <w:spacing w:val="-1"/>
          <w:sz w:val="24"/>
          <w:szCs w:val="24"/>
        </w:rPr>
        <w:t>s</w:t>
      </w:r>
      <w:r>
        <w:rPr>
          <w:rFonts w:ascii="Arial" w:hAnsi="Arial" w:cs="Arial"/>
          <w:sz w:val="24"/>
          <w:szCs w:val="24"/>
        </w:rPr>
        <w:t>ur</w:t>
      </w:r>
      <w:r>
        <w:rPr>
          <w:rFonts w:ascii="Arial" w:hAnsi="Arial" w:cs="Arial"/>
          <w:spacing w:val="25"/>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2"/>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21"/>
          <w:sz w:val="24"/>
          <w:szCs w:val="24"/>
        </w:rPr>
        <w:t xml:space="preserve"> </w:t>
      </w:r>
      <w:r>
        <w:rPr>
          <w:rFonts w:ascii="Arial" w:hAnsi="Arial" w:cs="Arial"/>
          <w:spacing w:val="-1"/>
          <w:sz w:val="24"/>
          <w:szCs w:val="24"/>
        </w:rPr>
        <w:t>p</w:t>
      </w:r>
      <w:r>
        <w:rPr>
          <w:rFonts w:ascii="Arial" w:hAnsi="Arial" w:cs="Arial"/>
          <w:sz w:val="24"/>
          <w:szCs w:val="24"/>
        </w:rPr>
        <w:t>eu</w:t>
      </w:r>
      <w:r>
        <w:rPr>
          <w:rFonts w:ascii="Arial" w:hAnsi="Arial" w:cs="Arial"/>
          <w:spacing w:val="1"/>
          <w:sz w:val="24"/>
          <w:szCs w:val="24"/>
        </w:rPr>
        <w:t>v</w:t>
      </w:r>
      <w:r>
        <w:rPr>
          <w:rFonts w:ascii="Arial" w:hAnsi="Arial" w:cs="Arial"/>
          <w:sz w:val="24"/>
          <w:szCs w:val="24"/>
        </w:rPr>
        <w:t>ent</w:t>
      </w:r>
      <w:r>
        <w:rPr>
          <w:rFonts w:ascii="Arial" w:hAnsi="Arial" w:cs="Arial"/>
          <w:spacing w:val="17"/>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25"/>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g</w:t>
      </w:r>
      <w:r>
        <w:rPr>
          <w:rFonts w:ascii="Arial" w:hAnsi="Arial" w:cs="Arial"/>
          <w:sz w:val="24"/>
          <w:szCs w:val="24"/>
        </w:rPr>
        <w:t>uer :</w:t>
      </w:r>
      <w:r>
        <w:rPr>
          <w:rFonts w:ascii="Arial" w:hAnsi="Arial" w:cs="Arial"/>
          <w:spacing w:val="24"/>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2"/>
          <w:sz w:val="24"/>
          <w:szCs w:val="24"/>
        </w:rPr>
        <w:t>u</w:t>
      </w:r>
      <w:r>
        <w:rPr>
          <w:rFonts w:ascii="Arial" w:hAnsi="Arial" w:cs="Arial"/>
          <w:sz w:val="24"/>
          <w:szCs w:val="24"/>
        </w:rPr>
        <w:t xml:space="preserve">x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liq</w:t>
      </w:r>
      <w:r>
        <w:rPr>
          <w:rFonts w:ascii="Arial" w:hAnsi="Arial" w:cs="Arial"/>
          <w:spacing w:val="-2"/>
          <w:sz w:val="24"/>
          <w:szCs w:val="24"/>
        </w:rPr>
        <w:t>u</w:t>
      </w:r>
      <w:r>
        <w:rPr>
          <w:rFonts w:ascii="Arial" w:hAnsi="Arial" w:cs="Arial"/>
          <w:spacing w:val="1"/>
          <w:sz w:val="24"/>
          <w:szCs w:val="24"/>
        </w:rPr>
        <w:t>a</w:t>
      </w:r>
      <w:r>
        <w:rPr>
          <w:rFonts w:ascii="Arial" w:hAnsi="Arial" w:cs="Arial"/>
          <w:sz w:val="24"/>
          <w:szCs w:val="24"/>
        </w:rPr>
        <w:t>nt</w:t>
      </w:r>
      <w:r>
        <w:rPr>
          <w:rFonts w:ascii="Arial" w:hAnsi="Arial" w:cs="Arial"/>
          <w:spacing w:val="16"/>
          <w:sz w:val="24"/>
          <w:szCs w:val="24"/>
        </w:rPr>
        <w:t xml:space="preserve"> </w:t>
      </w:r>
      <w:r>
        <w:rPr>
          <w:rFonts w:ascii="Arial" w:hAnsi="Arial" w:cs="Arial"/>
          <w:spacing w:val="-1"/>
          <w:sz w:val="24"/>
          <w:szCs w:val="24"/>
        </w:rPr>
        <w:t>d</w:t>
      </w:r>
      <w:r>
        <w:rPr>
          <w:rFonts w:ascii="Arial" w:hAnsi="Arial" w:cs="Arial"/>
          <w:sz w:val="24"/>
          <w:szCs w:val="24"/>
        </w:rPr>
        <w:t>e nom</w:t>
      </w:r>
      <w:r>
        <w:rPr>
          <w:rFonts w:ascii="Arial" w:hAnsi="Arial" w:cs="Arial"/>
          <w:spacing w:val="1"/>
          <w:sz w:val="24"/>
          <w:szCs w:val="24"/>
        </w:rPr>
        <w:t>b</w:t>
      </w:r>
      <w:r>
        <w:rPr>
          <w:rFonts w:ascii="Arial" w:hAnsi="Arial" w:cs="Arial"/>
          <w:spacing w:val="-1"/>
          <w:sz w:val="24"/>
          <w:szCs w:val="24"/>
        </w:rPr>
        <w:t>r</w:t>
      </w:r>
      <w:r>
        <w:rPr>
          <w:rFonts w:ascii="Arial" w:hAnsi="Arial" w:cs="Arial"/>
          <w:sz w:val="24"/>
          <w:szCs w:val="24"/>
        </w:rPr>
        <w:t>eu</w:t>
      </w:r>
      <w:r>
        <w:rPr>
          <w:rFonts w:ascii="Arial" w:hAnsi="Arial" w:cs="Arial"/>
          <w:spacing w:val="-1"/>
          <w:sz w:val="24"/>
          <w:szCs w:val="24"/>
        </w:rPr>
        <w:t>s</w:t>
      </w:r>
      <w:r>
        <w:rPr>
          <w:rFonts w:ascii="Arial" w:hAnsi="Arial" w:cs="Arial"/>
          <w:sz w:val="24"/>
          <w:szCs w:val="24"/>
        </w:rPr>
        <w:t xml:space="preserve">es </w:t>
      </w:r>
      <w:r>
        <w:rPr>
          <w:rFonts w:ascii="Arial" w:hAnsi="Arial" w:cs="Arial"/>
          <w:spacing w:val="-1"/>
          <w:sz w:val="24"/>
          <w:szCs w:val="24"/>
        </w:rPr>
        <w:t>s</w:t>
      </w:r>
      <w:r>
        <w:rPr>
          <w:rFonts w:ascii="Arial" w:hAnsi="Arial" w:cs="Arial"/>
          <w:spacing w:val="2"/>
          <w:sz w:val="24"/>
          <w:szCs w:val="24"/>
        </w:rPr>
        <w:t>o</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étés</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1"/>
          <w:sz w:val="24"/>
          <w:szCs w:val="24"/>
        </w:rPr>
        <w:t>-</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ai</w:t>
      </w:r>
      <w:r>
        <w:rPr>
          <w:rFonts w:ascii="Arial" w:hAnsi="Arial" w:cs="Arial"/>
          <w:sz w:val="24"/>
          <w:szCs w:val="24"/>
        </w:rPr>
        <w:t xml:space="preserve">ne </w:t>
      </w:r>
      <w:r>
        <w:rPr>
          <w:rFonts w:ascii="Arial" w:hAnsi="Arial" w:cs="Arial"/>
          <w:spacing w:val="-1"/>
          <w:sz w:val="24"/>
          <w:szCs w:val="24"/>
        </w:rPr>
        <w:t>(s</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tèmes</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c</w:t>
      </w:r>
      <w:r>
        <w:rPr>
          <w:rFonts w:ascii="Arial" w:hAnsi="Arial" w:cs="Arial"/>
          <w:spacing w:val="2"/>
          <w:sz w:val="24"/>
          <w:szCs w:val="24"/>
        </w:rPr>
        <w:t>u</w:t>
      </w:r>
      <w:r>
        <w:rPr>
          <w:rFonts w:ascii="Arial" w:hAnsi="Arial" w:cs="Arial"/>
          <w:spacing w:val="-1"/>
          <w:sz w:val="24"/>
          <w:szCs w:val="24"/>
        </w:rPr>
        <w:t>r</w:t>
      </w:r>
      <w:r>
        <w:rPr>
          <w:rFonts w:ascii="Arial" w:hAnsi="Arial" w:cs="Arial"/>
          <w:spacing w:val="2"/>
          <w:sz w:val="24"/>
          <w:szCs w:val="24"/>
        </w:rPr>
        <w:t>r</w:t>
      </w:r>
      <w:r>
        <w:rPr>
          <w:rFonts w:ascii="Arial" w:hAnsi="Arial" w:cs="Arial"/>
          <w:sz w:val="24"/>
          <w:szCs w:val="24"/>
        </w:rPr>
        <w:t>ent</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l</w:t>
      </w:r>
      <w:r>
        <w:rPr>
          <w:rFonts w:ascii="Arial" w:hAnsi="Arial" w:cs="Arial"/>
          <w:spacing w:val="-1"/>
          <w:sz w:val="24"/>
          <w:szCs w:val="24"/>
        </w:rPr>
        <w:t>s</w:t>
      </w:r>
      <w:r>
        <w:rPr>
          <w:rFonts w:ascii="Arial" w:hAnsi="Arial" w:cs="Arial"/>
          <w:sz w:val="24"/>
          <w:szCs w:val="24"/>
        </w:rPr>
        <w:t>)</w:t>
      </w:r>
      <w:r>
        <w:rPr>
          <w:rFonts w:ascii="Arial" w:hAnsi="Arial" w:cs="Arial"/>
          <w:spacing w:val="2"/>
          <w:sz w:val="24"/>
          <w:szCs w:val="24"/>
        </w:rPr>
        <w:t xml:space="preserve"> </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eux n</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liq</w:t>
      </w:r>
      <w:r>
        <w:rPr>
          <w:rFonts w:ascii="Arial" w:hAnsi="Arial" w:cs="Arial"/>
          <w:sz w:val="24"/>
          <w:szCs w:val="24"/>
        </w:rPr>
        <w:t>u</w:t>
      </w:r>
      <w:r>
        <w:rPr>
          <w:rFonts w:ascii="Arial" w:hAnsi="Arial" w:cs="Arial"/>
          <w:spacing w:val="1"/>
          <w:sz w:val="24"/>
          <w:szCs w:val="24"/>
        </w:rPr>
        <w:t>a</w:t>
      </w:r>
      <w:r>
        <w:rPr>
          <w:rFonts w:ascii="Arial" w:hAnsi="Arial" w:cs="Arial"/>
          <w:sz w:val="24"/>
          <w:szCs w:val="24"/>
        </w:rPr>
        <w:t>nt</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z w:val="24"/>
          <w:szCs w:val="24"/>
        </w:rPr>
        <w:t>un</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2"/>
          <w:sz w:val="24"/>
          <w:szCs w:val="24"/>
        </w:rPr>
        <w:t>e</w:t>
      </w:r>
      <w:r>
        <w:rPr>
          <w:rFonts w:ascii="Arial" w:hAnsi="Arial" w:cs="Arial"/>
          <w:sz w:val="24"/>
          <w:szCs w:val="24"/>
        </w:rPr>
        <w:t>t</w:t>
      </w:r>
      <w:r>
        <w:rPr>
          <w:rFonts w:ascii="Arial" w:hAnsi="Arial" w:cs="Arial"/>
          <w:spacing w:val="1"/>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no</w:t>
      </w:r>
      <w:r>
        <w:rPr>
          <w:rFonts w:ascii="Arial" w:hAnsi="Arial" w:cs="Arial"/>
          <w:spacing w:val="-2"/>
          <w:sz w:val="24"/>
          <w:szCs w:val="24"/>
        </w:rPr>
        <w:t>m</w:t>
      </w:r>
      <w:r>
        <w:rPr>
          <w:rFonts w:ascii="Arial" w:hAnsi="Arial" w:cs="Arial"/>
          <w:spacing w:val="1"/>
          <w:sz w:val="24"/>
          <w:szCs w:val="24"/>
        </w:rPr>
        <w:t>b</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étés</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tèmes</w:t>
      </w:r>
      <w:r>
        <w:rPr>
          <w:rFonts w:ascii="Arial" w:hAnsi="Arial" w:cs="Arial"/>
          <w:spacing w:val="-1"/>
          <w:sz w:val="24"/>
          <w:szCs w:val="24"/>
        </w:rPr>
        <w:t xml:space="preserve"> c</w:t>
      </w:r>
      <w:r>
        <w:rPr>
          <w:rFonts w:ascii="Arial" w:hAnsi="Arial" w:cs="Arial"/>
          <w:sz w:val="24"/>
          <w:szCs w:val="24"/>
        </w:rPr>
        <w:t>on</w:t>
      </w:r>
      <w:r>
        <w:rPr>
          <w:rFonts w:ascii="Arial" w:hAnsi="Arial" w:cs="Arial"/>
          <w:spacing w:val="-1"/>
          <w:sz w:val="24"/>
          <w:szCs w:val="24"/>
        </w:rPr>
        <w:t>c</w:t>
      </w:r>
      <w:r>
        <w:rPr>
          <w:rFonts w:ascii="Arial" w:hAnsi="Arial" w:cs="Arial"/>
          <w:sz w:val="24"/>
          <w:szCs w:val="24"/>
        </w:rPr>
        <w:t>ent</w:t>
      </w:r>
      <w:r>
        <w:rPr>
          <w:rFonts w:ascii="Arial" w:hAnsi="Arial" w:cs="Arial"/>
          <w:spacing w:val="-1"/>
          <w:sz w:val="24"/>
          <w:szCs w:val="24"/>
        </w:rPr>
        <w:t>r</w:t>
      </w:r>
      <w:r>
        <w:rPr>
          <w:rFonts w:ascii="Arial" w:hAnsi="Arial" w:cs="Arial"/>
          <w:sz w:val="24"/>
          <w:szCs w:val="24"/>
        </w:rPr>
        <w:t>é</w:t>
      </w:r>
      <w:r>
        <w:rPr>
          <w:rFonts w:ascii="Arial" w:hAnsi="Arial" w:cs="Arial"/>
          <w:spacing w:val="2"/>
          <w:sz w:val="24"/>
          <w:szCs w:val="24"/>
        </w:rPr>
        <w:t>s</w:t>
      </w:r>
      <w:r>
        <w:rPr>
          <w:rFonts w:ascii="Arial" w:hAnsi="Arial" w:cs="Arial"/>
          <w:spacing w:val="-1"/>
          <w:sz w:val="24"/>
          <w:szCs w:val="24"/>
        </w:rPr>
        <w:t>)</w:t>
      </w:r>
      <w:r>
        <w:rPr>
          <w:rFonts w:ascii="Arial" w:hAnsi="Arial" w:cs="Arial"/>
          <w:sz w:val="24"/>
          <w:szCs w:val="24"/>
        </w:rPr>
        <w:t>.</w:t>
      </w:r>
    </w:p>
    <w:p w14:paraId="6F8AF34A" w14:textId="77777777" w:rsidR="008862C7" w:rsidRDefault="008862C7" w:rsidP="008862C7">
      <w:pPr>
        <w:pStyle w:val="Titre4"/>
        <w:numPr>
          <w:ilvl w:val="1"/>
          <w:numId w:val="14"/>
        </w:numPr>
        <w:spacing w:line="360" w:lineRule="auto"/>
        <w:jc w:val="both"/>
        <w:rPr>
          <w:rFonts w:ascii="Arial" w:hAnsi="Arial" w:cs="Arial"/>
          <w:sz w:val="24"/>
          <w:szCs w:val="24"/>
        </w:rPr>
      </w:pPr>
      <w:bookmarkStart w:id="78" w:name="_Toc395107563"/>
      <w:r>
        <w:rPr>
          <w:rFonts w:ascii="Arial" w:hAnsi="Arial" w:cs="Arial"/>
          <w:sz w:val="24"/>
          <w:szCs w:val="24"/>
        </w:rPr>
        <w:t>N</w:t>
      </w:r>
      <w:r>
        <w:rPr>
          <w:rFonts w:ascii="Arial" w:hAnsi="Arial" w:cs="Arial"/>
          <w:bCs w:val="0"/>
          <w:sz w:val="24"/>
          <w:szCs w:val="24"/>
        </w:rPr>
        <w:t>ouvelle théorie du commerce international</w:t>
      </w:r>
      <w:bookmarkEnd w:id="78"/>
      <w:r>
        <w:rPr>
          <w:rFonts w:ascii="Arial" w:hAnsi="Arial" w:cs="Arial"/>
          <w:bCs w:val="0"/>
          <w:sz w:val="24"/>
          <w:szCs w:val="24"/>
        </w:rPr>
        <w:t xml:space="preserve"> </w:t>
      </w:r>
    </w:p>
    <w:p w14:paraId="40A44D87"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Au-delà des débats théoriques, l’enjeu appliqué de la nouvelle théorie du commerce international reste très important car cette théorie met au premier plan d’une part les effets positifs de l’intervention publique sur les flux commerciaux tant au niveau national qu’international et d’autre part la prise en compte des stratégies de réduction de coût utilisées par les firmes multinationales pour accroître leur compétitivité. C’est dans les années 80, que l’approche jusqu’alors dominante est supplantée par « une nouvelle théorie du commerce international ». La nouveauté est au demeurant très relative, dans la mesure où cette « nouvelle théorie » prolonge en réalité des travaux plus anciens qui avaient aussi pour objectif d’expliquer les caractéristiques du commerce international contemporain. C’est pourquoi avant de présenter cette nouvelle </w:t>
      </w:r>
      <w:r>
        <w:rPr>
          <w:rFonts w:ascii="Arial" w:hAnsi="Arial" w:cs="Arial"/>
          <w:sz w:val="24"/>
          <w:szCs w:val="24"/>
        </w:rPr>
        <w:lastRenderedPageBreak/>
        <w:t>théorie du commerce international avec ces contributions à la notion de compétitivité d’une économie, il est important de faire une présentation sommaire des théories fondamentales du commerce international.</w:t>
      </w:r>
    </w:p>
    <w:p w14:paraId="7A3F0064"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 théorie dite traditionnelle du commerce international comprend les modèles classiques d’Adam Smith et de David Ricardo ainsi que le modèle dit des proportions de facteurs d’Hecksher-Ohlin-Samuelson. Ces théories dites traditionnelles du commerce international reposent sur les hypothèses communes : la concurrence est pure et parfaite sur les marchés des produits et des facteurs ; un raisonnement macro-économique en termes d’avantage absolu ou relatif ; et leur démarche peut être qualifiée par la formule de Bernard Lassudrie-Duchêne : l’échange international est </w:t>
      </w:r>
      <w:r>
        <w:rPr>
          <w:rFonts w:ascii="Arial" w:hAnsi="Arial" w:cs="Arial"/>
          <w:i/>
          <w:sz w:val="24"/>
          <w:szCs w:val="24"/>
        </w:rPr>
        <w:t>« une demande de différence »</w:t>
      </w:r>
      <w:r>
        <w:rPr>
          <w:rFonts w:ascii="Arial" w:hAnsi="Arial" w:cs="Arial"/>
          <w:sz w:val="24"/>
          <w:szCs w:val="24"/>
        </w:rPr>
        <w:t xml:space="preserve">, car </w:t>
      </w:r>
      <w:r>
        <w:rPr>
          <w:rFonts w:ascii="Arial" w:hAnsi="Arial" w:cs="Arial"/>
          <w:i/>
          <w:sz w:val="24"/>
          <w:szCs w:val="24"/>
        </w:rPr>
        <w:t>« là où tout se révèle identique, il est inutile d’échanger » ;</w:t>
      </w:r>
      <w:r>
        <w:rPr>
          <w:rFonts w:ascii="Arial" w:hAnsi="Arial" w:cs="Arial"/>
          <w:sz w:val="24"/>
          <w:szCs w:val="24"/>
        </w:rPr>
        <w:t xml:space="preserve"> Dans l’approche traditionnelle, la différence de prix fonde l’échange international. Toutefois cette différence est conséquence de la compétitivité. </w:t>
      </w:r>
    </w:p>
    <w:p w14:paraId="5DFF000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Ces théories classiques du commerce international montrent que la spécialisation et l’ouverture à l’échange sont préférables à l’autarcie (au repli sur soi) : les pays ne peuvent perdre à l’échange international, même si la répartition du gain de l’échange peut être inégale entre les pays.</w:t>
      </w:r>
    </w:p>
    <w:p w14:paraId="1AB1D927" w14:textId="77777777" w:rsidR="008862C7" w:rsidRDefault="008862C7" w:rsidP="008862C7">
      <w:pPr>
        <w:pStyle w:val="Titre5"/>
        <w:numPr>
          <w:ilvl w:val="2"/>
          <w:numId w:val="14"/>
        </w:numPr>
        <w:spacing w:after="120" w:line="360" w:lineRule="auto"/>
        <w:jc w:val="both"/>
        <w:rPr>
          <w:rFonts w:ascii="Arial" w:hAnsi="Arial" w:cs="Arial"/>
          <w:b/>
          <w:color w:val="auto"/>
        </w:rPr>
      </w:pPr>
      <w:bookmarkStart w:id="79" w:name="_Toc395107564"/>
      <w:r>
        <w:rPr>
          <w:rFonts w:ascii="Arial" w:hAnsi="Arial" w:cs="Arial"/>
          <w:b/>
          <w:bCs/>
          <w:color w:val="auto"/>
        </w:rPr>
        <w:t>Fondements et limites de l’approche traditionnelle</w:t>
      </w:r>
      <w:bookmarkEnd w:id="79"/>
    </w:p>
    <w:p w14:paraId="33E46C42"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La première explication du commerce international (CI) est due à Smith qui fonde les échanges internationaux sur des avantages absolus de coût. En effet, pour lui chaque pays devrait se spécialiser dans les produits pour lesquels il dispose d’un avantage absolu : l’importation est à l’origine d’un gain à l’échange et il convient d’acheter à l’étranger ce qui y est disponible à moindre coût. Réciproquement l’économie nationale exportera les biens pour lesquels elle produit dans des conditions plus avantageuses.</w:t>
      </w:r>
    </w:p>
    <w:p w14:paraId="5D19F79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Cette théorie conduit inévitablement à une division internationale du travail</w:t>
      </w:r>
      <w:r>
        <w:rPr>
          <w:rStyle w:val="Appelnotedebasdep"/>
          <w:rFonts w:ascii="Arial" w:hAnsi="Arial" w:cs="Arial"/>
          <w:sz w:val="24"/>
          <w:szCs w:val="24"/>
        </w:rPr>
        <w:footnoteReference w:id="12"/>
      </w:r>
      <w:r>
        <w:rPr>
          <w:rFonts w:ascii="Arial" w:hAnsi="Arial" w:cs="Arial"/>
          <w:sz w:val="24"/>
          <w:szCs w:val="24"/>
        </w:rPr>
        <w:t xml:space="preserve"> par rapport aux coûts absolus de production. Vu sous cet angle, il ne peut y avoir compétition qu’entre les pays et les industries des pays ayant les avantages absolus dans un même secteur de production. Ainsi, si les coûts absolus de production déterminent les échanges, un pays dont les coûts sont plus élevés que ceux de l’ensemble de ses partenaires ne pourra pas, si l’on s’en tient à l’argument de Smith, exporter de façon profitable. </w:t>
      </w:r>
    </w:p>
    <w:p w14:paraId="483B5C7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Selon Ricardo, la différence entre avantages comparatifs et compétitivité résulte du fait que le premier concept concerne au début deux pays et deux produits alors que le deuxième s’applique a un seul produit et plusieurs pays. Nous retrouvons chez Smith, le terme d’avantages compétitifs qui fait référence aux coûts absolus.</w:t>
      </w:r>
    </w:p>
    <w:p w14:paraId="2857964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w:t>
      </w:r>
      <w:r>
        <w:rPr>
          <w:rFonts w:ascii="Arial" w:hAnsi="Arial" w:cs="Arial"/>
          <w:i/>
          <w:sz w:val="24"/>
          <w:szCs w:val="24"/>
        </w:rPr>
        <w:t>Le concept de l’avantage comparatif décrit le schéma des échanges qui se produiront dans un monde dépourvu de distorsions de prix. Cependant, le monde réel est plein de mesures de politiques rendant la détermination de l’avantage comparatif difficile. Ainsi, l’avantage comparatif s’applique a un monde où les marchés sont efficients et dépourvus de distorsions alors que la compétitivité se réfère à un monde dans son contexte réel »</w:t>
      </w:r>
      <w:r>
        <w:rPr>
          <w:rFonts w:ascii="Arial" w:hAnsi="Arial" w:cs="Arial"/>
          <w:sz w:val="24"/>
          <w:szCs w:val="24"/>
        </w:rPr>
        <w:t xml:space="preserve"> (Bardem et al. 1991).</w:t>
      </w:r>
    </w:p>
    <w:p w14:paraId="432BFE9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Ainsi, l’une des principales limites de la théorie avancée par Smith est qu’elle est incapable de répondre à la problématique des nations ne disposant d’aucun avantage absolu. C’est pour répondre à cette préoccupation que Ricardo proposa la </w:t>
      </w:r>
      <w:r>
        <w:rPr>
          <w:rFonts w:ascii="Arial" w:hAnsi="Arial" w:cs="Arial"/>
          <w:i/>
          <w:sz w:val="24"/>
          <w:szCs w:val="24"/>
        </w:rPr>
        <w:t>théorie des avantages comparatifs</w:t>
      </w:r>
      <w:r>
        <w:rPr>
          <w:rFonts w:ascii="Arial" w:hAnsi="Arial" w:cs="Arial"/>
          <w:sz w:val="24"/>
          <w:szCs w:val="24"/>
        </w:rPr>
        <w:t xml:space="preserve"> qui n’est rien d’autre qu’un prolongement de la théorie des avantages absolus. Pour ce dernier, même les pays </w:t>
      </w:r>
      <w:r>
        <w:rPr>
          <w:rFonts w:ascii="Arial" w:hAnsi="Arial" w:cs="Arial"/>
          <w:bCs/>
          <w:sz w:val="24"/>
          <w:szCs w:val="24"/>
        </w:rPr>
        <w:t>désavantagé dans toutes les activités peuvent</w:t>
      </w:r>
      <w:r>
        <w:rPr>
          <w:rFonts w:ascii="Arial" w:hAnsi="Arial" w:cs="Arial"/>
          <w:sz w:val="24"/>
          <w:szCs w:val="24"/>
        </w:rPr>
        <w:t xml:space="preserve"> participer profitablement aux jeux du commerce international. En partant d’un exemple simple</w:t>
      </w:r>
      <w:r>
        <w:rPr>
          <w:rStyle w:val="Appelnotedebasdep"/>
          <w:rFonts w:ascii="Arial" w:hAnsi="Arial" w:cs="Arial"/>
          <w:sz w:val="24"/>
          <w:szCs w:val="24"/>
        </w:rPr>
        <w:footnoteReference w:id="13"/>
      </w:r>
      <w:r>
        <w:rPr>
          <w:rFonts w:ascii="Arial" w:hAnsi="Arial" w:cs="Arial"/>
          <w:sz w:val="24"/>
          <w:szCs w:val="24"/>
        </w:rPr>
        <w:t>, il montra que la participation aux échanges internationaux d’un pays désavantagé dans tous les biens peut être à l’origine d’un gain net s’ils disposent dans un secteur productif donné du plus grand avantage absolu, ou du plus petit désavantage absolu. Ainsi cela permet à un pays d’importer un produit relativement moins cher qu’il ne coûterait à fabriquer, et d’exporter un autre produit qu’il produit à moindre coût, et donc qu’il peut vendre plus cher à l’étranger que sur son territoire national. De cette comparaison naît le gain de l’échange. Outre cet avantage fondamental, les échanges commerciaux ont d’autres répercussions. Sur le bien-être, l’emploi, le tissu économique, en obligeant les entreprises nationales à se moderniser et à innover pour faire face à la compétition accrue suscitée par les échanges internationaux.</w:t>
      </w:r>
    </w:p>
    <w:p w14:paraId="09D31C4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Dans un contexte de compétitivité, dans chacun des pays disposant de cet avantage, la loi des avantages comparatifs permet seulement de hiérarchiser les produits, en comparant la structure de coût des entreprises nationales à celle de leurs partenaires. Mais c’est le taux de change réel qui, selon son niveau, va déterminer la compétitivité de chacune des activités par rapport à </w:t>
      </w:r>
      <w:r>
        <w:rPr>
          <w:rFonts w:ascii="Arial" w:hAnsi="Arial" w:cs="Arial"/>
          <w:sz w:val="24"/>
          <w:szCs w:val="24"/>
        </w:rPr>
        <w:lastRenderedPageBreak/>
        <w:t>l’étranger, en situant les coûts de production en dessous ou au-dessus de la moyenne mondiale. Dans le cadre stricto-sensu de cette théorie de tels pays ne peuvent participer profitablement au commerce international et donc ne peuvent être compétitifs.</w:t>
      </w:r>
    </w:p>
    <w:p w14:paraId="02EFE04E" w14:textId="77777777" w:rsidR="008862C7" w:rsidRDefault="008862C7" w:rsidP="008862C7">
      <w:pPr>
        <w:pStyle w:val="Titre5"/>
        <w:numPr>
          <w:ilvl w:val="2"/>
          <w:numId w:val="14"/>
        </w:numPr>
        <w:spacing w:after="120" w:line="360" w:lineRule="auto"/>
        <w:rPr>
          <w:rFonts w:ascii="Arial" w:hAnsi="Arial" w:cs="Arial"/>
          <w:b/>
          <w:bCs/>
          <w:color w:val="auto"/>
        </w:rPr>
      </w:pPr>
      <w:bookmarkStart w:id="80" w:name="_Toc395107565"/>
      <w:r>
        <w:rPr>
          <w:rFonts w:ascii="Arial" w:hAnsi="Arial" w:cs="Arial"/>
          <w:b/>
          <w:bCs/>
          <w:color w:val="auto"/>
        </w:rPr>
        <w:t>Courants favorables à la dotation factorielle et émergence</w:t>
      </w:r>
      <w:bookmarkEnd w:id="80"/>
    </w:p>
    <w:p w14:paraId="477CB906" w14:textId="77777777" w:rsidR="008862C7" w:rsidRDefault="008862C7" w:rsidP="008862C7">
      <w:pPr>
        <w:pStyle w:val="Paragraphedeliste"/>
        <w:numPr>
          <w:ilvl w:val="3"/>
          <w:numId w:val="14"/>
        </w:numPr>
        <w:autoSpaceDE w:val="0"/>
        <w:autoSpaceDN w:val="0"/>
        <w:adjustRightInd w:val="0"/>
        <w:spacing w:after="120" w:line="360" w:lineRule="auto"/>
        <w:ind w:left="1077" w:hanging="1077"/>
        <w:jc w:val="both"/>
        <w:outlineLvl w:val="5"/>
        <w:rPr>
          <w:rFonts w:ascii="Arial" w:hAnsi="Arial" w:cs="Arial"/>
          <w:b/>
          <w:bCs/>
          <w:sz w:val="24"/>
          <w:szCs w:val="24"/>
        </w:rPr>
      </w:pPr>
      <w:bookmarkStart w:id="81" w:name="_Toc395107566"/>
      <w:r>
        <w:rPr>
          <w:rFonts w:ascii="Arial" w:hAnsi="Arial" w:cs="Arial"/>
          <w:b/>
          <w:bCs/>
          <w:sz w:val="24"/>
          <w:szCs w:val="24"/>
        </w:rPr>
        <w:t>Courants favorables à la dotation factorielle</w:t>
      </w:r>
      <w:bookmarkEnd w:id="81"/>
      <w:r>
        <w:rPr>
          <w:rFonts w:ascii="Arial" w:hAnsi="Arial" w:cs="Arial"/>
          <w:b/>
          <w:bCs/>
          <w:sz w:val="24"/>
          <w:szCs w:val="24"/>
        </w:rPr>
        <w:t xml:space="preserve"> </w:t>
      </w:r>
    </w:p>
    <w:p w14:paraId="16D2E6DD" w14:textId="77777777" w:rsidR="008862C7" w:rsidRDefault="008862C7" w:rsidP="008862C7">
      <w:pPr>
        <w:pStyle w:val="Paragraphedeliste"/>
        <w:numPr>
          <w:ilvl w:val="0"/>
          <w:numId w:val="15"/>
        </w:numPr>
        <w:autoSpaceDE w:val="0"/>
        <w:autoSpaceDN w:val="0"/>
        <w:adjustRightInd w:val="0"/>
        <w:spacing w:after="120" w:line="360" w:lineRule="auto"/>
        <w:jc w:val="both"/>
        <w:outlineLvl w:val="6"/>
        <w:rPr>
          <w:rFonts w:ascii="Arial" w:hAnsi="Arial" w:cs="Arial"/>
          <w:b/>
          <w:bCs/>
          <w:sz w:val="24"/>
          <w:szCs w:val="24"/>
        </w:rPr>
      </w:pPr>
      <w:bookmarkStart w:id="82" w:name="_Toc395107567"/>
      <w:r>
        <w:rPr>
          <w:rFonts w:ascii="Arial" w:hAnsi="Arial" w:cs="Arial"/>
          <w:b/>
          <w:bCs/>
          <w:sz w:val="24"/>
          <w:szCs w:val="24"/>
        </w:rPr>
        <w:t>Théorème de HOS</w:t>
      </w:r>
      <w:bookmarkEnd w:id="82"/>
    </w:p>
    <w:p w14:paraId="33EF61EF"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bCs/>
          <w:sz w:val="24"/>
          <w:szCs w:val="24"/>
        </w:rPr>
        <w:t xml:space="preserve">Les économistes suédois Bertl Ohlin et Eli F. Hecksher établissent en 1933 le célèbre théorème d’Hecksher-Ohlin appelé aussi théorème d’Hecksher-Ohlin-Samuelson car Samuelson en a présenté une formulation mathématique. Ce théorème </w:t>
      </w:r>
      <w:r>
        <w:rPr>
          <w:rFonts w:ascii="Arial" w:hAnsi="Arial" w:cs="Arial"/>
          <w:sz w:val="24"/>
          <w:szCs w:val="24"/>
        </w:rPr>
        <w:t>prolonge en réalité la théorie des avantages comparatifs de Ricardo en expliquant l’origine de l’avantage comparatif. Pour ces auteurs, les pays se spécialisent dans les productions qui incorporent le facteur de production le plus abondant localement. En d’autres termes ce théorème stipule que, dans l'échange international, les pays ont intérêt à se spécialiser dans les productions qui utilisent, dans la plus grande proportion, le facteur dont ils sont les mieux pourvus.</w:t>
      </w:r>
    </w:p>
    <w:p w14:paraId="018CE9C4"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En exportant que les produits incorporant une forte quantité du facteur de production qu’ils détiennent en abondance, les pays, industries et entreprises disposent donc d’un avantage sur les coûts de production, ce qui permet à ces entités d’accroître leur compétitivité. De ce point de vue, la compétitivité-prix d’une entité économique est déterminée par sa prédisposition en dotation factorielle la plus abondante. Toutefois, la </w:t>
      </w:r>
      <w:r>
        <w:rPr>
          <w:rFonts w:ascii="Arial" w:hAnsi="Arial" w:cs="Arial"/>
          <w:bCs/>
          <w:sz w:val="24"/>
          <w:szCs w:val="24"/>
        </w:rPr>
        <w:t>différence des techniques mises en œuvre ne joue pas</w:t>
      </w:r>
      <w:r>
        <w:rPr>
          <w:rFonts w:ascii="Arial" w:hAnsi="Arial" w:cs="Arial"/>
          <w:sz w:val="24"/>
          <w:szCs w:val="24"/>
        </w:rPr>
        <w:t xml:space="preserve">, car ces techniques sont facilement transférables d’un pays à l’autre, ce qui n’est pas le cas pour la dotation en ressource naturelle. La </w:t>
      </w:r>
      <w:r>
        <w:rPr>
          <w:rFonts w:ascii="Arial" w:hAnsi="Arial" w:cs="Arial"/>
          <w:bCs/>
          <w:sz w:val="24"/>
          <w:szCs w:val="24"/>
        </w:rPr>
        <w:t>rareté relative des facteurs de production</w:t>
      </w:r>
      <w:r>
        <w:rPr>
          <w:rFonts w:ascii="Arial" w:hAnsi="Arial" w:cs="Arial"/>
          <w:sz w:val="24"/>
          <w:szCs w:val="24"/>
        </w:rPr>
        <w:t xml:space="preserve"> entre deux pays est donc une condition nécessaire pour qu’il y ait </w:t>
      </w:r>
      <w:r>
        <w:rPr>
          <w:rFonts w:ascii="Arial" w:hAnsi="Arial" w:cs="Arial"/>
          <w:bCs/>
          <w:sz w:val="24"/>
          <w:szCs w:val="24"/>
        </w:rPr>
        <w:t>différence des coûts comparés</w:t>
      </w:r>
      <w:r>
        <w:rPr>
          <w:rFonts w:ascii="Arial" w:hAnsi="Arial" w:cs="Arial"/>
          <w:sz w:val="24"/>
          <w:szCs w:val="24"/>
        </w:rPr>
        <w:t xml:space="preserve"> et, par conséquent, le commerce international. </w:t>
      </w:r>
    </w:p>
    <w:p w14:paraId="15F0B2D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 théorème de H.O.S. permet alors d'expliquer les grands flux d'échanges entre pays fortement marqués par une spécialisation en termes de produits importés et exportés, mais il montre ses limites quand il s'agit d'expliquer des échanges de produits de même nature entre des pays riches (échanges intra-branches). </w:t>
      </w:r>
    </w:p>
    <w:p w14:paraId="4E08884A" w14:textId="77777777" w:rsidR="008862C7" w:rsidRDefault="008862C7" w:rsidP="008862C7">
      <w:pPr>
        <w:numPr>
          <w:ilvl w:val="0"/>
          <w:numId w:val="16"/>
        </w:numPr>
        <w:tabs>
          <w:tab w:val="left" w:pos="708"/>
        </w:tabs>
        <w:autoSpaceDE w:val="0"/>
        <w:autoSpaceDN w:val="0"/>
        <w:adjustRightInd w:val="0"/>
        <w:spacing w:after="120" w:line="360" w:lineRule="auto"/>
        <w:jc w:val="both"/>
        <w:rPr>
          <w:rFonts w:ascii="Arial" w:hAnsi="Arial" w:cs="Arial"/>
          <w:sz w:val="24"/>
          <w:szCs w:val="24"/>
        </w:rPr>
      </w:pPr>
      <w:r>
        <w:rPr>
          <w:rFonts w:ascii="Arial" w:hAnsi="Arial" w:cs="Arial"/>
          <w:b/>
          <w:bCs/>
          <w:sz w:val="24"/>
          <w:szCs w:val="24"/>
        </w:rPr>
        <w:t>Courant néo factoriel : le paradoxe de Leontief</w:t>
      </w:r>
    </w:p>
    <w:p w14:paraId="3861631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Dans les années 60, on a atteint une nouvelle dimension dans l’analyse des problèmes du commerce international en y incorporant le rôle de la technologie. C’est avec le « paradoxe de </w:t>
      </w:r>
      <w:r>
        <w:rPr>
          <w:rFonts w:ascii="Arial" w:hAnsi="Arial" w:cs="Arial"/>
          <w:sz w:val="24"/>
          <w:szCs w:val="24"/>
        </w:rPr>
        <w:lastRenderedPageBreak/>
        <w:t>Leontief » qui prend en compte la qualité des facteurs de production source de compétitivité dans les échanges intra-branches que l’analyse néo factorielle a vu le jour.</w:t>
      </w:r>
    </w:p>
    <w:p w14:paraId="0B23A0E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Tout a commencé quand Leontief a tenté de vérifier la validité des propositions du théorème de HOS pour le commerce international des USA. Ainsi les USA, mieux dotés en capital que le reste du monde devraient donc avoir proportionnellement un contenu en capital plus élevé dans ces exportations que ces importations. Les résultats obtenus de ces travaux sont apparemment contraires à la théorie de la dotation factorielle puisqu’il a constaté que les USA exportent surtout des produits à forte teneur en travail proportionnellement aux importations. En d’autre terme les entreprises américaines sont plus compétitives du point de vue travail que du point de vue capital. Pour expliquer cette contradiction apparente, Leontief propose de prendre en compte l’hétérogénéité interne du facteur travail, en considérant qu’un travailleur américain qualifié est plus productif que les travailleurs étrangers. Le facteur travail doit donc être décomposé en plusieurs niveaux de qualification et ne doit pas être considéré comme un stock homogène car il faut tenir compte du degré de technologie.  </w:t>
      </w:r>
    </w:p>
    <w:p w14:paraId="70E1A50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Raisonner sur les différences dans la qualification des travailleurs, la nouvelle conception du commerce international met l’accent sur le rôle joué par les innovations et les décalages temporels dans l’apparition de ces innovations entre les Nations.</w:t>
      </w:r>
    </w:p>
    <w:p w14:paraId="1B85AE5B" w14:textId="77777777" w:rsidR="008862C7" w:rsidRDefault="008862C7" w:rsidP="008862C7">
      <w:pPr>
        <w:pStyle w:val="Paragraphedeliste"/>
        <w:numPr>
          <w:ilvl w:val="0"/>
          <w:numId w:val="16"/>
        </w:numPr>
        <w:autoSpaceDE w:val="0"/>
        <w:autoSpaceDN w:val="0"/>
        <w:adjustRightInd w:val="0"/>
        <w:spacing w:after="120" w:line="360" w:lineRule="auto"/>
        <w:jc w:val="both"/>
        <w:outlineLvl w:val="6"/>
        <w:rPr>
          <w:rFonts w:ascii="Arial" w:hAnsi="Arial" w:cs="Arial"/>
          <w:sz w:val="24"/>
          <w:szCs w:val="24"/>
        </w:rPr>
      </w:pPr>
      <w:bookmarkStart w:id="83" w:name="_Toc395107568"/>
      <w:r>
        <w:rPr>
          <w:rFonts w:ascii="Arial" w:hAnsi="Arial" w:cs="Arial"/>
          <w:b/>
          <w:sz w:val="24"/>
          <w:szCs w:val="24"/>
        </w:rPr>
        <w:t>Prise en compte du facteur technologique avec Posner puis Vernon</w:t>
      </w:r>
      <w:bookmarkEnd w:id="83"/>
      <w:r>
        <w:rPr>
          <w:rFonts w:ascii="Arial" w:hAnsi="Arial" w:cs="Arial"/>
          <w:b/>
          <w:sz w:val="24"/>
          <w:szCs w:val="24"/>
        </w:rPr>
        <w:t xml:space="preserve"> </w:t>
      </w:r>
    </w:p>
    <w:p w14:paraId="727E893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 courant technologique est surtout constitué à partir des analyses de Posner en 1961 et Vernon en 1966. Ce courant explique les avantages comparatifs par le progrès technique. Ainsi cette approche permet de souligner le rôle prépondérant du facteur technologique comme déterminant de la compétitivité d’une économie. La technologie correspond aux dépenses de recherche et développement (R&amp;D) qui sont réalisées par les firmes et les institutions publiques. La R&amp;D a comme résultat l’apparition d’innovations qui peuvent concerner des processus de production ou des biens. Pour Posner, les industries et les nations dans lesquelles elles sont localisées sont engagées dans des « courses technologique » au bout duquel apparaît de nouveaux produits, à la fois sous l’impulsion des efforts de R&amp;D consentis, mais aussi du hasard. La firme novatrice bénéficie, pendant une certaine durée, du monopole dans la production de ce bien. Ce monopole devient alors source de gain de compétitivité pour une période donnée. Dès lors, l’exportation du bien ne peut être expliquée par les avantages comparatifs, mais par une forme particulière d’avantage absolu. Les firmes localisées dans les autres nations dans un délai </w:t>
      </w:r>
      <w:r>
        <w:rPr>
          <w:rFonts w:ascii="Arial" w:hAnsi="Arial" w:cs="Arial"/>
          <w:sz w:val="24"/>
          <w:szCs w:val="24"/>
        </w:rPr>
        <w:lastRenderedPageBreak/>
        <w:t>plus ou moins important sont capables de mettre sur le marché un produit rival. Le flux d’exportation émanant de la première firme tendra alors</w:t>
      </w:r>
      <w:r>
        <w:rPr>
          <w:rStyle w:val="Appelnotedebasdep"/>
          <w:rFonts w:ascii="Arial" w:hAnsi="Arial" w:cs="Arial"/>
          <w:sz w:val="24"/>
          <w:szCs w:val="24"/>
        </w:rPr>
        <w:footnoteReference w:id="14"/>
      </w:r>
      <w:r>
        <w:rPr>
          <w:rFonts w:ascii="Arial" w:hAnsi="Arial" w:cs="Arial"/>
          <w:sz w:val="24"/>
          <w:szCs w:val="24"/>
        </w:rPr>
        <w:t xml:space="preserve"> à diminuer puis à disparaître. </w:t>
      </w:r>
    </w:p>
    <w:p w14:paraId="7B63BB21" w14:textId="77777777" w:rsidR="008862C7" w:rsidRDefault="008862C7" w:rsidP="008862C7">
      <w:pPr>
        <w:autoSpaceDE w:val="0"/>
        <w:autoSpaceDN w:val="0"/>
        <w:adjustRightInd w:val="0"/>
        <w:spacing w:line="360" w:lineRule="auto"/>
        <w:jc w:val="both"/>
        <w:rPr>
          <w:rFonts w:ascii="Arial" w:hAnsi="Arial" w:cs="Arial"/>
          <w:noProof/>
          <w:sz w:val="24"/>
          <w:szCs w:val="24"/>
        </w:rPr>
      </w:pPr>
      <w:r>
        <w:rPr>
          <w:rFonts w:ascii="Arial" w:hAnsi="Arial" w:cs="Arial"/>
          <w:sz w:val="24"/>
          <w:szCs w:val="24"/>
        </w:rPr>
        <w:t xml:space="preserve">Vernon élabore en 1966 puis en 1972, une explication des échanges centrée sur les caractéristiques de l'offre des produits. Les échanges de biens s'expliquent par les innovations des pays riches, qui créent sans cesse de nouveaux biens, au départ coûteux et destinés à leur marché national. La croissance de la demande locale stimule la production en grande série, ce qui réduit les coûts moyens de production et favorise, dans une deuxième étape, les exportations vers l'étranger. Une fois le produit banalisé, les producteurs délocalisent la production pour profiter de la main d'œuvre étrangère meilleur marché. D'exportateur net, le pays devient progressivement importateur net. Ainsi sa théorie du cycle de vie du produit distingue les phases du cycle de vie du produit au cours de son développement (naissance, croissance, maturité, sénescence) : </w:t>
      </w:r>
      <w:r>
        <w:rPr>
          <w:rFonts w:ascii="Arial" w:hAnsi="Arial" w:cs="Arial"/>
          <w:noProof/>
          <w:sz w:val="24"/>
          <w:szCs w:val="24"/>
        </w:rPr>
        <w:t>la phase de lancement où le produit est reservé au marché domestique ; la phase de croissance où le produit s’exporte vers les pays partenaires ; la phase de maturité où la production est délocalisée en Europe afin de diminuer le coût de production ; la phase de déclin où la production est délocalisée vers les pays à faible coût de main d’œuvre.</w:t>
      </w:r>
    </w:p>
    <w:p w14:paraId="3C0ED667" w14:textId="77777777" w:rsidR="008862C7" w:rsidRDefault="008862C7" w:rsidP="008862C7">
      <w:pPr>
        <w:spacing w:line="360" w:lineRule="auto"/>
        <w:jc w:val="both"/>
        <w:rPr>
          <w:rFonts w:ascii="Arial" w:hAnsi="Arial" w:cs="Arial"/>
          <w:noProof/>
          <w:sz w:val="24"/>
          <w:szCs w:val="24"/>
        </w:rPr>
      </w:pPr>
      <w:r>
        <w:rPr>
          <w:rFonts w:ascii="Arial" w:hAnsi="Arial" w:cs="Arial"/>
          <w:noProof/>
          <w:sz w:val="24"/>
          <w:szCs w:val="24"/>
        </w:rPr>
        <w:t>Il est à noter que c’est à partir de cette approche de Vernon que le problème des firmes multinationales est pris en compte dans les théories du commerce international. Aussi, elle a permis de donner une base théorique pour justifier la qualité d’un produit et les éfforts de recherche (innovation) comme facteur de compétitivité. Ainsi pour accroître leur compétivité, la politique commerciale stratégique basée sur cette théorie encourage la délocalisation compétitive des fillialles d’une firme. En effet s’était déjà un premier pas vers la nouvelle théorie du commerce international.</w:t>
      </w:r>
    </w:p>
    <w:p w14:paraId="2043F92C" w14:textId="77777777" w:rsidR="008862C7" w:rsidRDefault="008862C7" w:rsidP="008862C7">
      <w:pPr>
        <w:pStyle w:val="Paragraphedeliste"/>
        <w:numPr>
          <w:ilvl w:val="3"/>
          <w:numId w:val="14"/>
        </w:numPr>
        <w:autoSpaceDE w:val="0"/>
        <w:autoSpaceDN w:val="0"/>
        <w:adjustRightInd w:val="0"/>
        <w:spacing w:after="0" w:line="360" w:lineRule="auto"/>
        <w:jc w:val="both"/>
        <w:outlineLvl w:val="5"/>
        <w:rPr>
          <w:rFonts w:ascii="Arial" w:hAnsi="Arial" w:cs="Arial"/>
          <w:b/>
          <w:bCs/>
          <w:sz w:val="24"/>
          <w:szCs w:val="24"/>
        </w:rPr>
      </w:pPr>
      <w:bookmarkStart w:id="84" w:name="_Toc395107569"/>
      <w:r>
        <w:rPr>
          <w:rFonts w:ascii="Arial" w:hAnsi="Arial" w:cs="Arial"/>
          <w:b/>
          <w:bCs/>
          <w:sz w:val="24"/>
          <w:szCs w:val="24"/>
        </w:rPr>
        <w:t>Emergence de la nouvelle théorie du commerce international</w:t>
      </w:r>
      <w:bookmarkEnd w:id="84"/>
    </w:p>
    <w:p w14:paraId="6ABAD8F6"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réalité des échanges commerciaux ne correspond pas aux prescriptions des théories traditionnelles du commerce international. Selon l’avantage comparatif de Ricardo et le modèle factoriel, le commerce international devrait se développer entre pays différents (en termes de productivité pour le premier et de dotations factorielles pour le deuxième). Or, ce sont les échanges entre pays industrialisés, notamment européens, qui se développent et ce d’autant plus que les pays sont proches géographiquement, économiquement et culturellement. De nouvelles approches sont nées afin d’expliquer cette observation.</w:t>
      </w:r>
    </w:p>
    <w:p w14:paraId="1D22364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Concurrence parfaite, produits homogènes et rendements d’échelle constants soutiennent l’édifice de la théorie classique du commerce international. Relâcher ces hypothèses en reconstruisant la théorie du commerce international sur les bases de la micro-économie et de l’économie industrielle a permis de déboucher sur des résultats nouveaux. Paul Krugman a joué un rôle décisif dans cette entreprise de reconstruction.</w:t>
      </w:r>
    </w:p>
    <w:p w14:paraId="448809C5" w14:textId="77777777" w:rsidR="008862C7" w:rsidRDefault="008862C7" w:rsidP="008862C7">
      <w:pPr>
        <w:pStyle w:val="Paragraphedeliste"/>
        <w:numPr>
          <w:ilvl w:val="0"/>
          <w:numId w:val="16"/>
        </w:numPr>
        <w:autoSpaceDE w:val="0"/>
        <w:autoSpaceDN w:val="0"/>
        <w:adjustRightInd w:val="0"/>
        <w:spacing w:after="120" w:line="360" w:lineRule="auto"/>
        <w:jc w:val="both"/>
        <w:outlineLvl w:val="6"/>
        <w:rPr>
          <w:rFonts w:ascii="Arial" w:hAnsi="Arial" w:cs="Arial"/>
          <w:b/>
          <w:sz w:val="24"/>
          <w:szCs w:val="24"/>
        </w:rPr>
      </w:pPr>
      <w:bookmarkStart w:id="85" w:name="_Toc395107570"/>
      <w:r>
        <w:rPr>
          <w:rFonts w:ascii="Arial" w:hAnsi="Arial" w:cs="Arial"/>
          <w:b/>
          <w:sz w:val="24"/>
          <w:szCs w:val="24"/>
        </w:rPr>
        <w:t>Travaux précurseurs</w:t>
      </w:r>
      <w:bookmarkEnd w:id="85"/>
    </w:p>
    <w:p w14:paraId="31EBA036"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bCs/>
          <w:sz w:val="24"/>
          <w:szCs w:val="24"/>
        </w:rPr>
        <w:t>La différenciation des produits (</w:t>
      </w:r>
      <w:r>
        <w:rPr>
          <w:rFonts w:ascii="Arial" w:hAnsi="Arial" w:cs="Arial"/>
          <w:i/>
          <w:sz w:val="24"/>
          <w:szCs w:val="24"/>
        </w:rPr>
        <w:t>différenciation horizontale</w:t>
      </w:r>
      <w:r>
        <w:rPr>
          <w:rFonts w:ascii="Arial" w:hAnsi="Arial" w:cs="Arial"/>
          <w:bCs/>
          <w:sz w:val="24"/>
          <w:szCs w:val="24"/>
        </w:rPr>
        <w:t xml:space="preserve">) : </w:t>
      </w:r>
      <w:r>
        <w:rPr>
          <w:rFonts w:ascii="Arial" w:hAnsi="Arial" w:cs="Arial"/>
          <w:sz w:val="24"/>
          <w:szCs w:val="24"/>
        </w:rPr>
        <w:t>les théories traditionnelles considèrent que les biens échangés sont homogènes, conformément aux hypothèses de la concurrence parfaite. Mais l’introduction de la différenciation des produits</w:t>
      </w:r>
      <w:r>
        <w:rPr>
          <w:rStyle w:val="Appelnotedebasdep"/>
          <w:rFonts w:ascii="Arial" w:hAnsi="Arial" w:cs="Arial"/>
          <w:sz w:val="24"/>
          <w:szCs w:val="24"/>
        </w:rPr>
        <w:footnoteReference w:id="15"/>
      </w:r>
      <w:r>
        <w:rPr>
          <w:rFonts w:ascii="Arial" w:hAnsi="Arial" w:cs="Arial"/>
          <w:sz w:val="24"/>
          <w:szCs w:val="24"/>
        </w:rPr>
        <w:t xml:space="preserve"> par Chamberlin (1933) et ses précurseurs montre que les produits des offreurs sur un marché donné ne sont pas considérés comme parfaitement substituables par les consommateurs. Les  firmes peuvent augmenter leurs prix par rapport à leurs rivales sans pour autant connaître une désaffection de leur clientèle (compétitivité qualité). </w:t>
      </w:r>
    </w:p>
    <w:p w14:paraId="376E02B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bCs/>
          <w:sz w:val="24"/>
          <w:szCs w:val="24"/>
        </w:rPr>
        <w:t>La différenciation par la qualité (</w:t>
      </w:r>
      <w:r>
        <w:rPr>
          <w:rFonts w:ascii="Arial" w:hAnsi="Arial" w:cs="Arial"/>
          <w:i/>
          <w:sz w:val="24"/>
          <w:szCs w:val="24"/>
        </w:rPr>
        <w:t>différenciation verticale</w:t>
      </w:r>
      <w:r>
        <w:rPr>
          <w:rFonts w:ascii="Arial" w:hAnsi="Arial" w:cs="Arial"/>
          <w:bCs/>
          <w:sz w:val="24"/>
          <w:szCs w:val="24"/>
        </w:rPr>
        <w:t xml:space="preserve">) : </w:t>
      </w:r>
      <w:r>
        <w:rPr>
          <w:rFonts w:ascii="Arial" w:hAnsi="Arial" w:cs="Arial"/>
          <w:sz w:val="24"/>
          <w:szCs w:val="24"/>
        </w:rPr>
        <w:t xml:space="preserve">Tous les consommateurs ont des goûts identiques mais des revenus différents et, pour un bien donné, il existe un éventail de qualités distinctes. Les consommateurs avec des revenus élevés sont disposés à acheter la qualité supérieure, alors que ceux à revenus faibles demandent de produits de qualité inférieure. La demande à laquelle est confronté un producteur d’un bien d’une qualité donnée dépend donc du prix de son bien mais aussi des qualités des biens offerts par les autres ainsi que des prix de ces qualités. </w:t>
      </w:r>
    </w:p>
    <w:p w14:paraId="126A40A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Ces points de vue couplés avec les apports de Posner et Vernon permettent d’expliquer les déterminants structurels de la compétitivité d’une économie. Pour être compétitive, c'est-à-dire accroître sa rentabilité et/ou sa part de marché dans le temps et dans l’espace, chaque économie cherchera à accroître ses avantages structurels (en terme de qualité du produit) par la différenciation.</w:t>
      </w:r>
    </w:p>
    <w:p w14:paraId="113F2648" w14:textId="77777777" w:rsidR="008862C7" w:rsidRDefault="008862C7" w:rsidP="008862C7">
      <w:pPr>
        <w:pStyle w:val="Paragraphedeliste"/>
        <w:numPr>
          <w:ilvl w:val="0"/>
          <w:numId w:val="16"/>
        </w:numPr>
        <w:autoSpaceDE w:val="0"/>
        <w:autoSpaceDN w:val="0"/>
        <w:adjustRightInd w:val="0"/>
        <w:spacing w:after="120" w:line="360" w:lineRule="auto"/>
        <w:jc w:val="both"/>
        <w:outlineLvl w:val="6"/>
        <w:rPr>
          <w:rFonts w:ascii="Arial" w:hAnsi="Arial" w:cs="Arial"/>
          <w:b/>
          <w:sz w:val="24"/>
          <w:szCs w:val="24"/>
        </w:rPr>
      </w:pPr>
      <w:bookmarkStart w:id="86" w:name="_Toc395107571"/>
      <w:r>
        <w:rPr>
          <w:rFonts w:ascii="Arial" w:hAnsi="Arial" w:cs="Arial"/>
          <w:b/>
          <w:sz w:val="24"/>
          <w:szCs w:val="24"/>
        </w:rPr>
        <w:t>Travaux fondateurs</w:t>
      </w:r>
      <w:bookmarkEnd w:id="86"/>
    </w:p>
    <w:p w14:paraId="3EAC42F1"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La nouvelle théorie du commerce international n'a pas véritablement innové au plan des idées. Dès 1923, Franck Graham envisageait l'influence des économies d'échelle sur le commerce, et dix années plus tard, Ohlin lui-même jugeait que la production à grande échelle, en diminuant les </w:t>
      </w:r>
      <w:r>
        <w:rPr>
          <w:rFonts w:ascii="Arial" w:hAnsi="Arial" w:cs="Arial"/>
          <w:sz w:val="24"/>
          <w:szCs w:val="24"/>
        </w:rPr>
        <w:lastRenderedPageBreak/>
        <w:t xml:space="preserve">coûts moyens de production, pouvait expliquer les échanges internationaux. De ce fait, le commerce international et la notion de compétitivité peuvent facilement être confondus, car les facteurs qui expliquent le premier constituent des déterminants pour le second. Mais, la nouvelle théorie du commerce international a le mérite d'avoir transformé en modèles rigoureux ce qui n'était que des intuitions ou des hypothèses (Rainelli, 1997). </w:t>
      </w:r>
    </w:p>
    <w:p w14:paraId="7190E686" w14:textId="77777777" w:rsidR="008862C7" w:rsidRDefault="008862C7" w:rsidP="008862C7">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La nouvelle théorie du commerce international reprend, en les adaptant, les outils microéconomiques développés par l'économie des marchés et l'économie industrielle pour traiter de la concurrence imparfaite, de la différentiation des biens dans les changes internationaux, et de la notion d’économie d’échelle croissante. Dans les premiers travaux fondateurs de ce nouveau courant, on distingue deux approches :</w:t>
      </w:r>
      <w:r>
        <w:rPr>
          <w:rFonts w:ascii="Arial" w:hAnsi="Arial" w:cs="Arial"/>
          <w:b/>
          <w:sz w:val="24"/>
          <w:szCs w:val="24"/>
        </w:rPr>
        <w:t xml:space="preserve"> </w:t>
      </w:r>
      <w:r>
        <w:rPr>
          <w:rFonts w:ascii="Arial" w:hAnsi="Arial" w:cs="Arial"/>
          <w:sz w:val="24"/>
          <w:szCs w:val="24"/>
        </w:rPr>
        <w:t>la prise en compte de la concurrence imparfaite (marché monopolistique et marché oligopolistique) et les rendements d’échelle croissants.</w:t>
      </w:r>
    </w:p>
    <w:p w14:paraId="5EE88DC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Selon l’approche qui prend en compte la concurrence imparfaite, on peut distinguer deux écoles ou courants de pensée dont la première est basée sur le marché monopolistique et la seconde sur le marché oligopolistique (modèle de Cournot) :</w:t>
      </w:r>
    </w:p>
    <w:p w14:paraId="1A92EE52" w14:textId="77777777" w:rsidR="008862C7" w:rsidRDefault="008862C7" w:rsidP="008862C7">
      <w:pPr>
        <w:pStyle w:val="Paragraphedeliste"/>
        <w:numPr>
          <w:ilvl w:val="0"/>
          <w:numId w:val="17"/>
        </w:numPr>
        <w:autoSpaceDE w:val="0"/>
        <w:autoSpaceDN w:val="0"/>
        <w:adjustRightInd w:val="0"/>
        <w:spacing w:after="120" w:line="360" w:lineRule="auto"/>
        <w:ind w:left="1077"/>
        <w:jc w:val="both"/>
        <w:rPr>
          <w:rFonts w:ascii="Arial" w:hAnsi="Arial" w:cs="Arial"/>
          <w:sz w:val="24"/>
          <w:szCs w:val="24"/>
        </w:rPr>
      </w:pPr>
      <w:r>
        <w:rPr>
          <w:rFonts w:ascii="Arial" w:hAnsi="Arial" w:cs="Arial"/>
          <w:sz w:val="24"/>
          <w:szCs w:val="24"/>
        </w:rPr>
        <w:t>les travaux qui s'appuient sur les modèles de concurrence monopolistique</w:t>
      </w:r>
      <w:r>
        <w:rPr>
          <w:rStyle w:val="Appelnotedebasdep"/>
          <w:rFonts w:ascii="Arial" w:hAnsi="Arial" w:cs="Arial"/>
          <w:sz w:val="24"/>
          <w:szCs w:val="24"/>
        </w:rPr>
        <w:footnoteReference w:id="16"/>
      </w:r>
      <w:r>
        <w:rPr>
          <w:rFonts w:ascii="Arial" w:hAnsi="Arial" w:cs="Arial"/>
          <w:sz w:val="24"/>
          <w:szCs w:val="24"/>
        </w:rPr>
        <w:t xml:space="preserve"> sont ceux de Krugman (1979), Lancaster (1980) et Helpman (1981) qui stipulent que les échanges internationaux sont la conséquence du goût pour la diversité des consommateurs, qui engendre une demande pour les variétés étrangères, et des rendements croissants d'échelle des producteurs, qui favorise l’effet d’attractivité des marchés. Ils se placent ainsi dans une perspective de longue période ;</w:t>
      </w:r>
    </w:p>
    <w:p w14:paraId="11CD8507" w14:textId="77777777" w:rsidR="008862C7" w:rsidRDefault="008862C7" w:rsidP="008862C7">
      <w:pPr>
        <w:pStyle w:val="Paragraphedeliste"/>
        <w:numPr>
          <w:ilvl w:val="0"/>
          <w:numId w:val="17"/>
        </w:numPr>
        <w:autoSpaceDE w:val="0"/>
        <w:autoSpaceDN w:val="0"/>
        <w:adjustRightInd w:val="0"/>
        <w:spacing w:line="360" w:lineRule="auto"/>
        <w:jc w:val="both"/>
        <w:rPr>
          <w:rFonts w:ascii="Arial" w:hAnsi="Arial" w:cs="Arial"/>
          <w:sz w:val="24"/>
          <w:szCs w:val="24"/>
        </w:rPr>
      </w:pPr>
      <w:r>
        <w:rPr>
          <w:rFonts w:ascii="Arial" w:hAnsi="Arial" w:cs="Arial"/>
          <w:sz w:val="24"/>
          <w:szCs w:val="24"/>
        </w:rPr>
        <w:t>les travaux qui se fondent sur les modèles de la concurrence oligopolistique des marchés, principalement celui de Cournot (1838). On y trouve les travaux de Brander (1981) puis de Brander et Krugman (1983). Selon ce courant, les échanges internationaux sont la conséquence des comportements stratégiques des firmes qui créent un effet pro-compétitif du commerce. Ils se placent plutôt dans une perspective de courte période. En d’autres termes c’est la compétitivité qui pousse au commerce international.</w:t>
      </w:r>
    </w:p>
    <w:p w14:paraId="14750AB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L’observation de l’évolution de la structure du commerce international sur les deux dernières décennies a emmené les penseurs tels que Krugman (1979), Lancaster (1980), Helpman (1981) et Brander (1981) à définir une nouvelle approche qui prend en compte les économies d’échelle, les stratégies des firmes multinationales et la différenciation des biens par la R&amp;D. L’existence </w:t>
      </w:r>
      <w:r>
        <w:rPr>
          <w:rFonts w:ascii="Arial" w:hAnsi="Arial" w:cs="Arial"/>
          <w:sz w:val="24"/>
          <w:szCs w:val="24"/>
        </w:rPr>
        <w:lastRenderedPageBreak/>
        <w:t>des rendements d’échelle croissants suppose que la production augmente plus vite que la taille des unités de production (rendements internes) ou la taille de l’industrie (rendements externes). Ces deux dimensions du problème ne sont pas aisément dissociables sur le plan empirique car on dispose généralement de données d’industries et non de firmes. Sur le plan théorique, cette distinction est importante car seules les économies externes préservent la concurrence parfaite. Des économies internes incitent au contraire les firmes à grandir : elles y trouvent la possibilité d’adopter des comportements stratégiques lorsqu’elles se retrouvent en petit nombre ; cela limite par ailleurs la variété de produits qu’une industrie d’une taille donnée peut offrir à ses clients. Depuis la fin des années 1970, toute la théorie du commerce international a été réécrite sur la base de ces principes. La validation empirique du nouvel édifice est en cours depuis la fin des années 1990.</w:t>
      </w:r>
    </w:p>
    <w:p w14:paraId="6929495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Les coûts unitaires baissent avec le développement des industries, au sein d’un pays, dès lors que des </w:t>
      </w:r>
      <w:r>
        <w:rPr>
          <w:rFonts w:ascii="Arial" w:hAnsi="Arial" w:cs="Arial"/>
          <w:i/>
          <w:iCs/>
          <w:sz w:val="24"/>
          <w:szCs w:val="24"/>
        </w:rPr>
        <w:t xml:space="preserve">externalités positives </w:t>
      </w:r>
      <w:r>
        <w:rPr>
          <w:rFonts w:ascii="Arial" w:hAnsi="Arial" w:cs="Arial"/>
          <w:sz w:val="24"/>
          <w:szCs w:val="24"/>
        </w:rPr>
        <w:t xml:space="preserve">apparaissent : émergence de qualifications spécifiques, plus grande diversité de fournisseurs à proximité, etc. Dès lors, </w:t>
      </w:r>
      <w:r>
        <w:rPr>
          <w:rFonts w:ascii="Arial" w:hAnsi="Arial" w:cs="Arial"/>
          <w:i/>
          <w:iCs/>
          <w:sz w:val="24"/>
          <w:szCs w:val="24"/>
        </w:rPr>
        <w:t xml:space="preserve">la taille </w:t>
      </w:r>
      <w:r>
        <w:rPr>
          <w:rFonts w:ascii="Arial" w:hAnsi="Arial" w:cs="Arial"/>
          <w:sz w:val="24"/>
          <w:szCs w:val="24"/>
        </w:rPr>
        <w:t xml:space="preserve">(de la production nationale) </w:t>
      </w:r>
      <w:r>
        <w:rPr>
          <w:rFonts w:ascii="Arial" w:hAnsi="Arial" w:cs="Arial"/>
          <w:i/>
          <w:iCs/>
          <w:sz w:val="24"/>
          <w:szCs w:val="24"/>
        </w:rPr>
        <w:t>compte</w:t>
      </w:r>
      <w:r>
        <w:rPr>
          <w:rFonts w:ascii="Arial" w:hAnsi="Arial" w:cs="Arial"/>
          <w:sz w:val="24"/>
          <w:szCs w:val="24"/>
        </w:rPr>
        <w:t>. Cette idée est nouvelle puisque l’on ne peut plus se contenter de raisonner en termes relatifs, comme dans la théorie classique du commerce. Un avantage initial sera cumulatif, puisque les gains de parts de marché à l’ouverture permettront de renforcer la différence de coût. Cette différence de taille peut provenir de la taille du pays (son Produit National Brut), de préférences différentes des consommateurs, de subventions publiques, etc. Elle peut également provenir d’un avantage comparatif.</w:t>
      </w:r>
    </w:p>
    <w:p w14:paraId="6FEFDBFB"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Les activités à rendements croissants tendront finalement à être beaucoup plus concentrées dans l’espace. Et tout processus d’intégration devrait renforcer cette tendance à leur concentration. Mais l’avantage comparatif, au sens classique, n’est plus un préalable à la spécialisation des pays. </w:t>
      </w:r>
    </w:p>
    <w:p w14:paraId="5FD727A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En somme la synthèse des différents courants de pensées de la nouvelle théorie du commerce international a été proposée par Elhanan Helpman et Paul Krugman (1985) en termes d’</w:t>
      </w:r>
      <w:r>
        <w:rPr>
          <w:rFonts w:ascii="Arial" w:hAnsi="Arial" w:cs="Arial"/>
          <w:i/>
          <w:iCs/>
          <w:sz w:val="24"/>
          <w:szCs w:val="24"/>
        </w:rPr>
        <w:t xml:space="preserve">équilibre intégré. </w:t>
      </w:r>
      <w:r>
        <w:rPr>
          <w:rFonts w:ascii="Arial" w:hAnsi="Arial" w:cs="Arial"/>
          <w:iCs/>
          <w:sz w:val="24"/>
          <w:szCs w:val="24"/>
        </w:rPr>
        <w:t>Celle-ci</w:t>
      </w:r>
      <w:r>
        <w:rPr>
          <w:rFonts w:ascii="Arial" w:hAnsi="Arial" w:cs="Arial"/>
          <w:i/>
          <w:iCs/>
          <w:sz w:val="24"/>
          <w:szCs w:val="24"/>
        </w:rPr>
        <w:t xml:space="preserve"> </w:t>
      </w:r>
      <w:r>
        <w:rPr>
          <w:rFonts w:ascii="Arial" w:hAnsi="Arial" w:cs="Arial"/>
          <w:sz w:val="24"/>
          <w:szCs w:val="24"/>
        </w:rPr>
        <w:t>a permis de dépasser l’opposition paradigmatique entre avantage comparatif et concurrence imparfaite, en donnant une nouvelle interprétation de l’apport de Jaroslav Vanek</w:t>
      </w:r>
      <w:r>
        <w:rPr>
          <w:rStyle w:val="Appelnotedebasdep"/>
          <w:rFonts w:ascii="Arial" w:hAnsi="Arial" w:cs="Arial"/>
          <w:sz w:val="24"/>
          <w:szCs w:val="24"/>
        </w:rPr>
        <w:footnoteReference w:id="17"/>
      </w:r>
      <w:r>
        <w:rPr>
          <w:rFonts w:ascii="Arial" w:hAnsi="Arial" w:cs="Arial"/>
          <w:sz w:val="24"/>
          <w:szCs w:val="24"/>
        </w:rPr>
        <w:t xml:space="preserve">. </w:t>
      </w:r>
      <w:r>
        <w:rPr>
          <w:rFonts w:ascii="Arial" w:hAnsi="Arial" w:cs="Arial"/>
          <w:sz w:val="24"/>
          <w:szCs w:val="24"/>
        </w:rPr>
        <w:lastRenderedPageBreak/>
        <w:t>Ils considèrent une situation initiale (théorique) d’intégration parfaite de l’économie mondiale : les prix des biens et les rémunérations des facteurs sont identiques partout. La question est alors de savoir sous quelles conditions un découpage arbitraire de cette économie intégrée en économies nationales différemment dotées en facteurs permet de reproduire les conditions de départ.</w:t>
      </w:r>
    </w:p>
    <w:p w14:paraId="5C198BC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 cadre abstrait permet d’intégrer différentes structures de marché, en concurrence parfaite ou imparfaite. Il apparaît que l’écart de dotation factorielle entre les pays (pour l’essentiel leur écart de niveau de développement) renforce le caractère interbranche des échanges, tandis que la similarité des pays conforte l’échange intra-branche. Ce résultat est tout à fait conforme aux observations. Les pressions redistributives associées à l’échange sont d’autant plus intenses que l’échange est interbranche et donc que les pays sont différents. Enfin, lorsque les pays sont trop différents, la seule mobilité des biens ne pourra assurer l’égalisation des revenus de facteurs.</w:t>
      </w:r>
    </w:p>
    <w:p w14:paraId="5B146E7E"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Au total, la théorie classique du commerce international, favorisant les explications en termes d’avantage comparatif, rendrait mieux compte des échanges (en concurrence parfaite) entre économies très différentes. A l’inverse, les échanges entre économies similaires seraient mieux expliqués par les nouvelles approches en concurrence imparfaite accordant une place centrale aux rendements croissants, à la différenciation des produits et aux stratégies des firmes.</w:t>
      </w:r>
    </w:p>
    <w:p w14:paraId="39DFB4C3" w14:textId="77777777" w:rsidR="008862C7" w:rsidRDefault="008862C7" w:rsidP="008862C7">
      <w:pPr>
        <w:pStyle w:val="Titre3"/>
        <w:rPr>
          <w:b/>
        </w:rPr>
      </w:pPr>
      <w:bookmarkStart w:id="87" w:name="_Toc395107572"/>
      <w:bookmarkStart w:id="88" w:name="_Toc394954774"/>
      <w:r>
        <w:rPr>
          <w:b/>
        </w:rPr>
        <w:t>CONCLUSION</w:t>
      </w:r>
      <w:bookmarkEnd w:id="87"/>
      <w:bookmarkEnd w:id="88"/>
      <w:r>
        <w:rPr>
          <w:b/>
        </w:rPr>
        <w:t xml:space="preserve"> </w:t>
      </w:r>
    </w:p>
    <w:p w14:paraId="56266046"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En somme l’élaboration d’un cadre conceptuel et théorique pour l’étude des déterminants de la compétitivité de la filière cotonnière centrafricaine révèle l’inexistence d’une approche uniforme pouvant guider les efforts de recherche. Cette situation peut s’expliquer en partie par la renaissance récente de ce concept sur la scène politique et industrielle et dans les débats scientifiques.</w:t>
      </w:r>
    </w:p>
    <w:p w14:paraId="1948498E"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On peut retenir de ce concept que sa compréhension et son analyse dépendent du niveau de l’agréation économique, de l’analyse menée, de la nature et de l’objet de l’analyse. Pour un produit agricole d’exportation, l’analyse de sa compétitivité nécessite une approche systémique qui permettra de prendre en compte les interrelations entre les différents méso-systèmes d’où une approche filière.</w:t>
      </w:r>
    </w:p>
    <w:p w14:paraId="053A843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Quant au cadre théorique auquel renvoie l’étude de la compétitivité, il s’agit là encore de l’approche filière et de la nouvelle théorie du commerce international, permettant ainsi de prendre en compte non seulement les dimensions prix et nationale de la compétitivité mais aussi les dimensions structurelles et internationale de ce concept.</w:t>
      </w:r>
    </w:p>
    <w:p w14:paraId="30EDD05F" w14:textId="77777777" w:rsidR="008862C7" w:rsidRDefault="008862C7" w:rsidP="008862C7">
      <w:pPr>
        <w:spacing w:line="360" w:lineRule="auto"/>
        <w:jc w:val="both"/>
        <w:rPr>
          <w:rFonts w:ascii="Arial" w:hAnsi="Arial" w:cs="Arial"/>
          <w:sz w:val="24"/>
          <w:szCs w:val="24"/>
        </w:rPr>
      </w:pPr>
    </w:p>
    <w:p w14:paraId="2E5FA96D" w14:textId="77777777" w:rsidR="008862C7" w:rsidRDefault="008862C7" w:rsidP="008862C7">
      <w:pPr>
        <w:spacing w:line="360" w:lineRule="auto"/>
        <w:jc w:val="center"/>
        <w:rPr>
          <w:rFonts w:ascii="Arial" w:hAnsi="Arial" w:cs="Arial"/>
          <w:b/>
          <w:sz w:val="24"/>
          <w:szCs w:val="24"/>
        </w:rPr>
      </w:pPr>
    </w:p>
    <w:p w14:paraId="26F37711" w14:textId="77777777" w:rsidR="008862C7" w:rsidRDefault="008862C7" w:rsidP="008862C7">
      <w:pPr>
        <w:spacing w:line="360" w:lineRule="auto"/>
        <w:jc w:val="center"/>
        <w:rPr>
          <w:rFonts w:ascii="Arial" w:hAnsi="Arial" w:cs="Arial"/>
          <w:b/>
          <w:sz w:val="24"/>
          <w:szCs w:val="24"/>
        </w:rPr>
      </w:pPr>
    </w:p>
    <w:p w14:paraId="652B910E" w14:textId="77777777" w:rsidR="008862C7" w:rsidRDefault="008862C7" w:rsidP="008862C7">
      <w:pPr>
        <w:spacing w:line="360" w:lineRule="auto"/>
        <w:jc w:val="center"/>
        <w:rPr>
          <w:rFonts w:ascii="Arial" w:hAnsi="Arial" w:cs="Arial"/>
          <w:b/>
          <w:sz w:val="24"/>
          <w:szCs w:val="24"/>
        </w:rPr>
      </w:pPr>
    </w:p>
    <w:p w14:paraId="5368A3AC" w14:textId="77777777" w:rsidR="008862C7" w:rsidRDefault="008862C7" w:rsidP="008862C7">
      <w:pPr>
        <w:spacing w:line="360" w:lineRule="auto"/>
        <w:jc w:val="center"/>
        <w:rPr>
          <w:rFonts w:ascii="Arial" w:hAnsi="Arial" w:cs="Arial"/>
          <w:b/>
          <w:sz w:val="24"/>
          <w:szCs w:val="24"/>
        </w:rPr>
      </w:pPr>
    </w:p>
    <w:p w14:paraId="705BD24D" w14:textId="77777777" w:rsidR="008862C7" w:rsidRDefault="008862C7" w:rsidP="008862C7">
      <w:pPr>
        <w:spacing w:line="360" w:lineRule="auto"/>
        <w:jc w:val="center"/>
        <w:rPr>
          <w:rFonts w:ascii="Arial" w:hAnsi="Arial" w:cs="Arial"/>
          <w:b/>
          <w:sz w:val="24"/>
          <w:szCs w:val="24"/>
        </w:rPr>
      </w:pPr>
    </w:p>
    <w:p w14:paraId="0D9FC57E" w14:textId="77777777" w:rsidR="008862C7" w:rsidRDefault="008862C7" w:rsidP="008862C7">
      <w:pPr>
        <w:spacing w:line="360" w:lineRule="auto"/>
        <w:jc w:val="center"/>
        <w:rPr>
          <w:rFonts w:ascii="Arial" w:hAnsi="Arial" w:cs="Arial"/>
          <w:b/>
          <w:sz w:val="24"/>
          <w:szCs w:val="24"/>
        </w:rPr>
      </w:pPr>
    </w:p>
    <w:p w14:paraId="45682D71" w14:textId="77777777" w:rsidR="008862C7" w:rsidRDefault="008862C7" w:rsidP="008862C7">
      <w:pPr>
        <w:spacing w:line="360" w:lineRule="auto"/>
        <w:jc w:val="center"/>
        <w:rPr>
          <w:rFonts w:ascii="Arial" w:hAnsi="Arial" w:cs="Arial"/>
          <w:b/>
          <w:sz w:val="24"/>
          <w:szCs w:val="24"/>
        </w:rPr>
      </w:pPr>
    </w:p>
    <w:p w14:paraId="48A42A82" w14:textId="77777777" w:rsidR="008862C7" w:rsidRDefault="008862C7" w:rsidP="008862C7">
      <w:pPr>
        <w:spacing w:line="360" w:lineRule="auto"/>
        <w:jc w:val="center"/>
        <w:rPr>
          <w:rFonts w:ascii="Arial" w:hAnsi="Arial" w:cs="Arial"/>
          <w:b/>
          <w:sz w:val="24"/>
          <w:szCs w:val="24"/>
        </w:rPr>
      </w:pPr>
    </w:p>
    <w:p w14:paraId="5CFF8AA0" w14:textId="77777777" w:rsidR="008862C7" w:rsidRDefault="008862C7" w:rsidP="008862C7">
      <w:pPr>
        <w:pStyle w:val="Titre2"/>
        <w:jc w:val="center"/>
        <w:rPr>
          <w:rFonts w:ascii="Arial" w:hAnsi="Arial" w:cs="Arial"/>
          <w:color w:val="auto"/>
          <w:sz w:val="24"/>
          <w:szCs w:val="24"/>
        </w:rPr>
      </w:pPr>
      <w:bookmarkStart w:id="89" w:name="_Toc394954775"/>
      <w:bookmarkStart w:id="90" w:name="_Toc395107573"/>
      <w:r>
        <w:rPr>
          <w:rFonts w:ascii="Arial" w:hAnsi="Arial" w:cs="Arial"/>
          <w:color w:val="auto"/>
          <w:sz w:val="24"/>
          <w:szCs w:val="24"/>
        </w:rPr>
        <w:t>CHAPITRE II</w:t>
      </w:r>
      <w:bookmarkStart w:id="91" w:name="_Toc394954776"/>
      <w:bookmarkEnd w:id="89"/>
      <w:r>
        <w:rPr>
          <w:rFonts w:ascii="Arial" w:hAnsi="Arial" w:cs="Arial"/>
          <w:color w:val="auto"/>
          <w:sz w:val="24"/>
          <w:szCs w:val="24"/>
        </w:rPr>
        <w:t xml:space="preserve"> : </w:t>
      </w:r>
    </w:p>
    <w:p w14:paraId="52760E51" w14:textId="77777777" w:rsidR="008862C7" w:rsidRDefault="008862C7" w:rsidP="008862C7">
      <w:pPr>
        <w:pStyle w:val="Titre2"/>
        <w:jc w:val="center"/>
        <w:rPr>
          <w:rFonts w:ascii="Arial" w:hAnsi="Arial" w:cs="Arial"/>
          <w:color w:val="auto"/>
          <w:sz w:val="24"/>
          <w:szCs w:val="24"/>
        </w:rPr>
      </w:pPr>
      <w:r>
        <w:rPr>
          <w:rFonts w:ascii="Arial" w:hAnsi="Arial" w:cs="Arial"/>
          <w:color w:val="auto"/>
          <w:sz w:val="24"/>
          <w:szCs w:val="24"/>
        </w:rPr>
        <w:t>DYNAMIQUE DE LA FILIERE COTONNIERE ET METHODOLOGIE DE L’ETUDE</w:t>
      </w:r>
      <w:bookmarkEnd w:id="90"/>
      <w:bookmarkEnd w:id="91"/>
    </w:p>
    <w:p w14:paraId="16100C60" w14:textId="77777777" w:rsidR="008862C7" w:rsidRDefault="008862C7" w:rsidP="008862C7">
      <w:pPr>
        <w:spacing w:line="360" w:lineRule="auto"/>
        <w:jc w:val="center"/>
        <w:rPr>
          <w:rFonts w:ascii="Arial" w:hAnsi="Arial" w:cs="Arial"/>
          <w:b/>
          <w:sz w:val="24"/>
          <w:szCs w:val="24"/>
        </w:rPr>
      </w:pPr>
    </w:p>
    <w:p w14:paraId="00B77547" w14:textId="77777777" w:rsidR="008862C7" w:rsidRDefault="008862C7" w:rsidP="008862C7">
      <w:pPr>
        <w:spacing w:line="360" w:lineRule="auto"/>
        <w:jc w:val="center"/>
        <w:rPr>
          <w:rFonts w:ascii="Arial" w:hAnsi="Arial" w:cs="Arial"/>
          <w:b/>
          <w:sz w:val="24"/>
          <w:szCs w:val="24"/>
        </w:rPr>
      </w:pPr>
    </w:p>
    <w:p w14:paraId="191AD353" w14:textId="77777777" w:rsidR="008862C7" w:rsidRDefault="008862C7" w:rsidP="008862C7">
      <w:pPr>
        <w:spacing w:line="360" w:lineRule="auto"/>
        <w:jc w:val="center"/>
        <w:rPr>
          <w:rFonts w:ascii="Arial" w:hAnsi="Arial" w:cs="Arial"/>
          <w:b/>
          <w:sz w:val="24"/>
          <w:szCs w:val="24"/>
        </w:rPr>
      </w:pPr>
    </w:p>
    <w:p w14:paraId="3529E947" w14:textId="77777777" w:rsidR="008862C7" w:rsidRDefault="008862C7" w:rsidP="008862C7">
      <w:pPr>
        <w:spacing w:line="360" w:lineRule="auto"/>
        <w:jc w:val="center"/>
        <w:rPr>
          <w:rFonts w:ascii="Arial" w:hAnsi="Arial" w:cs="Arial"/>
          <w:b/>
          <w:sz w:val="24"/>
          <w:szCs w:val="24"/>
        </w:rPr>
      </w:pPr>
    </w:p>
    <w:p w14:paraId="23E70AC5" w14:textId="77777777" w:rsidR="008862C7" w:rsidRDefault="008862C7" w:rsidP="008862C7">
      <w:pPr>
        <w:spacing w:line="360" w:lineRule="auto"/>
        <w:jc w:val="center"/>
        <w:rPr>
          <w:rFonts w:ascii="Arial" w:hAnsi="Arial" w:cs="Arial"/>
          <w:b/>
        </w:rPr>
      </w:pPr>
    </w:p>
    <w:p w14:paraId="7194EBB6" w14:textId="77777777" w:rsidR="008862C7" w:rsidRDefault="008862C7" w:rsidP="008862C7">
      <w:pPr>
        <w:spacing w:line="360" w:lineRule="auto"/>
        <w:jc w:val="center"/>
        <w:rPr>
          <w:rFonts w:ascii="Arial" w:hAnsi="Arial" w:cs="Arial"/>
          <w:b/>
        </w:rPr>
      </w:pPr>
    </w:p>
    <w:p w14:paraId="792399E4" w14:textId="77777777" w:rsidR="008862C7" w:rsidRDefault="008862C7" w:rsidP="008862C7">
      <w:pPr>
        <w:spacing w:line="360" w:lineRule="auto"/>
        <w:jc w:val="center"/>
        <w:rPr>
          <w:rFonts w:ascii="Arial" w:hAnsi="Arial" w:cs="Arial"/>
          <w:b/>
        </w:rPr>
      </w:pPr>
    </w:p>
    <w:p w14:paraId="65D3B04B" w14:textId="77777777" w:rsidR="008862C7" w:rsidRDefault="008862C7" w:rsidP="008862C7">
      <w:pPr>
        <w:spacing w:line="360" w:lineRule="auto"/>
        <w:jc w:val="center"/>
        <w:rPr>
          <w:rFonts w:ascii="Arial" w:hAnsi="Arial" w:cs="Arial"/>
          <w:b/>
        </w:rPr>
      </w:pPr>
    </w:p>
    <w:p w14:paraId="051F1FD1" w14:textId="77777777" w:rsidR="008862C7" w:rsidRDefault="008862C7" w:rsidP="008862C7">
      <w:pPr>
        <w:spacing w:line="360" w:lineRule="auto"/>
        <w:jc w:val="center"/>
        <w:rPr>
          <w:rFonts w:ascii="Arial" w:hAnsi="Arial" w:cs="Arial"/>
          <w:b/>
        </w:rPr>
      </w:pPr>
    </w:p>
    <w:p w14:paraId="16143DFD" w14:textId="77777777" w:rsidR="008862C7" w:rsidRDefault="008862C7" w:rsidP="008862C7">
      <w:pPr>
        <w:spacing w:line="360" w:lineRule="auto"/>
        <w:jc w:val="center"/>
        <w:rPr>
          <w:rFonts w:ascii="Arial" w:hAnsi="Arial" w:cs="Arial"/>
          <w:b/>
        </w:rPr>
      </w:pPr>
    </w:p>
    <w:p w14:paraId="219ADB11" w14:textId="77777777" w:rsidR="008862C7" w:rsidRDefault="008862C7" w:rsidP="008862C7">
      <w:pPr>
        <w:spacing w:line="360" w:lineRule="auto"/>
        <w:jc w:val="center"/>
        <w:rPr>
          <w:rFonts w:ascii="Arial" w:hAnsi="Arial" w:cs="Arial"/>
          <w:b/>
        </w:rPr>
      </w:pPr>
    </w:p>
    <w:p w14:paraId="4CD2F1F1" w14:textId="77777777" w:rsidR="008862C7" w:rsidRDefault="008862C7" w:rsidP="008862C7">
      <w:pPr>
        <w:spacing w:after="0" w:line="240" w:lineRule="auto"/>
        <w:rPr>
          <w:rFonts w:ascii="Arial" w:hAnsi="Arial" w:cs="Arial"/>
          <w:b/>
        </w:rPr>
      </w:pPr>
      <w:r>
        <w:rPr>
          <w:rFonts w:ascii="Arial" w:hAnsi="Arial" w:cs="Arial"/>
          <w:b/>
        </w:rPr>
        <w:br w:type="page"/>
      </w:r>
    </w:p>
    <w:p w14:paraId="5398916D" w14:textId="77777777" w:rsidR="008862C7" w:rsidRDefault="008862C7" w:rsidP="008862C7">
      <w:pPr>
        <w:pStyle w:val="Titre3"/>
        <w:spacing w:after="120"/>
        <w:rPr>
          <w:b/>
          <w:bCs/>
        </w:rPr>
      </w:pPr>
      <w:bookmarkStart w:id="92" w:name="_Toc395107574"/>
      <w:bookmarkStart w:id="93" w:name="_Toc394954777"/>
      <w:r>
        <w:rPr>
          <w:b/>
          <w:bCs/>
        </w:rPr>
        <w:lastRenderedPageBreak/>
        <w:t>INTRODUCTION</w:t>
      </w:r>
      <w:bookmarkEnd w:id="92"/>
      <w:bookmarkEnd w:id="93"/>
    </w:p>
    <w:p w14:paraId="1F0FEB80"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Les filières cotonnières en Afrique de l’Ouest et du Centre (AOC) ont connu ces trois dernières décennies des séries de crises qui ont induit des changements structurels et conjoncturels dans l’environnement économique global et local de ces filières. Ces crises itératives sont induites par des facteurs conjoncturels tels que la baisse des cours de coton fibre sur le marché mondial, auquel il faut ajouter le dumping à l’exportation et les fortes subventions octroyées par certains pays du nord (Etats-Unis, Union européenne, Chine) à leurs producteurs de coton. Les effets conjugués de ces facteurs menacent durablement la compétitivité économique, de bon nombre de filières cotonnières à travers le monde, dont celles d’AOC alors que les avantages comparatifs en terme de productivité et de dotation factoriels favorisant une spécialisation dans la production cotonnière en AOC, sont assez largement reconnus (Mcphail </w:t>
      </w:r>
      <w:r>
        <w:rPr>
          <w:rFonts w:ascii="Arial" w:hAnsi="Arial" w:cs="Arial"/>
          <w:i/>
          <w:iCs/>
          <w:sz w:val="24"/>
        </w:rPr>
        <w:t xml:space="preserve">et al. </w:t>
      </w:r>
      <w:r>
        <w:rPr>
          <w:rFonts w:ascii="Arial" w:hAnsi="Arial" w:cs="Arial"/>
          <w:sz w:val="24"/>
        </w:rPr>
        <w:t xml:space="preserve">1988; Gabre-Madhin </w:t>
      </w:r>
      <w:r>
        <w:rPr>
          <w:rFonts w:ascii="Arial" w:hAnsi="Arial" w:cs="Arial"/>
          <w:i/>
          <w:iCs/>
          <w:sz w:val="24"/>
        </w:rPr>
        <w:t xml:space="preserve">et al, </w:t>
      </w:r>
      <w:r>
        <w:rPr>
          <w:rFonts w:ascii="Arial" w:hAnsi="Arial" w:cs="Arial"/>
          <w:sz w:val="24"/>
        </w:rPr>
        <w:t>2003, Djimasra, 2010). Néanmoins, il demeure encore des facteurs structurels qui affectent négativement la compétitivité des filières cotonnières africaines, ce qui tend à annihilés ces effets positifs. Parmi ces facteurs on peut citer entre autres :</w:t>
      </w:r>
    </w:p>
    <w:p w14:paraId="40CA4C5D" w14:textId="77777777" w:rsidR="008862C7" w:rsidRDefault="008862C7" w:rsidP="008862C7">
      <w:pPr>
        <w:numPr>
          <w:ilvl w:val="0"/>
          <w:numId w:val="18"/>
        </w:numPr>
        <w:tabs>
          <w:tab w:val="left" w:pos="708"/>
        </w:tabs>
        <w:autoSpaceDE w:val="0"/>
        <w:autoSpaceDN w:val="0"/>
        <w:adjustRightInd w:val="0"/>
        <w:spacing w:after="200" w:line="360" w:lineRule="auto"/>
        <w:jc w:val="both"/>
        <w:rPr>
          <w:rFonts w:ascii="Arial" w:hAnsi="Arial" w:cs="Arial"/>
          <w:sz w:val="24"/>
        </w:rPr>
      </w:pPr>
      <w:r>
        <w:rPr>
          <w:rFonts w:ascii="Arial" w:hAnsi="Arial" w:cs="Arial"/>
          <w:sz w:val="24"/>
        </w:rPr>
        <w:t>l’organisation générale de la filière dans chaque pays ;</w:t>
      </w:r>
    </w:p>
    <w:p w14:paraId="2BE074D6" w14:textId="77777777" w:rsidR="008862C7" w:rsidRDefault="008862C7" w:rsidP="008862C7">
      <w:pPr>
        <w:numPr>
          <w:ilvl w:val="0"/>
          <w:numId w:val="18"/>
        </w:numPr>
        <w:tabs>
          <w:tab w:val="left" w:pos="708"/>
        </w:tabs>
        <w:autoSpaceDE w:val="0"/>
        <w:autoSpaceDN w:val="0"/>
        <w:adjustRightInd w:val="0"/>
        <w:spacing w:after="200" w:line="360" w:lineRule="auto"/>
        <w:jc w:val="both"/>
        <w:rPr>
          <w:rFonts w:ascii="Arial" w:hAnsi="Arial" w:cs="Arial"/>
          <w:sz w:val="24"/>
        </w:rPr>
      </w:pPr>
      <w:r>
        <w:rPr>
          <w:rFonts w:ascii="Arial" w:hAnsi="Arial" w:cs="Arial"/>
          <w:sz w:val="24"/>
        </w:rPr>
        <w:t>la faiblesse de l’importance et de l’efficacité des organisations des producteurs au sein des filières ;</w:t>
      </w:r>
    </w:p>
    <w:p w14:paraId="5CEF028B" w14:textId="77777777" w:rsidR="008862C7" w:rsidRDefault="008862C7" w:rsidP="008862C7">
      <w:pPr>
        <w:numPr>
          <w:ilvl w:val="0"/>
          <w:numId w:val="18"/>
        </w:numPr>
        <w:tabs>
          <w:tab w:val="left" w:pos="708"/>
        </w:tabs>
        <w:autoSpaceDE w:val="0"/>
        <w:autoSpaceDN w:val="0"/>
        <w:adjustRightInd w:val="0"/>
        <w:spacing w:after="200" w:line="360" w:lineRule="auto"/>
        <w:jc w:val="both"/>
        <w:rPr>
          <w:rFonts w:ascii="Arial" w:hAnsi="Arial" w:cs="Arial"/>
          <w:sz w:val="24"/>
        </w:rPr>
      </w:pPr>
      <w:r>
        <w:rPr>
          <w:rFonts w:ascii="Arial" w:hAnsi="Arial" w:cs="Arial"/>
          <w:sz w:val="24"/>
        </w:rPr>
        <w:t xml:space="preserve">l’inefficacité relative du mécanisme de fixation du prix d’achat du coton-graine en vigueur dans chacun de ces pays ; </w:t>
      </w:r>
    </w:p>
    <w:p w14:paraId="58416F4D" w14:textId="77777777" w:rsidR="008862C7" w:rsidRDefault="008862C7" w:rsidP="008862C7">
      <w:pPr>
        <w:numPr>
          <w:ilvl w:val="0"/>
          <w:numId w:val="18"/>
        </w:numPr>
        <w:tabs>
          <w:tab w:val="left" w:pos="708"/>
        </w:tabs>
        <w:autoSpaceDE w:val="0"/>
        <w:autoSpaceDN w:val="0"/>
        <w:adjustRightInd w:val="0"/>
        <w:spacing w:after="200" w:line="360" w:lineRule="auto"/>
        <w:jc w:val="both"/>
        <w:rPr>
          <w:rFonts w:ascii="Arial" w:hAnsi="Arial" w:cs="Arial"/>
          <w:sz w:val="24"/>
        </w:rPr>
      </w:pPr>
      <w:r>
        <w:rPr>
          <w:rFonts w:ascii="Arial" w:hAnsi="Arial" w:cs="Arial"/>
          <w:sz w:val="24"/>
        </w:rPr>
        <w:t>la structure oligopolistique des sociétés de négoce qui commercialisent la majeure partie de la production de coton-fibre sur les marchés mondiaux tirant ainsi des superprofits en défaveur des producteurs et des sociétés cotonnières nationales (Fok, 2005 ; Hugon, 2005).</w:t>
      </w:r>
    </w:p>
    <w:p w14:paraId="6157D0E3"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 xml:space="preserve">Dans ce chapitre, portant sur la dynamique des filières cotonnières </w:t>
      </w:r>
      <w:r>
        <w:rPr>
          <w:rFonts w:ascii="Arial" w:hAnsi="Arial" w:cs="Arial"/>
          <w:bCs/>
          <w:sz w:val="24"/>
        </w:rPr>
        <w:t>en Afrique de l’Ouest et du Centre</w:t>
      </w:r>
      <w:r>
        <w:rPr>
          <w:rFonts w:ascii="Arial" w:hAnsi="Arial" w:cs="Arial"/>
          <w:sz w:val="24"/>
        </w:rPr>
        <w:t>, nous présenterons respectivement, une section relative à la dynamique et compétitivité des filières coton en AOC, avec une application au cas spécifique de la filière cotonnière centrafricaine. La seconde section est consacrée à la démarche méthodologique de l’étude.</w:t>
      </w:r>
    </w:p>
    <w:p w14:paraId="00F56E3C" w14:textId="77777777" w:rsidR="00E72C3F" w:rsidRDefault="00E72C3F" w:rsidP="008862C7">
      <w:pPr>
        <w:autoSpaceDE w:val="0"/>
        <w:autoSpaceDN w:val="0"/>
        <w:adjustRightInd w:val="0"/>
        <w:spacing w:line="360" w:lineRule="auto"/>
        <w:jc w:val="both"/>
        <w:rPr>
          <w:rFonts w:ascii="Arial" w:hAnsi="Arial" w:cs="Arial"/>
          <w:sz w:val="24"/>
        </w:rPr>
      </w:pPr>
    </w:p>
    <w:p w14:paraId="62929823" w14:textId="77777777" w:rsidR="00E72C3F" w:rsidRDefault="00E72C3F" w:rsidP="008862C7">
      <w:pPr>
        <w:autoSpaceDE w:val="0"/>
        <w:autoSpaceDN w:val="0"/>
        <w:adjustRightInd w:val="0"/>
        <w:spacing w:line="360" w:lineRule="auto"/>
        <w:jc w:val="both"/>
        <w:rPr>
          <w:rFonts w:ascii="Arial" w:hAnsi="Arial" w:cs="Arial"/>
          <w:sz w:val="24"/>
        </w:rPr>
      </w:pPr>
    </w:p>
    <w:p w14:paraId="2CE3543A" w14:textId="77777777" w:rsidR="00E72C3F" w:rsidRDefault="00E72C3F" w:rsidP="008862C7">
      <w:pPr>
        <w:autoSpaceDE w:val="0"/>
        <w:autoSpaceDN w:val="0"/>
        <w:adjustRightInd w:val="0"/>
        <w:spacing w:line="360" w:lineRule="auto"/>
        <w:jc w:val="both"/>
        <w:rPr>
          <w:rFonts w:ascii="Arial" w:hAnsi="Arial" w:cs="Arial"/>
          <w:sz w:val="24"/>
        </w:rPr>
      </w:pPr>
    </w:p>
    <w:p w14:paraId="28230E63" w14:textId="77777777" w:rsidR="008862C7" w:rsidRDefault="008862C7" w:rsidP="008862C7">
      <w:pPr>
        <w:pStyle w:val="Titre3"/>
        <w:spacing w:after="0"/>
        <w:rPr>
          <w:b/>
          <w:bCs/>
        </w:rPr>
      </w:pPr>
      <w:bookmarkStart w:id="94" w:name="_Toc395107575"/>
      <w:bookmarkStart w:id="95" w:name="_Toc394954778"/>
      <w:r>
        <w:rPr>
          <w:b/>
          <w:bCs/>
        </w:rPr>
        <w:lastRenderedPageBreak/>
        <w:t>I. DYNAMIQUE DE LA FILIERE COTON EN AFRIQUE DE L’OUEST ET DU</w:t>
      </w:r>
      <w:bookmarkEnd w:id="94"/>
      <w:bookmarkEnd w:id="95"/>
      <w:r>
        <w:rPr>
          <w:b/>
          <w:bCs/>
        </w:rPr>
        <w:t xml:space="preserve">  </w:t>
      </w:r>
      <w:bookmarkStart w:id="96" w:name="_Toc395107576"/>
      <w:bookmarkStart w:id="97" w:name="_Toc394954779"/>
      <w:r>
        <w:rPr>
          <w:b/>
          <w:bCs/>
        </w:rPr>
        <w:t>CENTRE</w:t>
      </w:r>
      <w:bookmarkEnd w:id="96"/>
      <w:bookmarkEnd w:id="97"/>
    </w:p>
    <w:p w14:paraId="63EBB338" w14:textId="77777777" w:rsidR="008862C7" w:rsidRDefault="008862C7" w:rsidP="008862C7">
      <w:pPr>
        <w:pStyle w:val="Titre4"/>
        <w:spacing w:before="120" w:after="0" w:line="360" w:lineRule="auto"/>
        <w:jc w:val="both"/>
        <w:rPr>
          <w:rFonts w:ascii="Arial" w:hAnsi="Arial" w:cs="Arial"/>
          <w:bCs w:val="0"/>
          <w:sz w:val="24"/>
        </w:rPr>
      </w:pPr>
      <w:bookmarkStart w:id="98" w:name="_Toc395107577"/>
      <w:r>
        <w:rPr>
          <w:rFonts w:ascii="Arial" w:hAnsi="Arial" w:cs="Arial"/>
          <w:bCs w:val="0"/>
          <w:sz w:val="24"/>
        </w:rPr>
        <w:t>1.1. Dynamique et compétitivité du coton en AOC</w:t>
      </w:r>
      <w:bookmarkEnd w:id="98"/>
    </w:p>
    <w:p w14:paraId="64476194" w14:textId="77777777" w:rsidR="008862C7" w:rsidRDefault="008862C7" w:rsidP="008862C7">
      <w:pPr>
        <w:pStyle w:val="Titre5"/>
        <w:spacing w:before="120" w:after="120" w:line="360" w:lineRule="auto"/>
        <w:jc w:val="both"/>
        <w:rPr>
          <w:rFonts w:ascii="Arial" w:hAnsi="Arial" w:cs="Arial"/>
          <w:bCs/>
          <w:color w:val="auto"/>
          <w:spacing w:val="-2"/>
        </w:rPr>
      </w:pPr>
      <w:r>
        <w:rPr>
          <w:rFonts w:ascii="Arial" w:hAnsi="Arial" w:cs="Arial"/>
          <w:b/>
          <w:color w:val="auto"/>
          <w:spacing w:val="-2"/>
        </w:rPr>
        <w:t>1.1.1. Production et consommation mondiale du coton</w:t>
      </w:r>
    </w:p>
    <w:p w14:paraId="21775CBC" w14:textId="77777777" w:rsidR="008862C7" w:rsidRDefault="008862C7" w:rsidP="008862C7">
      <w:pPr>
        <w:spacing w:line="360" w:lineRule="auto"/>
        <w:jc w:val="both"/>
        <w:rPr>
          <w:rFonts w:ascii="Arial" w:hAnsi="Arial" w:cs="Arial"/>
          <w:sz w:val="24"/>
        </w:rPr>
      </w:pPr>
      <w:r>
        <w:rPr>
          <w:rFonts w:ascii="Arial" w:hAnsi="Arial" w:cs="Arial"/>
          <w:sz w:val="24"/>
        </w:rPr>
        <w:t xml:space="preserve">Le coton est un produit cultivé dans les deux hémisphères, avec une prédominance de la récolte dans l’hémisphère Nord soit 90% de la production globale récoltés. L’évolution sur le long terme de l’évolution de la production mondiale du coton, laisse entrevoir une évolution cyclique du volume produit comme en témoigne le graphique 1.1. Durant les années 1970 et 1980, la production cotonnière annuelle a connu une croissance moyenne respective de 1,2% et 3,1%, avant de faire un bond de plus de 30% entre les campagnes 1983/84 et 1984/1985, passant de 14,5 millions de tonnes à 19,2 millions de tonnes sous l’influence de la production Chinoise (4,6 millions de tonnes en 1983/84 contre 6,3 millions de tonnes en 1984/1985), (John B., 2000).  </w:t>
      </w:r>
    </w:p>
    <w:p w14:paraId="7B2D5656" w14:textId="77777777" w:rsidR="008862C7" w:rsidRDefault="008862C7" w:rsidP="008862C7">
      <w:pPr>
        <w:spacing w:line="360" w:lineRule="auto"/>
        <w:jc w:val="both"/>
        <w:rPr>
          <w:rFonts w:ascii="Arial" w:hAnsi="Arial" w:cs="Arial"/>
          <w:b/>
          <w:sz w:val="24"/>
        </w:rPr>
      </w:pPr>
      <w:r>
        <w:rPr>
          <w:rFonts w:ascii="Arial" w:hAnsi="Arial" w:cs="Arial"/>
          <w:b/>
          <w:sz w:val="24"/>
        </w:rPr>
        <w:t xml:space="preserve">Graphique 2.1 : </w:t>
      </w:r>
      <w:r>
        <w:rPr>
          <w:rFonts w:ascii="Arial" w:hAnsi="Arial" w:cs="Arial"/>
          <w:sz w:val="24"/>
        </w:rPr>
        <w:t>Evolution de la production mondiale de coton de 1999-2015 (en million de tonnes)</w:t>
      </w:r>
    </w:p>
    <w:p w14:paraId="15560A5F" w14:textId="77777777" w:rsidR="008862C7" w:rsidRDefault="008862C7" w:rsidP="008862C7">
      <w:pPr>
        <w:spacing w:line="360" w:lineRule="auto"/>
        <w:jc w:val="both"/>
        <w:rPr>
          <w:rFonts w:ascii="Arial" w:hAnsi="Arial" w:cs="Arial"/>
        </w:rPr>
      </w:pPr>
      <w:r>
        <w:rPr>
          <w:rFonts w:ascii="Calibri" w:eastAsia="Times New Roman" w:hAnsi="Calibri" w:cs="Times New Roman"/>
          <w:noProof/>
          <w:lang w:eastAsia="fr-FR"/>
        </w:rPr>
        <w:drawing>
          <wp:inline distT="0" distB="0" distL="0" distR="0" wp14:anchorId="1CDAA27D" wp14:editId="0A984A50">
            <wp:extent cx="5795010" cy="2861945"/>
            <wp:effectExtent l="0" t="0" r="0" b="0"/>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D88BFF"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Durant les</w:t>
      </w:r>
      <w:r>
        <w:rPr>
          <w:rFonts w:ascii="Arial" w:hAnsi="Arial" w:cs="Arial"/>
          <w:spacing w:val="7"/>
          <w:sz w:val="24"/>
          <w:szCs w:val="24"/>
        </w:rPr>
        <w:t xml:space="preserve"> </w:t>
      </w:r>
      <w:r>
        <w:rPr>
          <w:rFonts w:ascii="Arial" w:hAnsi="Arial" w:cs="Arial"/>
          <w:spacing w:val="1"/>
          <w:sz w:val="24"/>
          <w:szCs w:val="24"/>
        </w:rPr>
        <w:t>a</w:t>
      </w:r>
      <w:r>
        <w:rPr>
          <w:rFonts w:ascii="Arial" w:hAnsi="Arial" w:cs="Arial"/>
          <w:sz w:val="24"/>
          <w:szCs w:val="24"/>
        </w:rPr>
        <w:t>nnées</w:t>
      </w:r>
      <w:r>
        <w:rPr>
          <w:rFonts w:ascii="Arial" w:hAnsi="Arial" w:cs="Arial"/>
          <w:spacing w:val="8"/>
          <w:sz w:val="24"/>
          <w:szCs w:val="24"/>
        </w:rPr>
        <w:t xml:space="preserve"> </w:t>
      </w:r>
      <w:r>
        <w:rPr>
          <w:rFonts w:ascii="Arial" w:hAnsi="Arial" w:cs="Arial"/>
          <w:spacing w:val="1"/>
          <w:sz w:val="24"/>
          <w:szCs w:val="24"/>
        </w:rPr>
        <w:t>19</w:t>
      </w:r>
      <w:r>
        <w:rPr>
          <w:rFonts w:ascii="Arial" w:hAnsi="Arial" w:cs="Arial"/>
          <w:spacing w:val="-1"/>
          <w:sz w:val="24"/>
          <w:szCs w:val="24"/>
        </w:rPr>
        <w:t>9</w:t>
      </w:r>
      <w:r>
        <w:rPr>
          <w:rFonts w:ascii="Arial" w:hAnsi="Arial" w:cs="Arial"/>
          <w:spacing w:val="1"/>
          <w:sz w:val="24"/>
          <w:szCs w:val="24"/>
        </w:rPr>
        <w:t>0</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9"/>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
          <w:sz w:val="24"/>
          <w:szCs w:val="24"/>
        </w:rPr>
        <w:t xml:space="preserve"> </w:t>
      </w:r>
      <w:r>
        <w:rPr>
          <w:rFonts w:ascii="Arial" w:hAnsi="Arial" w:cs="Arial"/>
          <w:spacing w:val="-2"/>
          <w:sz w:val="24"/>
          <w:szCs w:val="24"/>
        </w:rPr>
        <w:t>m</w:t>
      </w:r>
      <w:r>
        <w:rPr>
          <w:rFonts w:ascii="Arial" w:hAnsi="Arial" w:cs="Arial"/>
          <w:sz w:val="24"/>
          <w:szCs w:val="24"/>
        </w:rPr>
        <w:t>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 xml:space="preserve">e est restée stable, </w:t>
      </w:r>
      <w:r>
        <w:rPr>
          <w:rFonts w:ascii="Arial" w:hAnsi="Arial" w:cs="Arial"/>
          <w:spacing w:val="-1"/>
          <w:sz w:val="24"/>
          <w:szCs w:val="24"/>
        </w:rPr>
        <w:t xml:space="preserve">oscillant </w:t>
      </w:r>
      <w:r>
        <w:rPr>
          <w:rFonts w:ascii="Arial" w:hAnsi="Arial" w:cs="Arial"/>
          <w:sz w:val="24"/>
          <w:szCs w:val="24"/>
        </w:rPr>
        <w:t>ent</w:t>
      </w:r>
      <w:r>
        <w:rPr>
          <w:rFonts w:ascii="Arial" w:hAnsi="Arial" w:cs="Arial"/>
          <w:spacing w:val="-3"/>
          <w:sz w:val="24"/>
          <w:szCs w:val="24"/>
        </w:rPr>
        <w:t>r</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1</w:t>
      </w:r>
      <w:r>
        <w:rPr>
          <w:rFonts w:ascii="Arial" w:hAnsi="Arial" w:cs="Arial"/>
          <w:sz w:val="24"/>
          <w:szCs w:val="24"/>
        </w:rPr>
        <w:t>8</w:t>
      </w:r>
      <w:r>
        <w:rPr>
          <w:rFonts w:ascii="Arial" w:hAnsi="Arial" w:cs="Arial"/>
          <w:spacing w:val="6"/>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pacing w:val="-1"/>
          <w:sz w:val="24"/>
          <w:szCs w:val="24"/>
        </w:rPr>
        <w:t>2</w:t>
      </w:r>
      <w:r>
        <w:rPr>
          <w:rFonts w:ascii="Arial" w:hAnsi="Arial" w:cs="Arial"/>
          <w:sz w:val="24"/>
          <w:szCs w:val="24"/>
        </w:rPr>
        <w:t>0 m</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li</w:t>
      </w:r>
      <w:r>
        <w:rPr>
          <w:rFonts w:ascii="Arial" w:hAnsi="Arial" w:cs="Arial"/>
          <w:sz w:val="24"/>
          <w:szCs w:val="24"/>
        </w:rPr>
        <w:t>ons</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tonne</w:t>
      </w:r>
      <w:r>
        <w:rPr>
          <w:rFonts w:ascii="Arial" w:hAnsi="Arial" w:cs="Arial"/>
          <w:spacing w:val="-1"/>
          <w:sz w:val="24"/>
          <w:szCs w:val="24"/>
        </w:rPr>
        <w:t>s avant de connaître une a</w:t>
      </w:r>
      <w:r>
        <w:rPr>
          <w:rFonts w:ascii="Arial" w:hAnsi="Arial" w:cs="Arial"/>
          <w:sz w:val="24"/>
          <w:szCs w:val="24"/>
        </w:rPr>
        <w:t>u</w:t>
      </w:r>
      <w:r>
        <w:rPr>
          <w:rFonts w:ascii="Arial" w:hAnsi="Arial" w:cs="Arial"/>
          <w:spacing w:val="1"/>
          <w:sz w:val="24"/>
          <w:szCs w:val="24"/>
        </w:rPr>
        <w:t>g</w:t>
      </w:r>
      <w:r>
        <w:rPr>
          <w:rFonts w:ascii="Arial" w:hAnsi="Arial" w:cs="Arial"/>
          <w:sz w:val="24"/>
          <w:szCs w:val="24"/>
        </w:rPr>
        <w:t>ment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ns</w:t>
      </w:r>
      <w:r>
        <w:rPr>
          <w:rFonts w:ascii="Arial" w:hAnsi="Arial" w:cs="Arial"/>
          <w:spacing w:val="10"/>
          <w:sz w:val="24"/>
          <w:szCs w:val="24"/>
        </w:rPr>
        <w:t xml:space="preserve"> </w:t>
      </w:r>
      <w:r>
        <w:rPr>
          <w:rFonts w:ascii="Arial" w:hAnsi="Arial" w:cs="Arial"/>
          <w:spacing w:val="-1"/>
          <w:sz w:val="24"/>
          <w:szCs w:val="24"/>
        </w:rPr>
        <w:t>pr</w:t>
      </w:r>
      <w:r>
        <w:rPr>
          <w:rFonts w:ascii="Arial" w:hAnsi="Arial" w:cs="Arial"/>
          <w:sz w:val="24"/>
          <w:szCs w:val="24"/>
        </w:rPr>
        <w:t>é</w:t>
      </w:r>
      <w:r>
        <w:rPr>
          <w:rFonts w:ascii="Arial" w:hAnsi="Arial" w:cs="Arial"/>
          <w:spacing w:val="-1"/>
          <w:sz w:val="24"/>
          <w:szCs w:val="24"/>
        </w:rPr>
        <w:t>c</w:t>
      </w:r>
      <w:r>
        <w:rPr>
          <w:rFonts w:ascii="Arial" w:hAnsi="Arial" w:cs="Arial"/>
          <w:sz w:val="24"/>
          <w:szCs w:val="24"/>
        </w:rPr>
        <w:t>é</w:t>
      </w:r>
      <w:r>
        <w:rPr>
          <w:rFonts w:ascii="Arial" w:hAnsi="Arial" w:cs="Arial"/>
          <w:spacing w:val="-1"/>
          <w:sz w:val="24"/>
          <w:szCs w:val="24"/>
        </w:rPr>
        <w:t>d</w:t>
      </w:r>
      <w:r>
        <w:rPr>
          <w:rFonts w:ascii="Arial" w:hAnsi="Arial" w:cs="Arial"/>
          <w:sz w:val="24"/>
          <w:szCs w:val="24"/>
        </w:rPr>
        <w:t>ent</w:t>
      </w:r>
      <w:r>
        <w:rPr>
          <w:rFonts w:ascii="Arial" w:hAnsi="Arial" w:cs="Arial"/>
          <w:spacing w:val="5"/>
          <w:sz w:val="24"/>
          <w:szCs w:val="24"/>
        </w:rPr>
        <w:t xml:space="preserve"> (</w:t>
      </w:r>
      <w:r>
        <w:rPr>
          <w:rFonts w:ascii="Arial" w:hAnsi="Arial" w:cs="Arial"/>
          <w:spacing w:val="1"/>
          <w:sz w:val="24"/>
          <w:szCs w:val="24"/>
        </w:rPr>
        <w:t>2</w:t>
      </w:r>
      <w:r>
        <w:rPr>
          <w:rFonts w:ascii="Arial" w:hAnsi="Arial" w:cs="Arial"/>
          <w:sz w:val="24"/>
          <w:szCs w:val="24"/>
        </w:rPr>
        <w:t>7 m</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li</w:t>
      </w:r>
      <w:r>
        <w:rPr>
          <w:rFonts w:ascii="Arial" w:hAnsi="Arial" w:cs="Arial"/>
          <w:sz w:val="24"/>
          <w:szCs w:val="24"/>
        </w:rPr>
        <w:t>ons</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tonnes) grâce</w:t>
      </w:r>
      <w:r>
        <w:rPr>
          <w:rFonts w:ascii="Arial" w:hAnsi="Arial" w:cs="Arial"/>
          <w:spacing w:val="6"/>
          <w:sz w:val="24"/>
          <w:szCs w:val="24"/>
        </w:rPr>
        <w:t xml:space="preserve"> </w:t>
      </w:r>
      <w:r>
        <w:rPr>
          <w:rFonts w:ascii="Arial" w:hAnsi="Arial" w:cs="Arial"/>
          <w:sz w:val="24"/>
          <w:szCs w:val="24"/>
        </w:rPr>
        <w:t>à</w:t>
      </w:r>
      <w:r>
        <w:rPr>
          <w:rFonts w:ascii="Arial" w:hAnsi="Arial" w:cs="Arial"/>
          <w:spacing w:val="8"/>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ut</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
          <w:sz w:val="24"/>
          <w:szCs w:val="24"/>
        </w:rPr>
        <w:t xml:space="preserve"> d</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nou</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ll</w:t>
      </w:r>
      <w:r>
        <w:rPr>
          <w:rFonts w:ascii="Arial" w:hAnsi="Arial" w:cs="Arial"/>
          <w:sz w:val="24"/>
          <w:szCs w:val="24"/>
        </w:rPr>
        <w:t>es</w:t>
      </w:r>
      <w:r>
        <w:rPr>
          <w:rFonts w:ascii="Arial" w:hAnsi="Arial" w:cs="Arial"/>
          <w:spacing w:val="2"/>
          <w:sz w:val="24"/>
          <w:szCs w:val="24"/>
        </w:rPr>
        <w:t xml:space="preserve"> </w:t>
      </w:r>
      <w:r>
        <w:rPr>
          <w:rFonts w:ascii="Arial" w:hAnsi="Arial" w:cs="Arial"/>
          <w:sz w:val="24"/>
          <w:szCs w:val="24"/>
        </w:rPr>
        <w:t>te</w:t>
      </w:r>
      <w:r>
        <w:rPr>
          <w:rFonts w:ascii="Arial" w:hAnsi="Arial" w:cs="Arial"/>
          <w:spacing w:val="-1"/>
          <w:sz w:val="24"/>
          <w:szCs w:val="24"/>
        </w:rPr>
        <w:t>c</w:t>
      </w:r>
      <w:r>
        <w:rPr>
          <w:rFonts w:ascii="Arial" w:hAnsi="Arial" w:cs="Arial"/>
          <w:sz w:val="24"/>
          <w:szCs w:val="24"/>
        </w:rPr>
        <w:t>hn</w:t>
      </w:r>
      <w:r>
        <w:rPr>
          <w:rFonts w:ascii="Arial" w:hAnsi="Arial" w:cs="Arial"/>
          <w:spacing w:val="2"/>
          <w:sz w:val="24"/>
          <w:szCs w:val="24"/>
        </w:rPr>
        <w:t>o</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gi</w:t>
      </w:r>
      <w:r>
        <w:rPr>
          <w:rFonts w:ascii="Arial" w:hAnsi="Arial" w:cs="Arial"/>
          <w:sz w:val="24"/>
          <w:szCs w:val="24"/>
        </w:rPr>
        <w:t>es et</w:t>
      </w:r>
      <w:r>
        <w:rPr>
          <w:rFonts w:ascii="Arial" w:hAnsi="Arial" w:cs="Arial"/>
          <w:spacing w:val="6"/>
          <w:sz w:val="24"/>
          <w:szCs w:val="24"/>
        </w:rPr>
        <w:t xml:space="preserve"> </w:t>
      </w:r>
      <w:r>
        <w:rPr>
          <w:rFonts w:ascii="Arial" w:hAnsi="Arial" w:cs="Arial"/>
          <w:sz w:val="24"/>
          <w:szCs w:val="24"/>
        </w:rPr>
        <w:t>à</w:t>
      </w:r>
      <w:r>
        <w:rPr>
          <w:rFonts w:ascii="Arial" w:hAnsi="Arial" w:cs="Arial"/>
          <w:spacing w:val="8"/>
          <w:sz w:val="24"/>
          <w:szCs w:val="24"/>
        </w:rPr>
        <w:t xml:space="preserve"> </w:t>
      </w:r>
      <w:r>
        <w:rPr>
          <w:rFonts w:ascii="Arial" w:hAnsi="Arial" w:cs="Arial"/>
          <w:sz w:val="24"/>
          <w:szCs w:val="24"/>
        </w:rPr>
        <w:t>u</w:t>
      </w:r>
      <w:r>
        <w:rPr>
          <w:rFonts w:ascii="Arial" w:hAnsi="Arial" w:cs="Arial"/>
          <w:spacing w:val="-2"/>
          <w:sz w:val="24"/>
          <w:szCs w:val="24"/>
        </w:rPr>
        <w:t>n</w:t>
      </w:r>
      <w:r>
        <w:rPr>
          <w:rFonts w:ascii="Arial" w:hAnsi="Arial" w:cs="Arial"/>
          <w:sz w:val="24"/>
          <w:szCs w:val="24"/>
        </w:rPr>
        <w:t xml:space="preserve"> accroissement e</w:t>
      </w:r>
      <w:r>
        <w:rPr>
          <w:rFonts w:ascii="Arial" w:hAnsi="Arial" w:cs="Arial"/>
          <w:spacing w:val="1"/>
          <w:sz w:val="24"/>
          <w:szCs w:val="24"/>
        </w:rPr>
        <w:t>x</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o</w:t>
      </w:r>
      <w:r>
        <w:rPr>
          <w:rFonts w:ascii="Arial" w:hAnsi="Arial" w:cs="Arial"/>
          <w:spacing w:val="-1"/>
          <w:sz w:val="24"/>
          <w:szCs w:val="24"/>
        </w:rPr>
        <w:t>rd</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pacing w:val="2"/>
          <w:sz w:val="24"/>
          <w:szCs w:val="24"/>
        </w:rPr>
        <w:t>o</w:t>
      </w:r>
      <w:r>
        <w:rPr>
          <w:rFonts w:ascii="Arial" w:hAnsi="Arial" w:cs="Arial"/>
          <w:sz w:val="24"/>
          <w:szCs w:val="24"/>
        </w:rPr>
        <w:t>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e</w:t>
      </w:r>
      <w:r>
        <w:rPr>
          <w:rFonts w:ascii="Arial" w:hAnsi="Arial" w:cs="Arial"/>
          <w:spacing w:val="62"/>
          <w:sz w:val="24"/>
          <w:szCs w:val="24"/>
        </w:rPr>
        <w:t xml:space="preserve"> </w:t>
      </w:r>
      <w:r>
        <w:rPr>
          <w:rFonts w:ascii="Arial" w:hAnsi="Arial" w:cs="Arial"/>
          <w:spacing w:val="-1"/>
          <w:sz w:val="24"/>
          <w:szCs w:val="24"/>
        </w:rPr>
        <w:t>(</w:t>
      </w:r>
      <w:r>
        <w:rPr>
          <w:rFonts w:ascii="Arial" w:hAnsi="Arial" w:cs="Arial"/>
          <w:spacing w:val="1"/>
          <w:sz w:val="24"/>
          <w:szCs w:val="24"/>
        </w:rPr>
        <w:t>To</w:t>
      </w:r>
      <w:r>
        <w:rPr>
          <w:rFonts w:ascii="Arial" w:hAnsi="Arial" w:cs="Arial"/>
          <w:sz w:val="24"/>
          <w:szCs w:val="24"/>
        </w:rPr>
        <w:t>wse</w:t>
      </w:r>
      <w:r>
        <w:rPr>
          <w:rFonts w:ascii="Arial" w:hAnsi="Arial" w:cs="Arial"/>
          <w:spacing w:val="1"/>
          <w:sz w:val="24"/>
          <w:szCs w:val="24"/>
        </w:rPr>
        <w:t>n</w:t>
      </w:r>
      <w:r>
        <w:rPr>
          <w:rFonts w:ascii="Arial" w:hAnsi="Arial" w:cs="Arial"/>
          <w:sz w:val="24"/>
          <w:szCs w:val="24"/>
        </w:rPr>
        <w:t xml:space="preserve">d, </w:t>
      </w:r>
      <w:r>
        <w:rPr>
          <w:rFonts w:ascii="Arial" w:hAnsi="Arial" w:cs="Arial"/>
          <w:spacing w:val="1"/>
          <w:sz w:val="24"/>
          <w:szCs w:val="24"/>
        </w:rPr>
        <w:t>20</w:t>
      </w:r>
      <w:r>
        <w:rPr>
          <w:rFonts w:ascii="Arial" w:hAnsi="Arial" w:cs="Arial"/>
          <w:spacing w:val="-1"/>
          <w:sz w:val="24"/>
          <w:szCs w:val="24"/>
        </w:rPr>
        <w:t>0</w:t>
      </w:r>
      <w:r>
        <w:rPr>
          <w:rFonts w:ascii="Arial" w:hAnsi="Arial" w:cs="Arial"/>
          <w:spacing w:val="1"/>
          <w:sz w:val="24"/>
          <w:szCs w:val="24"/>
        </w:rPr>
        <w:t>8</w:t>
      </w:r>
      <w:r>
        <w:rPr>
          <w:rFonts w:ascii="Arial" w:hAnsi="Arial" w:cs="Arial"/>
          <w:spacing w:val="-1"/>
          <w:sz w:val="24"/>
          <w:szCs w:val="24"/>
        </w:rPr>
        <w:t>)</w:t>
      </w:r>
      <w:r>
        <w:rPr>
          <w:rFonts w:ascii="Arial" w:hAnsi="Arial" w:cs="Arial"/>
          <w:sz w:val="24"/>
          <w:szCs w:val="24"/>
        </w:rPr>
        <w:t>.</w:t>
      </w:r>
      <w:r>
        <w:rPr>
          <w:rFonts w:ascii="Arial" w:hAnsi="Arial" w:cs="Arial"/>
          <w:spacing w:val="28"/>
          <w:sz w:val="24"/>
          <w:szCs w:val="24"/>
        </w:rPr>
        <w:t xml:space="preserve"> </w:t>
      </w:r>
      <w:r>
        <w:rPr>
          <w:rFonts w:ascii="Arial" w:hAnsi="Arial" w:cs="Arial"/>
          <w:sz w:val="24"/>
          <w:szCs w:val="24"/>
        </w:rPr>
        <w:t xml:space="preserve">Cette croissance s’est estompée pendant la compagne </w:t>
      </w:r>
      <w:r>
        <w:rPr>
          <w:rFonts w:ascii="Arial" w:hAnsi="Arial" w:cs="Arial"/>
          <w:spacing w:val="1"/>
          <w:sz w:val="24"/>
          <w:szCs w:val="24"/>
        </w:rPr>
        <w:t>2006</w:t>
      </w:r>
      <w:r>
        <w:rPr>
          <w:rFonts w:ascii="Arial" w:hAnsi="Arial" w:cs="Arial"/>
          <w:spacing w:val="-2"/>
          <w:sz w:val="24"/>
          <w:szCs w:val="24"/>
        </w:rPr>
        <w:t>/</w:t>
      </w:r>
      <w:r>
        <w:rPr>
          <w:rFonts w:ascii="Arial" w:hAnsi="Arial" w:cs="Arial"/>
          <w:spacing w:val="1"/>
          <w:sz w:val="24"/>
          <w:szCs w:val="24"/>
        </w:rPr>
        <w:t>20</w:t>
      </w:r>
      <w:r>
        <w:rPr>
          <w:rFonts w:ascii="Arial" w:hAnsi="Arial" w:cs="Arial"/>
          <w:spacing w:val="-1"/>
          <w:sz w:val="24"/>
          <w:szCs w:val="24"/>
        </w:rPr>
        <w:t>0</w:t>
      </w:r>
      <w:r>
        <w:rPr>
          <w:rFonts w:ascii="Arial" w:hAnsi="Arial" w:cs="Arial"/>
          <w:spacing w:val="1"/>
          <w:sz w:val="24"/>
          <w:szCs w:val="24"/>
        </w:rPr>
        <w:t>7</w:t>
      </w:r>
      <w:r>
        <w:rPr>
          <w:rFonts w:ascii="Arial" w:hAnsi="Arial" w:cs="Arial"/>
          <w:sz w:val="24"/>
          <w:szCs w:val="24"/>
        </w:rPr>
        <w:t>,</w:t>
      </w:r>
      <w:r>
        <w:rPr>
          <w:rFonts w:ascii="Arial" w:hAnsi="Arial" w:cs="Arial"/>
          <w:spacing w:val="24"/>
          <w:sz w:val="24"/>
          <w:szCs w:val="24"/>
        </w:rPr>
        <w:t xml:space="preserve"> </w:t>
      </w:r>
      <w:r>
        <w:rPr>
          <w:rFonts w:ascii="Arial" w:hAnsi="Arial" w:cs="Arial"/>
          <w:spacing w:val="1"/>
          <w:sz w:val="24"/>
          <w:szCs w:val="24"/>
        </w:rPr>
        <w:t>pour chuter à</w:t>
      </w:r>
      <w:r>
        <w:rPr>
          <w:rFonts w:ascii="Arial" w:hAnsi="Arial" w:cs="Arial"/>
          <w:spacing w:val="34"/>
          <w:sz w:val="24"/>
          <w:szCs w:val="24"/>
        </w:rPr>
        <w:t xml:space="preserve"> </w:t>
      </w:r>
      <w:r>
        <w:rPr>
          <w:rFonts w:ascii="Arial" w:hAnsi="Arial" w:cs="Arial"/>
          <w:spacing w:val="1"/>
          <w:sz w:val="24"/>
          <w:szCs w:val="24"/>
        </w:rPr>
        <w:t>25,</w:t>
      </w:r>
      <w:r>
        <w:rPr>
          <w:rFonts w:ascii="Arial" w:hAnsi="Arial" w:cs="Arial"/>
          <w:sz w:val="24"/>
          <w:szCs w:val="24"/>
        </w:rPr>
        <w:t>7</w:t>
      </w:r>
      <w:r>
        <w:rPr>
          <w:rFonts w:ascii="Arial" w:hAnsi="Arial" w:cs="Arial"/>
          <w:spacing w:val="33"/>
          <w:sz w:val="24"/>
          <w:szCs w:val="24"/>
        </w:rPr>
        <w:t xml:space="preserve"> </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l</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ns</w:t>
      </w:r>
      <w:r>
        <w:rPr>
          <w:rFonts w:ascii="Arial" w:hAnsi="Arial" w:cs="Arial"/>
          <w:spacing w:val="3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4"/>
          <w:sz w:val="24"/>
          <w:szCs w:val="24"/>
        </w:rPr>
        <w:t xml:space="preserve"> </w:t>
      </w:r>
      <w:r>
        <w:rPr>
          <w:rFonts w:ascii="Arial" w:hAnsi="Arial" w:cs="Arial"/>
          <w:sz w:val="24"/>
          <w:szCs w:val="24"/>
        </w:rPr>
        <w:t>tonn</w:t>
      </w:r>
      <w:r>
        <w:rPr>
          <w:rFonts w:ascii="Arial" w:hAnsi="Arial" w:cs="Arial"/>
          <w:spacing w:val="2"/>
          <w:sz w:val="24"/>
          <w:szCs w:val="24"/>
        </w:rPr>
        <w:t>e</w:t>
      </w:r>
      <w:r>
        <w:rPr>
          <w:rFonts w:ascii="Arial" w:hAnsi="Arial" w:cs="Arial"/>
          <w:spacing w:val="-1"/>
          <w:sz w:val="24"/>
          <w:szCs w:val="24"/>
        </w:rPr>
        <w:t>s</w:t>
      </w:r>
      <w:r>
        <w:rPr>
          <w:rFonts w:ascii="Arial" w:hAnsi="Arial" w:cs="Arial"/>
          <w:sz w:val="24"/>
          <w:szCs w:val="24"/>
        </w:rPr>
        <w:t xml:space="preserve">. </w:t>
      </w:r>
      <w:commentRangeStart w:id="99"/>
      <w:r>
        <w:rPr>
          <w:rFonts w:ascii="Arial" w:hAnsi="Arial" w:cs="Arial"/>
          <w:sz w:val="24"/>
          <w:szCs w:val="24"/>
        </w:rPr>
        <w:t xml:space="preserve">Cette chute de la production mondiale a atteint son niveau le plus bas pendant la compagne 2009/10 avec 22,3 millions de tonnes de production conséquence directe de la crise économique de 2008. </w:t>
      </w:r>
      <w:commentRangeEnd w:id="99"/>
      <w:r>
        <w:rPr>
          <w:rStyle w:val="Marquedecommentaire"/>
          <w:rFonts w:eastAsia="Times New Roman" w:cs="Times New Roman"/>
        </w:rPr>
        <w:commentReference w:id="99"/>
      </w:r>
    </w:p>
    <w:p w14:paraId="2E7F72EE"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lastRenderedPageBreak/>
        <w:t xml:space="preserve">La filière a connu une légère reprise à partir de la compagne 2010/11 avec une production estimée à 25,4 millions de tonnes. Cette tendance s’est maintenue pendant la compagne 2011/12 avec une production mondiale de plus de 28 million de tonnes. Les prévisions pour les compagnes de 2012/2013, 2013/14 et 2014/15 font état de </w:t>
      </w:r>
      <w:commentRangeStart w:id="100"/>
      <w:r>
        <w:rPr>
          <w:rFonts w:ascii="Arial" w:hAnsi="Arial" w:cs="Arial"/>
          <w:sz w:val="24"/>
          <w:szCs w:val="24"/>
        </w:rPr>
        <w:t xml:space="preserve">nouvelles chutes estimés </w:t>
      </w:r>
      <w:commentRangeEnd w:id="100"/>
      <w:r>
        <w:rPr>
          <w:rStyle w:val="Marquedecommentaire"/>
          <w:rFonts w:eastAsia="Times New Roman" w:cs="Times New Roman"/>
        </w:rPr>
        <w:commentReference w:id="100"/>
      </w:r>
      <w:r>
        <w:rPr>
          <w:rFonts w:ascii="Arial" w:hAnsi="Arial" w:cs="Arial"/>
          <w:sz w:val="24"/>
          <w:szCs w:val="24"/>
        </w:rPr>
        <w:t xml:space="preserve">respectivement à 26,8 ; 25,8 et 25,3 millions de tonnes (CCIC ; 2014). </w:t>
      </w:r>
    </w:p>
    <w:p w14:paraId="6A68DE43" w14:textId="77777777" w:rsidR="008862C7" w:rsidRDefault="008862C7" w:rsidP="008862C7">
      <w:pPr>
        <w:widowControl w:val="0"/>
        <w:autoSpaceDE w:val="0"/>
        <w:autoSpaceDN w:val="0"/>
        <w:adjustRightInd w:val="0"/>
        <w:spacing w:line="360" w:lineRule="auto"/>
        <w:ind w:right="66"/>
        <w:jc w:val="both"/>
        <w:rPr>
          <w:rFonts w:ascii="Arial" w:hAnsi="Arial" w:cs="Arial"/>
          <w:sz w:val="24"/>
          <w:szCs w:val="24"/>
        </w:rPr>
      </w:pPr>
      <w:r>
        <w:rPr>
          <w:rFonts w:ascii="Arial" w:hAnsi="Arial" w:cs="Arial"/>
          <w:spacing w:val="1"/>
          <w:sz w:val="24"/>
          <w:szCs w:val="24"/>
        </w:rPr>
        <w:t>Selon les données de l’ICAC</w:t>
      </w:r>
      <w:r>
        <w:rPr>
          <w:rFonts w:ascii="Arial" w:hAnsi="Arial" w:cs="Arial"/>
          <w:sz w:val="24"/>
          <w:szCs w:val="24"/>
        </w:rPr>
        <w:t xml:space="preserve"> (</w:t>
      </w:r>
      <w:r>
        <w:rPr>
          <w:rFonts w:ascii="Arial" w:hAnsi="Arial" w:cs="Arial"/>
          <w:spacing w:val="1"/>
          <w:sz w:val="24"/>
          <w:szCs w:val="24"/>
        </w:rPr>
        <w:t>200</w:t>
      </w:r>
      <w:r>
        <w:rPr>
          <w:rFonts w:ascii="Arial" w:hAnsi="Arial" w:cs="Arial"/>
          <w:spacing w:val="-1"/>
          <w:sz w:val="24"/>
          <w:szCs w:val="24"/>
        </w:rPr>
        <w:t xml:space="preserve">7), le </w:t>
      </w:r>
      <w:r>
        <w:rPr>
          <w:rFonts w:ascii="Arial" w:hAnsi="Arial" w:cs="Arial"/>
          <w:spacing w:val="1"/>
          <w:sz w:val="24"/>
          <w:szCs w:val="24"/>
        </w:rPr>
        <w:t>poids relatif d</w:t>
      </w:r>
      <w:r>
        <w:rPr>
          <w:rFonts w:ascii="Arial" w:hAnsi="Arial" w:cs="Arial"/>
          <w:sz w:val="24"/>
          <w:szCs w:val="24"/>
        </w:rPr>
        <w:t>es</w:t>
      </w:r>
      <w:r>
        <w:rPr>
          <w:rFonts w:ascii="Arial" w:hAnsi="Arial" w:cs="Arial"/>
          <w:spacing w:val="5"/>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ux</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te</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s mondiaux à</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1"/>
          <w:sz w:val="24"/>
          <w:szCs w:val="24"/>
        </w:rPr>
        <w:t>av</w:t>
      </w:r>
      <w:r>
        <w:rPr>
          <w:rFonts w:ascii="Arial" w:hAnsi="Arial" w:cs="Arial"/>
          <w:sz w:val="24"/>
          <w:szCs w:val="24"/>
        </w:rPr>
        <w:t>o</w:t>
      </w:r>
      <w:r>
        <w:rPr>
          <w:rFonts w:ascii="Arial" w:hAnsi="Arial" w:cs="Arial"/>
          <w:spacing w:val="1"/>
          <w:sz w:val="24"/>
          <w:szCs w:val="24"/>
        </w:rPr>
        <w:t>i</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Ch</w:t>
      </w:r>
      <w:r>
        <w:rPr>
          <w:rFonts w:ascii="Arial" w:hAnsi="Arial" w:cs="Arial"/>
          <w:spacing w:val="1"/>
          <w:sz w:val="24"/>
          <w:szCs w:val="24"/>
        </w:rPr>
        <w:t>i</w:t>
      </w:r>
      <w:r>
        <w:rPr>
          <w:rFonts w:ascii="Arial" w:hAnsi="Arial" w:cs="Arial"/>
          <w:sz w:val="24"/>
          <w:szCs w:val="24"/>
        </w:rPr>
        <w:t xml:space="preserve">ne, </w:t>
      </w:r>
      <w:r>
        <w:rPr>
          <w:rFonts w:ascii="Arial" w:hAnsi="Arial" w:cs="Arial"/>
          <w:spacing w:val="1"/>
          <w:sz w:val="24"/>
          <w:szCs w:val="24"/>
        </w:rPr>
        <w:t>l</w:t>
      </w:r>
      <w:r>
        <w:rPr>
          <w:rFonts w:ascii="Arial" w:hAnsi="Arial" w:cs="Arial"/>
          <w:sz w:val="24"/>
          <w:szCs w:val="24"/>
        </w:rPr>
        <w:t>es</w:t>
      </w:r>
      <w:r>
        <w:rPr>
          <w:rFonts w:ascii="Arial" w:hAnsi="Arial" w:cs="Arial"/>
          <w:spacing w:val="5"/>
          <w:sz w:val="24"/>
          <w:szCs w:val="24"/>
        </w:rPr>
        <w:t xml:space="preserve"> </w:t>
      </w:r>
      <w:r>
        <w:rPr>
          <w:rFonts w:ascii="Arial" w:hAnsi="Arial" w:cs="Arial"/>
          <w:sz w:val="24"/>
          <w:szCs w:val="24"/>
        </w:rPr>
        <w:t>Et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s-</w:t>
      </w:r>
      <w:r>
        <w:rPr>
          <w:rFonts w:ascii="Arial" w:hAnsi="Arial" w:cs="Arial"/>
          <w:spacing w:val="1"/>
          <w:sz w:val="24"/>
          <w:szCs w:val="24"/>
        </w:rPr>
        <w:t>U</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w:t>
      </w:r>
      <w:r>
        <w:rPr>
          <w:rFonts w:ascii="Arial" w:hAnsi="Arial" w:cs="Arial"/>
          <w:spacing w:val="1"/>
          <w:sz w:val="24"/>
          <w:szCs w:val="24"/>
        </w:rPr>
        <w:t xml:space="preserve"> 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z w:val="24"/>
          <w:szCs w:val="24"/>
        </w:rPr>
        <w:t>e et</w:t>
      </w:r>
      <w:r>
        <w:rPr>
          <w:rFonts w:ascii="Arial" w:hAnsi="Arial" w:cs="Arial"/>
          <w:spacing w:val="2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4"/>
          <w:sz w:val="24"/>
          <w:szCs w:val="24"/>
        </w:rPr>
        <w:t xml:space="preserve"> </w:t>
      </w:r>
      <w:r>
        <w:rPr>
          <w:rFonts w:ascii="Arial" w:hAnsi="Arial" w:cs="Arial"/>
          <w:spacing w:val="-2"/>
          <w:sz w:val="24"/>
          <w:szCs w:val="24"/>
        </w:rPr>
        <w:t>P</w:t>
      </w:r>
      <w:r>
        <w:rPr>
          <w:rFonts w:ascii="Arial" w:hAnsi="Arial" w:cs="Arial"/>
          <w:spacing w:val="1"/>
          <w:sz w:val="24"/>
          <w:szCs w:val="24"/>
        </w:rPr>
        <w:t>a</w:t>
      </w:r>
      <w:r>
        <w:rPr>
          <w:rFonts w:ascii="Arial" w:hAnsi="Arial" w:cs="Arial"/>
          <w:spacing w:val="-1"/>
          <w:sz w:val="24"/>
          <w:szCs w:val="24"/>
        </w:rPr>
        <w:t>k</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 est d’environ</w:t>
      </w:r>
      <w:r>
        <w:rPr>
          <w:rFonts w:ascii="Arial" w:hAnsi="Arial" w:cs="Arial"/>
          <w:spacing w:val="22"/>
          <w:sz w:val="24"/>
          <w:szCs w:val="24"/>
        </w:rPr>
        <w:t xml:space="preserve"> </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i</w:t>
      </w:r>
      <w:r>
        <w:rPr>
          <w:rFonts w:ascii="Arial" w:hAnsi="Arial" w:cs="Arial"/>
          <w:sz w:val="24"/>
          <w:szCs w:val="24"/>
        </w:rPr>
        <w:t>s</w:t>
      </w:r>
      <w:r>
        <w:rPr>
          <w:rFonts w:ascii="Arial" w:hAnsi="Arial" w:cs="Arial"/>
          <w:spacing w:val="22"/>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ts</w:t>
      </w:r>
      <w:r>
        <w:rPr>
          <w:rFonts w:ascii="Arial" w:hAnsi="Arial" w:cs="Arial"/>
          <w:spacing w:val="20"/>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21"/>
          <w:sz w:val="24"/>
          <w:szCs w:val="24"/>
        </w:rPr>
        <w:t xml:space="preserve"> </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pacing w:val="-2"/>
          <w:sz w:val="24"/>
          <w:szCs w:val="24"/>
        </w:rPr>
        <w:t>u</w:t>
      </w:r>
      <w:r>
        <w:rPr>
          <w:rFonts w:ascii="Arial" w:hAnsi="Arial" w:cs="Arial"/>
          <w:sz w:val="24"/>
          <w:szCs w:val="24"/>
        </w:rPr>
        <w:t>mes</w:t>
      </w:r>
      <w:r>
        <w:rPr>
          <w:rFonts w:ascii="Arial" w:hAnsi="Arial" w:cs="Arial"/>
          <w:spacing w:val="18"/>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u</w:t>
      </w:r>
      <w:r>
        <w:rPr>
          <w:rFonts w:ascii="Arial" w:hAnsi="Arial" w:cs="Arial"/>
          <w:spacing w:val="1"/>
          <w:sz w:val="24"/>
          <w:szCs w:val="24"/>
        </w:rPr>
        <w:t>x</w:t>
      </w:r>
      <w:r>
        <w:rPr>
          <w:rFonts w:ascii="Arial" w:hAnsi="Arial" w:cs="Arial"/>
          <w:sz w:val="24"/>
          <w:szCs w:val="24"/>
        </w:rPr>
        <w:t>.</w:t>
      </w:r>
      <w:r>
        <w:rPr>
          <w:rFonts w:ascii="Arial" w:hAnsi="Arial" w:cs="Arial"/>
          <w:spacing w:val="18"/>
          <w:sz w:val="24"/>
          <w:szCs w:val="24"/>
        </w:rPr>
        <w:t xml:space="preserve"> </w:t>
      </w:r>
      <w:r>
        <w:rPr>
          <w:rFonts w:ascii="Arial" w:hAnsi="Arial" w:cs="Arial"/>
          <w:spacing w:val="-2"/>
          <w:sz w:val="24"/>
          <w:szCs w:val="24"/>
        </w:rPr>
        <w:t>S</w:t>
      </w:r>
      <w:r>
        <w:rPr>
          <w:rFonts w:ascii="Arial" w:hAnsi="Arial" w:cs="Arial"/>
          <w:sz w:val="24"/>
          <w:szCs w:val="24"/>
        </w:rPr>
        <w:t xml:space="preserve">i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on</w:t>
      </w:r>
      <w:r>
        <w:rPr>
          <w:rFonts w:ascii="Arial" w:hAnsi="Arial" w:cs="Arial"/>
          <w:spacing w:val="15"/>
          <w:sz w:val="24"/>
          <w:szCs w:val="24"/>
        </w:rPr>
        <w:t xml:space="preserve"> </w:t>
      </w:r>
      <w:r>
        <w:rPr>
          <w:rFonts w:ascii="Arial" w:hAnsi="Arial" w:cs="Arial"/>
          <w:spacing w:val="1"/>
          <w:sz w:val="24"/>
          <w:szCs w:val="24"/>
        </w:rPr>
        <w:t>aj</w:t>
      </w:r>
      <w:r>
        <w:rPr>
          <w:rFonts w:ascii="Arial" w:hAnsi="Arial" w:cs="Arial"/>
          <w:sz w:val="24"/>
          <w:szCs w:val="24"/>
        </w:rPr>
        <w:t>oute</w:t>
      </w:r>
      <w:r>
        <w:rPr>
          <w:rFonts w:ascii="Arial" w:hAnsi="Arial" w:cs="Arial"/>
          <w:spacing w:val="13"/>
          <w:sz w:val="24"/>
          <w:szCs w:val="24"/>
        </w:rPr>
        <w:t xml:space="preserve"> </w:t>
      </w:r>
      <w:r>
        <w:rPr>
          <w:rFonts w:ascii="Arial" w:hAnsi="Arial" w:cs="Arial"/>
          <w:sz w:val="24"/>
          <w:szCs w:val="24"/>
        </w:rPr>
        <w:t>à</w:t>
      </w:r>
      <w:r>
        <w:rPr>
          <w:rFonts w:ascii="Arial" w:hAnsi="Arial" w:cs="Arial"/>
          <w:spacing w:val="18"/>
          <w:sz w:val="24"/>
          <w:szCs w:val="24"/>
        </w:rPr>
        <w:t xml:space="preserve"> </w:t>
      </w:r>
      <w:r>
        <w:rPr>
          <w:rFonts w:ascii="Arial" w:hAnsi="Arial" w:cs="Arial"/>
          <w:spacing w:val="-1"/>
          <w:sz w:val="24"/>
          <w:szCs w:val="24"/>
        </w:rPr>
        <w:t>c</w:t>
      </w:r>
      <w:r>
        <w:rPr>
          <w:rFonts w:ascii="Arial" w:hAnsi="Arial" w:cs="Arial"/>
          <w:sz w:val="24"/>
          <w:szCs w:val="24"/>
        </w:rPr>
        <w:t>es</w:t>
      </w:r>
      <w:r>
        <w:rPr>
          <w:rFonts w:ascii="Arial" w:hAnsi="Arial" w:cs="Arial"/>
          <w:spacing w:val="16"/>
          <w:sz w:val="24"/>
          <w:szCs w:val="24"/>
        </w:rPr>
        <w:t xml:space="preserv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i</w:t>
      </w:r>
      <w:r>
        <w:rPr>
          <w:rFonts w:ascii="Arial" w:hAnsi="Arial" w:cs="Arial"/>
          <w:spacing w:val="-1"/>
          <w:sz w:val="24"/>
          <w:szCs w:val="24"/>
        </w:rPr>
        <w:t>f</w:t>
      </w:r>
      <w:r>
        <w:rPr>
          <w:rFonts w:ascii="Arial" w:hAnsi="Arial" w:cs="Arial"/>
          <w:spacing w:val="2"/>
          <w:sz w:val="24"/>
          <w:szCs w:val="24"/>
        </w:rPr>
        <w:t>f</w:t>
      </w:r>
      <w:r>
        <w:rPr>
          <w:rFonts w:ascii="Arial" w:hAnsi="Arial" w:cs="Arial"/>
          <w:spacing w:val="-1"/>
          <w:sz w:val="24"/>
          <w:szCs w:val="24"/>
        </w:rPr>
        <w:t>r</w:t>
      </w:r>
      <w:r>
        <w:rPr>
          <w:rFonts w:ascii="Arial" w:hAnsi="Arial" w:cs="Arial"/>
          <w:sz w:val="24"/>
          <w:szCs w:val="24"/>
        </w:rPr>
        <w:t>es</w:t>
      </w:r>
      <w:r>
        <w:rPr>
          <w:rFonts w:ascii="Arial" w:hAnsi="Arial" w:cs="Arial"/>
          <w:spacing w:val="14"/>
          <w:sz w:val="24"/>
          <w:szCs w:val="24"/>
        </w:rPr>
        <w:t xml:space="preserve"> </w:t>
      </w:r>
      <w:r>
        <w:rPr>
          <w:rFonts w:ascii="Arial" w:hAnsi="Arial" w:cs="Arial"/>
          <w:spacing w:val="-1"/>
          <w:sz w:val="24"/>
          <w:szCs w:val="24"/>
        </w:rPr>
        <w:t>c</w:t>
      </w:r>
      <w:r>
        <w:rPr>
          <w:rFonts w:ascii="Arial" w:hAnsi="Arial" w:cs="Arial"/>
          <w:sz w:val="24"/>
          <w:szCs w:val="24"/>
        </w:rPr>
        <w:t>eux</w:t>
      </w:r>
      <w:r>
        <w:rPr>
          <w:rFonts w:ascii="Arial" w:hAnsi="Arial" w:cs="Arial"/>
          <w:spacing w:val="1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uz</w:t>
      </w:r>
      <w:r>
        <w:rPr>
          <w:rFonts w:ascii="Arial" w:hAnsi="Arial" w:cs="Arial"/>
          <w:spacing w:val="1"/>
          <w:sz w:val="24"/>
          <w:szCs w:val="24"/>
        </w:rPr>
        <w:t>b</w:t>
      </w:r>
      <w:r>
        <w:rPr>
          <w:rFonts w:ascii="Arial" w:hAnsi="Arial" w:cs="Arial"/>
          <w:sz w:val="24"/>
          <w:szCs w:val="24"/>
        </w:rPr>
        <w:t>é</w:t>
      </w:r>
      <w:r>
        <w:rPr>
          <w:rFonts w:ascii="Arial" w:hAnsi="Arial" w:cs="Arial"/>
          <w:spacing w:val="-1"/>
          <w:sz w:val="24"/>
          <w:szCs w:val="24"/>
        </w:rPr>
        <w:t>k</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7"/>
          <w:sz w:val="24"/>
          <w:szCs w:val="24"/>
        </w:rPr>
        <w:t xml:space="preserve"> </w:t>
      </w:r>
      <w:r>
        <w:rPr>
          <w:rFonts w:ascii="Arial" w:hAnsi="Arial" w:cs="Arial"/>
          <w:sz w:val="24"/>
          <w:szCs w:val="24"/>
        </w:rPr>
        <w:t>B</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l</w:t>
      </w:r>
      <w:r>
        <w:rPr>
          <w:rFonts w:ascii="Arial" w:hAnsi="Arial" w:cs="Arial"/>
          <w:spacing w:val="16"/>
          <w:sz w:val="24"/>
          <w:szCs w:val="24"/>
        </w:rPr>
        <w:t xml:space="preserve"> </w:t>
      </w:r>
      <w:r>
        <w:rPr>
          <w:rFonts w:ascii="Arial" w:hAnsi="Arial" w:cs="Arial"/>
          <w:sz w:val="24"/>
          <w:szCs w:val="24"/>
        </w:rPr>
        <w:t>et</w:t>
      </w:r>
      <w:r>
        <w:rPr>
          <w:rFonts w:ascii="Arial" w:hAnsi="Arial" w:cs="Arial"/>
          <w:spacing w:val="1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8"/>
          <w:sz w:val="24"/>
          <w:szCs w:val="24"/>
        </w:rPr>
        <w:t xml:space="preserve"> </w:t>
      </w:r>
      <w:r>
        <w:rPr>
          <w:rFonts w:ascii="Arial" w:hAnsi="Arial" w:cs="Arial"/>
          <w:spacing w:val="-2"/>
          <w:sz w:val="24"/>
          <w:szCs w:val="24"/>
        </w:rPr>
        <w:t>T</w:t>
      </w:r>
      <w:r>
        <w:rPr>
          <w:rFonts w:ascii="Arial" w:hAnsi="Arial" w:cs="Arial"/>
          <w:sz w:val="24"/>
          <w:szCs w:val="24"/>
        </w:rPr>
        <w:t>u</w:t>
      </w:r>
      <w:r>
        <w:rPr>
          <w:rFonts w:ascii="Arial" w:hAnsi="Arial" w:cs="Arial"/>
          <w:spacing w:val="-1"/>
          <w:sz w:val="24"/>
          <w:szCs w:val="24"/>
        </w:rPr>
        <w:t>r</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i</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85</w:t>
      </w:r>
      <w:r>
        <w:rPr>
          <w:rFonts w:ascii="Arial" w:hAnsi="Arial" w:cs="Arial"/>
          <w:spacing w:val="-2"/>
          <w:sz w:val="24"/>
          <w:szCs w:val="24"/>
        </w:rPr>
        <w:t>,</w:t>
      </w:r>
      <w:r>
        <w:rPr>
          <w:rFonts w:ascii="Arial" w:hAnsi="Arial" w:cs="Arial"/>
          <w:spacing w:val="1"/>
          <w:sz w:val="24"/>
          <w:szCs w:val="24"/>
        </w:rPr>
        <w:t>7</w:t>
      </w:r>
      <w:r>
        <w:rPr>
          <w:rFonts w:ascii="Arial" w:hAnsi="Arial" w:cs="Arial"/>
          <w:sz w:val="24"/>
          <w:szCs w:val="24"/>
        </w:rPr>
        <w:t>%</w:t>
      </w:r>
      <w:r>
        <w:rPr>
          <w:rFonts w:ascii="Arial" w:hAnsi="Arial" w:cs="Arial"/>
          <w:spacing w:val="11"/>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w:t>
      </w:r>
      <w:r>
        <w:rPr>
          <w:rFonts w:ascii="Arial" w:hAnsi="Arial" w:cs="Arial"/>
          <w:spacing w:val="22"/>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6"/>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ou</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r</w:t>
      </w:r>
      <w:r>
        <w:rPr>
          <w:rFonts w:ascii="Arial" w:hAnsi="Arial" w:cs="Arial"/>
          <w:sz w:val="24"/>
          <w:szCs w:val="24"/>
        </w:rPr>
        <w:t>ts</w:t>
      </w:r>
      <w:r>
        <w:rPr>
          <w:rFonts w:ascii="Arial" w:hAnsi="Arial" w:cs="Arial"/>
          <w:spacing w:val="18"/>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21"/>
          <w:sz w:val="24"/>
          <w:szCs w:val="24"/>
        </w:rPr>
        <w:t xml:space="preserve"> </w:t>
      </w:r>
      <w:r>
        <w:rPr>
          <w:rFonts w:ascii="Arial" w:hAnsi="Arial" w:cs="Arial"/>
          <w:spacing w:val="-1"/>
          <w:sz w:val="24"/>
          <w:szCs w:val="24"/>
        </w:rPr>
        <w:t>c</w:t>
      </w:r>
      <w:r>
        <w:rPr>
          <w:rFonts w:ascii="Arial" w:hAnsi="Arial" w:cs="Arial"/>
          <w:sz w:val="24"/>
          <w:szCs w:val="24"/>
        </w:rPr>
        <w:t>es</w:t>
      </w:r>
      <w:r>
        <w:rPr>
          <w:rFonts w:ascii="Arial" w:hAnsi="Arial" w:cs="Arial"/>
          <w:spacing w:val="21"/>
          <w:sz w:val="24"/>
          <w:szCs w:val="24"/>
        </w:rPr>
        <w:t xml:space="preserve"> </w:t>
      </w:r>
      <w:r>
        <w:rPr>
          <w:rFonts w:ascii="Arial" w:hAnsi="Arial" w:cs="Arial"/>
          <w:spacing w:val="18"/>
          <w:sz w:val="24"/>
          <w:szCs w:val="24"/>
        </w:rPr>
        <w:t xml:space="preserve">7 </w:t>
      </w:r>
      <w:r>
        <w:rPr>
          <w:rFonts w:ascii="Arial" w:hAnsi="Arial" w:cs="Arial"/>
          <w:spacing w:val="-1"/>
          <w:sz w:val="24"/>
          <w:szCs w:val="24"/>
        </w:rPr>
        <w:t>p</w:t>
      </w:r>
      <w:r>
        <w:rPr>
          <w:rFonts w:ascii="Arial" w:hAnsi="Arial" w:cs="Arial"/>
          <w:spacing w:val="1"/>
          <w:sz w:val="24"/>
          <w:szCs w:val="24"/>
        </w:rPr>
        <w:t>ay</w:t>
      </w:r>
      <w:r>
        <w:rPr>
          <w:rFonts w:ascii="Arial" w:hAnsi="Arial" w:cs="Arial"/>
          <w:spacing w:val="-1"/>
          <w:sz w:val="24"/>
          <w:szCs w:val="24"/>
        </w:rPr>
        <w:t>s</w:t>
      </w:r>
      <w:r>
        <w:rPr>
          <w:rFonts w:ascii="Arial" w:hAnsi="Arial" w:cs="Arial"/>
          <w:sz w:val="24"/>
          <w:szCs w:val="24"/>
        </w:rPr>
        <w:t>.</w:t>
      </w:r>
      <w:r>
        <w:rPr>
          <w:rFonts w:ascii="Arial" w:hAnsi="Arial" w:cs="Arial"/>
          <w:spacing w:val="19"/>
          <w:sz w:val="24"/>
          <w:szCs w:val="24"/>
        </w:rPr>
        <w:t xml:space="preserve"> Pour ce qui est de celle de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A</w:t>
      </w:r>
      <w:r>
        <w:rPr>
          <w:rFonts w:ascii="Arial" w:hAnsi="Arial" w:cs="Arial"/>
          <w:spacing w:val="2"/>
          <w:sz w:val="24"/>
          <w:szCs w:val="24"/>
        </w:rPr>
        <w:t>f</w:t>
      </w:r>
      <w:r>
        <w:rPr>
          <w:rFonts w:ascii="Arial" w:hAnsi="Arial" w:cs="Arial"/>
          <w:spacing w:val="-1"/>
          <w:sz w:val="24"/>
          <w:szCs w:val="24"/>
        </w:rPr>
        <w:t>r</w:t>
      </w:r>
      <w:r>
        <w:rPr>
          <w:rFonts w:ascii="Arial" w:hAnsi="Arial" w:cs="Arial"/>
          <w:spacing w:val="1"/>
          <w:sz w:val="24"/>
          <w:szCs w:val="24"/>
        </w:rPr>
        <w:t>iq</w:t>
      </w:r>
      <w:r>
        <w:rPr>
          <w:rFonts w:ascii="Arial" w:hAnsi="Arial" w:cs="Arial"/>
          <w:sz w:val="24"/>
          <w:szCs w:val="24"/>
        </w:rPr>
        <w:t>ue</w:t>
      </w:r>
      <w:r>
        <w:rPr>
          <w:rFonts w:ascii="Arial" w:hAnsi="Arial" w:cs="Arial"/>
          <w:spacing w:val="1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20"/>
          <w:sz w:val="24"/>
          <w:szCs w:val="24"/>
        </w:rPr>
        <w:t xml:space="preserve"> </w:t>
      </w:r>
      <w:r>
        <w:rPr>
          <w:rFonts w:ascii="Arial" w:hAnsi="Arial" w:cs="Arial"/>
          <w:sz w:val="24"/>
          <w:szCs w:val="24"/>
        </w:rPr>
        <w:t xml:space="preserve">et </w:t>
      </w:r>
      <w:r>
        <w:rPr>
          <w:rFonts w:ascii="Arial" w:hAnsi="Arial" w:cs="Arial"/>
          <w:spacing w:val="-1"/>
          <w:sz w:val="24"/>
          <w:szCs w:val="24"/>
        </w:rPr>
        <w:t>d</w:t>
      </w:r>
      <w:r>
        <w:rPr>
          <w:rFonts w:ascii="Arial" w:hAnsi="Arial" w:cs="Arial"/>
          <w:sz w:val="24"/>
          <w:szCs w:val="24"/>
        </w:rPr>
        <w:t>u</w:t>
      </w:r>
      <w:r>
        <w:rPr>
          <w:rFonts w:ascii="Arial" w:hAnsi="Arial" w:cs="Arial"/>
          <w:spacing w:val="50"/>
          <w:sz w:val="24"/>
          <w:szCs w:val="24"/>
        </w:rPr>
        <w:t xml:space="preserve"> </w:t>
      </w:r>
      <w:r>
        <w:rPr>
          <w:rFonts w:ascii="Arial" w:hAnsi="Arial" w:cs="Arial"/>
          <w:sz w:val="24"/>
          <w:szCs w:val="24"/>
        </w:rPr>
        <w:t>Cen</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45"/>
          <w:sz w:val="24"/>
          <w:szCs w:val="24"/>
        </w:rPr>
        <w:t xml:space="preserve"> </w:t>
      </w:r>
      <w:r>
        <w:rPr>
          <w:rFonts w:ascii="Arial" w:hAnsi="Arial" w:cs="Arial"/>
          <w:spacing w:val="1"/>
          <w:sz w:val="24"/>
          <w:szCs w:val="24"/>
        </w:rPr>
        <w:t>sa production représente</w:t>
      </w:r>
      <w:r>
        <w:rPr>
          <w:rFonts w:ascii="Arial" w:hAnsi="Arial" w:cs="Arial"/>
          <w:spacing w:val="51"/>
          <w:sz w:val="24"/>
          <w:szCs w:val="24"/>
        </w:rPr>
        <w:t xml:space="preserve"> </w:t>
      </w:r>
      <w:r>
        <w:rPr>
          <w:rFonts w:ascii="Arial" w:hAnsi="Arial" w:cs="Arial"/>
          <w:spacing w:val="1"/>
          <w:sz w:val="24"/>
          <w:szCs w:val="24"/>
        </w:rPr>
        <w:t>5</w:t>
      </w:r>
      <w:r>
        <w:rPr>
          <w:rFonts w:ascii="Arial" w:hAnsi="Arial" w:cs="Arial"/>
          <w:sz w:val="24"/>
          <w:szCs w:val="24"/>
        </w:rPr>
        <w:t>%</w:t>
      </w:r>
      <w:r>
        <w:rPr>
          <w:rFonts w:ascii="Arial" w:hAnsi="Arial" w:cs="Arial"/>
          <w:spacing w:val="49"/>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w:t>
      </w:r>
      <w:r>
        <w:rPr>
          <w:rFonts w:ascii="Arial" w:hAnsi="Arial" w:cs="Arial"/>
          <w:spacing w:val="22"/>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6"/>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ce qui lui a valu</w:t>
      </w:r>
      <w:r>
        <w:rPr>
          <w:rFonts w:ascii="Arial" w:hAnsi="Arial" w:cs="Arial"/>
          <w:spacing w:val="9"/>
          <w:sz w:val="24"/>
          <w:szCs w:val="24"/>
        </w:rPr>
        <w:t xml:space="preserve"> </w:t>
      </w:r>
      <w:r>
        <w:rPr>
          <w:rFonts w:ascii="Arial" w:hAnsi="Arial" w:cs="Arial"/>
          <w:spacing w:val="1"/>
          <w:position w:val="-1"/>
          <w:sz w:val="24"/>
          <w:szCs w:val="24"/>
        </w:rPr>
        <w:t>l</w:t>
      </w:r>
      <w:r>
        <w:rPr>
          <w:rFonts w:ascii="Arial" w:hAnsi="Arial" w:cs="Arial"/>
          <w:position w:val="-1"/>
          <w:sz w:val="24"/>
          <w:szCs w:val="24"/>
        </w:rPr>
        <w:t>e</w:t>
      </w:r>
      <w:r>
        <w:rPr>
          <w:rFonts w:ascii="Arial" w:hAnsi="Arial" w:cs="Arial"/>
          <w:spacing w:val="50"/>
          <w:position w:val="-1"/>
          <w:sz w:val="24"/>
          <w:szCs w:val="24"/>
        </w:rPr>
        <w:t xml:space="preserve"> </w:t>
      </w:r>
      <w:r>
        <w:rPr>
          <w:rFonts w:ascii="Arial" w:hAnsi="Arial" w:cs="Arial"/>
          <w:spacing w:val="1"/>
          <w:position w:val="-1"/>
          <w:sz w:val="24"/>
          <w:szCs w:val="24"/>
        </w:rPr>
        <w:t>5</w:t>
      </w:r>
      <w:r>
        <w:rPr>
          <w:rFonts w:ascii="Arial" w:hAnsi="Arial" w:cs="Arial"/>
          <w:spacing w:val="1"/>
          <w:position w:val="-1"/>
          <w:sz w:val="24"/>
          <w:szCs w:val="24"/>
          <w:vertAlign w:val="superscript"/>
        </w:rPr>
        <w:t>ième</w:t>
      </w:r>
      <w:r>
        <w:rPr>
          <w:rFonts w:ascii="Arial" w:hAnsi="Arial" w:cs="Arial"/>
          <w:spacing w:val="1"/>
          <w:position w:val="-1"/>
          <w:sz w:val="24"/>
          <w:szCs w:val="24"/>
        </w:rPr>
        <w:t xml:space="preserve"> </w:t>
      </w:r>
      <w:r>
        <w:rPr>
          <w:rFonts w:ascii="Arial" w:hAnsi="Arial" w:cs="Arial"/>
          <w:spacing w:val="-1"/>
          <w:position w:val="-1"/>
          <w:sz w:val="24"/>
          <w:szCs w:val="24"/>
        </w:rPr>
        <w:t>r</w:t>
      </w:r>
      <w:r>
        <w:rPr>
          <w:rFonts w:ascii="Arial" w:hAnsi="Arial" w:cs="Arial"/>
          <w:spacing w:val="1"/>
          <w:position w:val="-1"/>
          <w:sz w:val="24"/>
          <w:szCs w:val="24"/>
        </w:rPr>
        <w:t>a</w:t>
      </w:r>
      <w:r>
        <w:rPr>
          <w:rFonts w:ascii="Arial" w:hAnsi="Arial" w:cs="Arial"/>
          <w:spacing w:val="-2"/>
          <w:position w:val="-1"/>
          <w:sz w:val="24"/>
          <w:szCs w:val="24"/>
        </w:rPr>
        <w:t>n</w:t>
      </w:r>
      <w:r>
        <w:rPr>
          <w:rFonts w:ascii="Arial" w:hAnsi="Arial" w:cs="Arial"/>
          <w:spacing w:val="1"/>
          <w:position w:val="-1"/>
          <w:sz w:val="24"/>
          <w:szCs w:val="24"/>
        </w:rPr>
        <w:t>g au classement mondial</w:t>
      </w:r>
      <w:r>
        <w:rPr>
          <w:rFonts w:ascii="Arial" w:hAnsi="Arial" w:cs="Arial"/>
          <w:position w:val="-1"/>
          <w:sz w:val="24"/>
          <w:szCs w:val="24"/>
        </w:rPr>
        <w:t>.</w:t>
      </w:r>
      <w:r>
        <w:rPr>
          <w:rFonts w:ascii="Arial" w:hAnsi="Arial" w:cs="Arial"/>
          <w:spacing w:val="49"/>
          <w:position w:val="-1"/>
          <w:sz w:val="24"/>
          <w:szCs w:val="24"/>
        </w:rPr>
        <w:t xml:space="preserve"> </w:t>
      </w:r>
      <w:r>
        <w:rPr>
          <w:rFonts w:ascii="Arial" w:hAnsi="Arial" w:cs="Arial"/>
          <w:spacing w:val="1"/>
          <w:position w:val="-1"/>
          <w:sz w:val="24"/>
          <w:szCs w:val="24"/>
        </w:rPr>
        <w:t>N</w:t>
      </w:r>
      <w:r>
        <w:rPr>
          <w:rFonts w:ascii="Arial" w:hAnsi="Arial" w:cs="Arial"/>
          <w:spacing w:val="-2"/>
          <w:position w:val="-1"/>
          <w:sz w:val="24"/>
          <w:szCs w:val="24"/>
        </w:rPr>
        <w:t>é</w:t>
      </w:r>
      <w:r>
        <w:rPr>
          <w:rFonts w:ascii="Arial" w:hAnsi="Arial" w:cs="Arial"/>
          <w:spacing w:val="1"/>
          <w:position w:val="-1"/>
          <w:sz w:val="24"/>
          <w:szCs w:val="24"/>
        </w:rPr>
        <w:t>a</w:t>
      </w:r>
      <w:r>
        <w:rPr>
          <w:rFonts w:ascii="Arial" w:hAnsi="Arial" w:cs="Arial"/>
          <w:position w:val="-1"/>
          <w:sz w:val="24"/>
          <w:szCs w:val="24"/>
        </w:rPr>
        <w:t>nmo</w:t>
      </w:r>
      <w:r>
        <w:rPr>
          <w:rFonts w:ascii="Arial" w:hAnsi="Arial" w:cs="Arial"/>
          <w:spacing w:val="1"/>
          <w:position w:val="-1"/>
          <w:sz w:val="24"/>
          <w:szCs w:val="24"/>
        </w:rPr>
        <w:t>i</w:t>
      </w:r>
      <w:r>
        <w:rPr>
          <w:rFonts w:ascii="Arial" w:hAnsi="Arial" w:cs="Arial"/>
          <w:position w:val="-1"/>
          <w:sz w:val="24"/>
          <w:szCs w:val="24"/>
        </w:rPr>
        <w:t>n</w:t>
      </w:r>
      <w:r>
        <w:rPr>
          <w:rFonts w:ascii="Arial" w:hAnsi="Arial" w:cs="Arial"/>
          <w:spacing w:val="-1"/>
          <w:position w:val="-1"/>
          <w:sz w:val="24"/>
          <w:szCs w:val="24"/>
        </w:rPr>
        <w:t>s</w:t>
      </w:r>
      <w:r>
        <w:rPr>
          <w:rFonts w:ascii="Arial" w:hAnsi="Arial" w:cs="Arial"/>
          <w:position w:val="-1"/>
          <w:sz w:val="24"/>
          <w:szCs w:val="24"/>
        </w:rPr>
        <w:t xml:space="preserve">, c’est </w:t>
      </w:r>
      <w:r>
        <w:rPr>
          <w:rFonts w:ascii="Arial" w:hAnsi="Arial" w:cs="Arial"/>
          <w:spacing w:val="-1"/>
          <w:sz w:val="24"/>
          <w:szCs w:val="24"/>
        </w:rPr>
        <w:t>d</w:t>
      </w:r>
      <w:r>
        <w:rPr>
          <w:rFonts w:ascii="Arial" w:hAnsi="Arial" w:cs="Arial"/>
          <w:spacing w:val="-2"/>
          <w:sz w:val="24"/>
          <w:szCs w:val="24"/>
        </w:rPr>
        <w:t>e</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i</w:t>
      </w:r>
      <w:r>
        <w:rPr>
          <w:rFonts w:ascii="Arial" w:hAnsi="Arial" w:cs="Arial"/>
          <w:sz w:val="24"/>
          <w:szCs w:val="24"/>
        </w:rPr>
        <w:t>s</w:t>
      </w:r>
      <w:r>
        <w:rPr>
          <w:rFonts w:ascii="Arial" w:hAnsi="Arial" w:cs="Arial"/>
          <w:spacing w:val="33"/>
          <w:sz w:val="24"/>
          <w:szCs w:val="24"/>
        </w:rPr>
        <w:t xml:space="preserve"> </w:t>
      </w:r>
      <w:r>
        <w:rPr>
          <w:rFonts w:ascii="Arial" w:hAnsi="Arial" w:cs="Arial"/>
          <w:spacing w:val="1"/>
          <w:sz w:val="24"/>
          <w:szCs w:val="24"/>
        </w:rPr>
        <w:t>les années 6</w:t>
      </w:r>
      <w:r>
        <w:rPr>
          <w:rFonts w:ascii="Arial" w:hAnsi="Arial" w:cs="Arial"/>
          <w:sz w:val="24"/>
          <w:szCs w:val="24"/>
        </w:rPr>
        <w:t>0</w:t>
      </w:r>
      <w:r>
        <w:rPr>
          <w:rFonts w:ascii="Arial" w:hAnsi="Arial" w:cs="Arial"/>
          <w:spacing w:val="30"/>
          <w:sz w:val="24"/>
          <w:szCs w:val="24"/>
        </w:rPr>
        <w:t xml:space="preserve"> que </w:t>
      </w:r>
      <w:r>
        <w:rPr>
          <w:rFonts w:ascii="Arial" w:hAnsi="Arial" w:cs="Arial"/>
          <w:spacing w:val="1"/>
          <w:position w:val="-1"/>
          <w:sz w:val="24"/>
          <w:szCs w:val="24"/>
        </w:rPr>
        <w:t xml:space="preserve">sa </w:t>
      </w:r>
      <w:r>
        <w:rPr>
          <w:rFonts w:ascii="Arial" w:hAnsi="Arial" w:cs="Arial"/>
          <w:spacing w:val="-1"/>
          <w:position w:val="-1"/>
          <w:sz w:val="24"/>
          <w:szCs w:val="24"/>
        </w:rPr>
        <w:t>pr</w:t>
      </w:r>
      <w:r>
        <w:rPr>
          <w:rFonts w:ascii="Arial" w:hAnsi="Arial" w:cs="Arial"/>
          <w:position w:val="-1"/>
          <w:sz w:val="24"/>
          <w:szCs w:val="24"/>
        </w:rPr>
        <w:t>o</w:t>
      </w:r>
      <w:r>
        <w:rPr>
          <w:rFonts w:ascii="Arial" w:hAnsi="Arial" w:cs="Arial"/>
          <w:spacing w:val="-1"/>
          <w:position w:val="-1"/>
          <w:sz w:val="24"/>
          <w:szCs w:val="24"/>
        </w:rPr>
        <w:t>d</w:t>
      </w:r>
      <w:r>
        <w:rPr>
          <w:rFonts w:ascii="Arial" w:hAnsi="Arial" w:cs="Arial"/>
          <w:spacing w:val="2"/>
          <w:position w:val="-1"/>
          <w:sz w:val="24"/>
          <w:szCs w:val="24"/>
        </w:rPr>
        <w:t>u</w:t>
      </w:r>
      <w:r>
        <w:rPr>
          <w:rFonts w:ascii="Arial" w:hAnsi="Arial" w:cs="Arial"/>
          <w:spacing w:val="-1"/>
          <w:position w:val="-1"/>
          <w:sz w:val="24"/>
          <w:szCs w:val="24"/>
        </w:rPr>
        <w:t>c</w:t>
      </w:r>
      <w:r>
        <w:rPr>
          <w:rFonts w:ascii="Arial" w:hAnsi="Arial" w:cs="Arial"/>
          <w:position w:val="-1"/>
          <w:sz w:val="24"/>
          <w:szCs w:val="24"/>
        </w:rPr>
        <w:t>t</w:t>
      </w:r>
      <w:r>
        <w:rPr>
          <w:rFonts w:ascii="Arial" w:hAnsi="Arial" w:cs="Arial"/>
          <w:spacing w:val="1"/>
          <w:position w:val="-1"/>
          <w:sz w:val="24"/>
          <w:szCs w:val="24"/>
        </w:rPr>
        <w:t>i</w:t>
      </w:r>
      <w:r>
        <w:rPr>
          <w:rFonts w:ascii="Arial" w:hAnsi="Arial" w:cs="Arial"/>
          <w:position w:val="-1"/>
          <w:sz w:val="24"/>
          <w:szCs w:val="24"/>
        </w:rPr>
        <w:t>on</w:t>
      </w:r>
      <w:r>
        <w:rPr>
          <w:rFonts w:ascii="Arial" w:hAnsi="Arial" w:cs="Arial"/>
          <w:spacing w:val="45"/>
          <w:position w:val="-1"/>
          <w:sz w:val="24"/>
          <w:szCs w:val="24"/>
        </w:rPr>
        <w:t xml:space="preserve"> </w:t>
      </w:r>
      <w:r>
        <w:rPr>
          <w:rFonts w:ascii="Arial" w:hAnsi="Arial" w:cs="Arial"/>
          <w:position w:val="-1"/>
          <w:sz w:val="24"/>
          <w:szCs w:val="24"/>
        </w:rPr>
        <w:t>a</w:t>
      </w:r>
      <w:r>
        <w:rPr>
          <w:rFonts w:ascii="Arial" w:hAnsi="Arial" w:cs="Arial"/>
          <w:spacing w:val="51"/>
          <w:position w:val="-1"/>
          <w:sz w:val="24"/>
          <w:szCs w:val="24"/>
        </w:rPr>
        <w:t xml:space="preserve"> </w:t>
      </w:r>
      <w:r>
        <w:rPr>
          <w:rFonts w:ascii="Arial" w:hAnsi="Arial" w:cs="Arial"/>
          <w:position w:val="-1"/>
          <w:sz w:val="24"/>
          <w:szCs w:val="24"/>
        </w:rPr>
        <w:t xml:space="preserve">été </w:t>
      </w:r>
      <w:r>
        <w:rPr>
          <w:rFonts w:ascii="Arial" w:hAnsi="Arial" w:cs="Arial"/>
          <w:sz w:val="24"/>
          <w:szCs w:val="24"/>
        </w:rPr>
        <w:t>mu</w:t>
      </w:r>
      <w:r>
        <w:rPr>
          <w:rFonts w:ascii="Arial" w:hAnsi="Arial" w:cs="Arial"/>
          <w:spacing w:val="1"/>
          <w:sz w:val="24"/>
          <w:szCs w:val="24"/>
        </w:rPr>
        <w:t>l</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pl</w:t>
      </w:r>
      <w:r>
        <w:rPr>
          <w:rFonts w:ascii="Arial" w:hAnsi="Arial" w:cs="Arial"/>
          <w:spacing w:val="1"/>
          <w:sz w:val="24"/>
          <w:szCs w:val="24"/>
        </w:rPr>
        <w:t>i</w:t>
      </w:r>
      <w:r>
        <w:rPr>
          <w:rFonts w:ascii="Arial" w:hAnsi="Arial" w:cs="Arial"/>
          <w:sz w:val="24"/>
          <w:szCs w:val="24"/>
        </w:rPr>
        <w:t>ée</w:t>
      </w:r>
      <w:r>
        <w:rPr>
          <w:rFonts w:ascii="Arial" w:hAnsi="Arial" w:cs="Arial"/>
          <w:spacing w:val="30"/>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33"/>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x</w:t>
      </w:r>
      <w:r>
        <w:rPr>
          <w:rFonts w:ascii="Arial" w:hAnsi="Arial" w:cs="Arial"/>
          <w:spacing w:val="35"/>
          <w:sz w:val="24"/>
          <w:szCs w:val="24"/>
        </w:rPr>
        <w:t xml:space="preserve"> </w:t>
      </w:r>
      <w:r>
        <w:rPr>
          <w:rFonts w:ascii="Arial" w:hAnsi="Arial" w:cs="Arial"/>
          <w:sz w:val="24"/>
          <w:szCs w:val="24"/>
        </w:rPr>
        <w:t>pour</w:t>
      </w:r>
      <w:r>
        <w:rPr>
          <w:rFonts w:ascii="Arial" w:hAnsi="Arial" w:cs="Arial"/>
          <w:spacing w:val="34"/>
          <w:sz w:val="24"/>
          <w:szCs w:val="24"/>
        </w:rPr>
        <w:t xml:space="preserve"> ainsi </w:t>
      </w:r>
      <w:r>
        <w:rPr>
          <w:rFonts w:ascii="Arial" w:hAnsi="Arial" w:cs="Arial"/>
          <w:spacing w:val="1"/>
          <w:sz w:val="24"/>
          <w:szCs w:val="24"/>
        </w:rPr>
        <w:t>a</w:t>
      </w:r>
      <w:r>
        <w:rPr>
          <w:rFonts w:ascii="Arial" w:hAnsi="Arial" w:cs="Arial"/>
          <w:sz w:val="24"/>
          <w:szCs w:val="24"/>
        </w:rPr>
        <w:t>tt</w:t>
      </w:r>
      <w:r>
        <w:rPr>
          <w:rFonts w:ascii="Arial" w:hAnsi="Arial" w:cs="Arial"/>
          <w:spacing w:val="-2"/>
          <w:sz w:val="24"/>
          <w:szCs w:val="24"/>
        </w:rPr>
        <w:t>e</w:t>
      </w:r>
      <w:r>
        <w:rPr>
          <w:rFonts w:ascii="Arial" w:hAnsi="Arial" w:cs="Arial"/>
          <w:spacing w:val="1"/>
          <w:sz w:val="24"/>
          <w:szCs w:val="24"/>
        </w:rPr>
        <w:t>i</w:t>
      </w:r>
      <w:r>
        <w:rPr>
          <w:rFonts w:ascii="Arial" w:hAnsi="Arial" w:cs="Arial"/>
          <w:spacing w:val="-2"/>
          <w:sz w:val="24"/>
          <w:szCs w:val="24"/>
        </w:rPr>
        <w:t>ndre</w:t>
      </w:r>
      <w:r>
        <w:rPr>
          <w:rFonts w:ascii="Arial" w:hAnsi="Arial" w:cs="Arial"/>
          <w:spacing w:val="31"/>
          <w:sz w:val="24"/>
          <w:szCs w:val="24"/>
        </w:rPr>
        <w:t xml:space="preserve"> </w:t>
      </w:r>
      <w:r>
        <w:rPr>
          <w:rFonts w:ascii="Arial" w:hAnsi="Arial" w:cs="Arial"/>
          <w:spacing w:val="-1"/>
          <w:sz w:val="24"/>
          <w:szCs w:val="24"/>
        </w:rPr>
        <w:t>c</w:t>
      </w:r>
      <w:r>
        <w:rPr>
          <w:rFonts w:ascii="Arial" w:hAnsi="Arial" w:cs="Arial"/>
          <w:sz w:val="24"/>
          <w:szCs w:val="24"/>
        </w:rPr>
        <w:t>es</w:t>
      </w:r>
      <w:r>
        <w:rPr>
          <w:rFonts w:ascii="Arial" w:hAnsi="Arial" w:cs="Arial"/>
          <w:spacing w:val="35"/>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3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r</w:t>
      </w:r>
      <w:r>
        <w:rPr>
          <w:rFonts w:ascii="Arial" w:hAnsi="Arial" w:cs="Arial"/>
          <w:sz w:val="24"/>
          <w:szCs w:val="24"/>
        </w:rPr>
        <w:t>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 xml:space="preserve">res </w:t>
      </w:r>
      <w:r>
        <w:rPr>
          <w:rFonts w:ascii="Arial" w:hAnsi="Arial" w:cs="Arial"/>
          <w:spacing w:val="1"/>
          <w:sz w:val="24"/>
          <w:szCs w:val="24"/>
        </w:rPr>
        <w:t>a</w:t>
      </w:r>
      <w:r>
        <w:rPr>
          <w:rFonts w:ascii="Arial" w:hAnsi="Arial" w:cs="Arial"/>
          <w:sz w:val="24"/>
          <w:szCs w:val="24"/>
        </w:rPr>
        <w:t xml:space="preserve">nnées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us</w:t>
      </w:r>
      <w:r>
        <w:rPr>
          <w:rFonts w:ascii="Arial" w:hAnsi="Arial" w:cs="Arial"/>
          <w:spacing w:val="10"/>
          <w:sz w:val="24"/>
          <w:szCs w:val="24"/>
        </w:rPr>
        <w:t xml:space="preserve"> </w:t>
      </w:r>
      <w:r>
        <w:rPr>
          <w:rFonts w:ascii="Arial" w:hAnsi="Arial" w:cs="Arial"/>
          <w:spacing w:val="-1"/>
          <w:sz w:val="24"/>
          <w:szCs w:val="24"/>
        </w:rPr>
        <w:t>d’</w:t>
      </w:r>
      <w:r>
        <w:rPr>
          <w:rFonts w:ascii="Arial" w:hAnsi="Arial" w:cs="Arial"/>
          <w:sz w:val="24"/>
          <w:szCs w:val="24"/>
        </w:rPr>
        <w:t>un m</w:t>
      </w:r>
      <w:r>
        <w:rPr>
          <w:rFonts w:ascii="Arial" w:hAnsi="Arial" w:cs="Arial"/>
          <w:spacing w:val="1"/>
          <w:sz w:val="24"/>
          <w:szCs w:val="24"/>
        </w:rPr>
        <w:t>illi</w:t>
      </w:r>
      <w:r>
        <w:rPr>
          <w:rFonts w:ascii="Arial" w:hAnsi="Arial" w:cs="Arial"/>
          <w:sz w:val="24"/>
          <w:szCs w:val="24"/>
        </w:rPr>
        <w:t xml:space="preserve">on </w:t>
      </w:r>
      <w:r>
        <w:rPr>
          <w:rFonts w:ascii="Arial" w:hAnsi="Arial" w:cs="Arial"/>
          <w:spacing w:val="-3"/>
          <w:sz w:val="24"/>
          <w:szCs w:val="24"/>
        </w:rPr>
        <w:t>d</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tonnes. En</w:t>
      </w:r>
      <w:r>
        <w:rPr>
          <w:rFonts w:ascii="Arial" w:hAnsi="Arial" w:cs="Arial"/>
          <w:spacing w:val="11"/>
          <w:sz w:val="24"/>
          <w:szCs w:val="24"/>
        </w:rPr>
        <w:t xml:space="preserve"> </w:t>
      </w:r>
      <w:r>
        <w:rPr>
          <w:rFonts w:ascii="Arial" w:hAnsi="Arial" w:cs="Arial"/>
          <w:spacing w:val="1"/>
          <w:sz w:val="24"/>
          <w:szCs w:val="24"/>
        </w:rPr>
        <w:t>2013</w:t>
      </w:r>
      <w:r>
        <w:rPr>
          <w:rFonts w:ascii="Arial" w:hAnsi="Arial" w:cs="Arial"/>
          <w:spacing w:val="-2"/>
          <w:sz w:val="24"/>
          <w:szCs w:val="24"/>
        </w:rPr>
        <w:t>/</w:t>
      </w:r>
      <w:r>
        <w:rPr>
          <w:rFonts w:ascii="Arial" w:hAnsi="Arial" w:cs="Arial"/>
          <w:spacing w:val="1"/>
          <w:sz w:val="24"/>
          <w:szCs w:val="24"/>
        </w:rPr>
        <w:t>20</w:t>
      </w:r>
      <w:r>
        <w:rPr>
          <w:rFonts w:ascii="Arial" w:hAnsi="Arial" w:cs="Arial"/>
          <w:spacing w:val="-1"/>
          <w:sz w:val="24"/>
          <w:szCs w:val="24"/>
        </w:rPr>
        <w:t>14,</w:t>
      </w:r>
      <w:r>
        <w:rPr>
          <w:rFonts w:ascii="Arial" w:hAnsi="Arial" w:cs="Arial"/>
          <w:spacing w:val="1"/>
          <w:sz w:val="24"/>
          <w:szCs w:val="24"/>
        </w:rPr>
        <w:t xml:space="preserve"> l</w:t>
      </w:r>
      <w:r>
        <w:rPr>
          <w:rFonts w:ascii="Arial" w:hAnsi="Arial" w:cs="Arial"/>
          <w:sz w:val="24"/>
          <w:szCs w:val="24"/>
        </w:rPr>
        <w:t>a</w:t>
      </w:r>
      <w:r>
        <w:rPr>
          <w:rFonts w:ascii="Arial" w:hAnsi="Arial" w:cs="Arial"/>
          <w:spacing w:val="12"/>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9"/>
          <w:sz w:val="24"/>
          <w:szCs w:val="24"/>
        </w:rPr>
        <w:t xml:space="preserve">de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A</w:t>
      </w:r>
      <w:r>
        <w:rPr>
          <w:rFonts w:ascii="Arial" w:hAnsi="Arial" w:cs="Arial"/>
          <w:spacing w:val="2"/>
          <w:sz w:val="24"/>
          <w:szCs w:val="24"/>
        </w:rPr>
        <w:t>f</w:t>
      </w:r>
      <w:r>
        <w:rPr>
          <w:rFonts w:ascii="Arial" w:hAnsi="Arial" w:cs="Arial"/>
          <w:spacing w:val="-1"/>
          <w:sz w:val="24"/>
          <w:szCs w:val="24"/>
        </w:rPr>
        <w:t>r</w:t>
      </w:r>
      <w:r>
        <w:rPr>
          <w:rFonts w:ascii="Arial" w:hAnsi="Arial" w:cs="Arial"/>
          <w:spacing w:val="1"/>
          <w:sz w:val="24"/>
          <w:szCs w:val="24"/>
        </w:rPr>
        <w:t>iq</w:t>
      </w:r>
      <w:r>
        <w:rPr>
          <w:rFonts w:ascii="Arial" w:hAnsi="Arial" w:cs="Arial"/>
          <w:sz w:val="24"/>
          <w:szCs w:val="24"/>
        </w:rPr>
        <w:t>ue</w:t>
      </w:r>
      <w:r>
        <w:rPr>
          <w:rFonts w:ascii="Arial" w:hAnsi="Arial" w:cs="Arial"/>
          <w:spacing w:val="1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20"/>
          <w:sz w:val="24"/>
          <w:szCs w:val="24"/>
        </w:rPr>
        <w:t xml:space="preserve"> </w:t>
      </w:r>
      <w:r>
        <w:rPr>
          <w:rFonts w:ascii="Arial" w:hAnsi="Arial" w:cs="Arial"/>
          <w:sz w:val="24"/>
          <w:szCs w:val="24"/>
        </w:rPr>
        <w:t xml:space="preserve">et </w:t>
      </w:r>
      <w:r>
        <w:rPr>
          <w:rFonts w:ascii="Arial" w:hAnsi="Arial" w:cs="Arial"/>
          <w:spacing w:val="-1"/>
          <w:sz w:val="24"/>
          <w:szCs w:val="24"/>
        </w:rPr>
        <w:t>d</w:t>
      </w:r>
      <w:r>
        <w:rPr>
          <w:rFonts w:ascii="Arial" w:hAnsi="Arial" w:cs="Arial"/>
          <w:sz w:val="24"/>
          <w:szCs w:val="24"/>
        </w:rPr>
        <w:t>u</w:t>
      </w:r>
      <w:r>
        <w:rPr>
          <w:rFonts w:ascii="Arial" w:hAnsi="Arial" w:cs="Arial"/>
          <w:spacing w:val="50"/>
          <w:sz w:val="24"/>
          <w:szCs w:val="24"/>
        </w:rPr>
        <w:t xml:space="preserve"> </w:t>
      </w:r>
      <w:r>
        <w:rPr>
          <w:rFonts w:ascii="Arial" w:hAnsi="Arial" w:cs="Arial"/>
          <w:sz w:val="24"/>
          <w:szCs w:val="24"/>
        </w:rPr>
        <w:t>Cen</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e, est</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mée</w:t>
      </w:r>
      <w:r>
        <w:rPr>
          <w:rFonts w:ascii="Arial" w:hAnsi="Arial" w:cs="Arial"/>
          <w:spacing w:val="-9"/>
          <w:sz w:val="24"/>
          <w:szCs w:val="24"/>
        </w:rPr>
        <w:t xml:space="preserve"> </w:t>
      </w:r>
      <w:r>
        <w:rPr>
          <w:rFonts w:ascii="Arial" w:hAnsi="Arial" w:cs="Arial"/>
          <w:sz w:val="24"/>
          <w:szCs w:val="24"/>
        </w:rPr>
        <w:t>à 925.000 tonnes</w:t>
      </w:r>
      <w:r>
        <w:rPr>
          <w:rFonts w:ascii="Arial" w:hAnsi="Arial" w:cs="Arial"/>
          <w:spacing w:val="1"/>
          <w:sz w:val="24"/>
          <w:szCs w:val="24"/>
        </w:rPr>
        <w:t>.</w:t>
      </w:r>
      <w:r>
        <w:rPr>
          <w:rFonts w:ascii="Arial" w:hAnsi="Arial" w:cs="Arial"/>
          <w:sz w:val="24"/>
          <w:szCs w:val="24"/>
        </w:rPr>
        <w:t xml:space="preserve"> </w:t>
      </w:r>
    </w:p>
    <w:p w14:paraId="5423AD52" w14:textId="77777777" w:rsidR="008862C7" w:rsidRDefault="008862C7" w:rsidP="008862C7">
      <w:pPr>
        <w:pStyle w:val="Titre6"/>
        <w:spacing w:line="360" w:lineRule="auto"/>
        <w:rPr>
          <w:rFonts w:ascii="Arial" w:hAnsi="Arial" w:cs="Arial"/>
          <w:b/>
          <w:bCs/>
          <w:i w:val="0"/>
          <w:color w:val="auto"/>
        </w:rPr>
      </w:pPr>
      <w:bookmarkStart w:id="101" w:name="_Toc395107579"/>
      <w:r>
        <w:rPr>
          <w:rFonts w:ascii="Arial" w:hAnsi="Arial" w:cs="Arial"/>
          <w:b/>
          <w:bCs/>
          <w:i w:val="0"/>
          <w:color w:val="auto"/>
        </w:rPr>
        <w:t>1.1.2. Dynamique de la production cotonnière en AOC : de la vache grasse à la vache maigre.</w:t>
      </w:r>
      <w:bookmarkEnd w:id="101"/>
    </w:p>
    <w:p w14:paraId="77BCFBBA" w14:textId="77777777" w:rsidR="008862C7" w:rsidRDefault="008862C7" w:rsidP="008862C7">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L’analyse de la dynamique de la production cotonnière en AOC, montre que les trois dernières décennies peuvent être retracées en deux phases principales. Les années dites de la « vache à lait » ou la production a connu une croissance fulgurante et les années de la « vache maigre » où la production et même toute la filière nationale en AOC a connu une crise sans précédent, ce qui a conduit à une restructuration profonde de la filière dans ces pays. Toutefois, l’importance de cette filière pour les économies nationales et les milliers de producteurs de coton en AOC est aujourd’hui reconnue.</w:t>
      </w:r>
    </w:p>
    <w:p w14:paraId="2811FFB7" w14:textId="77777777" w:rsidR="008862C7" w:rsidRDefault="008862C7" w:rsidP="008862C7">
      <w:pPr>
        <w:pStyle w:val="Paragraphedeliste"/>
        <w:numPr>
          <w:ilvl w:val="0"/>
          <w:numId w:val="19"/>
        </w:numPr>
        <w:autoSpaceDE w:val="0"/>
        <w:autoSpaceDN w:val="0"/>
        <w:adjustRightInd w:val="0"/>
        <w:spacing w:after="120" w:line="360" w:lineRule="auto"/>
        <w:jc w:val="both"/>
        <w:rPr>
          <w:rFonts w:ascii="Arial" w:hAnsi="Arial" w:cs="Arial"/>
          <w:b/>
          <w:bCs/>
          <w:sz w:val="24"/>
          <w:szCs w:val="24"/>
        </w:rPr>
      </w:pPr>
      <w:r>
        <w:rPr>
          <w:rFonts w:ascii="Arial" w:hAnsi="Arial" w:cs="Arial"/>
          <w:b/>
          <w:bCs/>
          <w:sz w:val="24"/>
          <w:szCs w:val="24"/>
        </w:rPr>
        <w:t>Importance de la production cotonnière dans les pays de l’AOC</w:t>
      </w:r>
    </w:p>
    <w:p w14:paraId="558BCDB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pacing w:val="1"/>
          <w:sz w:val="24"/>
          <w:szCs w:val="24"/>
        </w:rPr>
        <w:t>L</w:t>
      </w:r>
      <w:r>
        <w:rPr>
          <w:rFonts w:ascii="Arial" w:hAnsi="Arial" w:cs="Arial"/>
          <w:sz w:val="24"/>
          <w:szCs w:val="24"/>
        </w:rPr>
        <w:t>e</w:t>
      </w:r>
      <w:r>
        <w:rPr>
          <w:rFonts w:ascii="Arial" w:hAnsi="Arial" w:cs="Arial"/>
          <w:spacing w:val="38"/>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35"/>
          <w:sz w:val="24"/>
          <w:szCs w:val="24"/>
        </w:rPr>
        <w:t xml:space="preserve"> </w:t>
      </w:r>
      <w:r>
        <w:rPr>
          <w:rFonts w:ascii="Arial" w:hAnsi="Arial" w:cs="Arial"/>
          <w:spacing w:val="1"/>
          <w:sz w:val="24"/>
          <w:szCs w:val="24"/>
        </w:rPr>
        <w:t>revêt</w:t>
      </w:r>
      <w:r>
        <w:rPr>
          <w:rFonts w:ascii="Arial" w:hAnsi="Arial" w:cs="Arial"/>
          <w:spacing w:val="37"/>
          <w:sz w:val="24"/>
          <w:szCs w:val="24"/>
        </w:rPr>
        <w:t xml:space="preserve"> </w:t>
      </w:r>
      <w:r>
        <w:rPr>
          <w:rFonts w:ascii="Arial" w:hAnsi="Arial" w:cs="Arial"/>
          <w:sz w:val="24"/>
          <w:szCs w:val="24"/>
        </w:rPr>
        <w:t>un</w:t>
      </w:r>
      <w:r>
        <w:rPr>
          <w:rFonts w:ascii="Arial" w:hAnsi="Arial" w:cs="Arial"/>
          <w:spacing w:val="41"/>
          <w:sz w:val="24"/>
          <w:szCs w:val="24"/>
        </w:rPr>
        <w:t xml:space="preserve"> </w:t>
      </w:r>
      <w:r>
        <w:rPr>
          <w:rFonts w:ascii="Arial" w:hAnsi="Arial" w:cs="Arial"/>
          <w:spacing w:val="-1"/>
          <w:sz w:val="24"/>
          <w:szCs w:val="24"/>
        </w:rPr>
        <w:t>r</w:t>
      </w:r>
      <w:r>
        <w:rPr>
          <w:rFonts w:ascii="Arial" w:hAnsi="Arial" w:cs="Arial"/>
          <w:sz w:val="24"/>
          <w:szCs w:val="24"/>
        </w:rPr>
        <w:t>ô</w:t>
      </w:r>
      <w:r>
        <w:rPr>
          <w:rFonts w:ascii="Arial" w:hAnsi="Arial" w:cs="Arial"/>
          <w:spacing w:val="4"/>
          <w:sz w:val="24"/>
          <w:szCs w:val="24"/>
        </w:rPr>
        <w:t>l</w:t>
      </w:r>
      <w:r>
        <w:rPr>
          <w:rFonts w:ascii="Arial" w:hAnsi="Arial" w:cs="Arial"/>
          <w:sz w:val="24"/>
          <w:szCs w:val="24"/>
        </w:rPr>
        <w:t>e</w:t>
      </w:r>
      <w:r>
        <w:rPr>
          <w:rFonts w:ascii="Arial" w:hAnsi="Arial" w:cs="Arial"/>
          <w:spacing w:val="37"/>
          <w:sz w:val="24"/>
          <w:szCs w:val="24"/>
        </w:rPr>
        <w:t xml:space="preserve"> stratégique </w:t>
      </w:r>
      <w:r>
        <w:rPr>
          <w:rFonts w:ascii="Arial" w:hAnsi="Arial" w:cs="Arial"/>
          <w:spacing w:val="-1"/>
          <w:sz w:val="24"/>
          <w:szCs w:val="24"/>
        </w:rPr>
        <w:t>d</w:t>
      </w:r>
      <w:r>
        <w:rPr>
          <w:rFonts w:ascii="Arial" w:hAnsi="Arial" w:cs="Arial"/>
          <w:spacing w:val="1"/>
          <w:sz w:val="24"/>
          <w:szCs w:val="24"/>
        </w:rPr>
        <w:t>a</w:t>
      </w:r>
      <w:r>
        <w:rPr>
          <w:rFonts w:ascii="Arial" w:hAnsi="Arial" w:cs="Arial"/>
          <w:spacing w:val="2"/>
          <w:sz w:val="24"/>
          <w:szCs w:val="24"/>
        </w:rPr>
        <w:t>n</w:t>
      </w:r>
      <w:r>
        <w:rPr>
          <w:rFonts w:ascii="Arial" w:hAnsi="Arial" w:cs="Arial"/>
          <w:sz w:val="24"/>
          <w:szCs w:val="24"/>
        </w:rPr>
        <w:t>s</w:t>
      </w:r>
      <w:r>
        <w:rPr>
          <w:rFonts w:ascii="Arial" w:hAnsi="Arial" w:cs="Arial"/>
          <w:spacing w:val="3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9"/>
          <w:sz w:val="24"/>
          <w:szCs w:val="24"/>
        </w:rPr>
        <w:t xml:space="preserve"> </w:t>
      </w:r>
      <w:r>
        <w:rPr>
          <w:rFonts w:ascii="Arial" w:hAnsi="Arial" w:cs="Arial"/>
          <w:spacing w:val="-1"/>
          <w:sz w:val="24"/>
          <w:szCs w:val="24"/>
        </w:rPr>
        <w:t>cr</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ss</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w:t>
      </w:r>
      <w:r>
        <w:rPr>
          <w:rFonts w:ascii="Arial" w:hAnsi="Arial" w:cs="Arial"/>
          <w:spacing w:val="3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9"/>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c</w:t>
      </w:r>
      <w:r>
        <w:rPr>
          <w:rFonts w:ascii="Arial" w:hAnsi="Arial" w:cs="Arial"/>
          <w:sz w:val="24"/>
          <w:szCs w:val="24"/>
        </w:rPr>
        <w:t>onom</w:t>
      </w:r>
      <w:r>
        <w:rPr>
          <w:rFonts w:ascii="Arial" w:hAnsi="Arial" w:cs="Arial"/>
          <w:spacing w:val="1"/>
          <w:sz w:val="24"/>
          <w:szCs w:val="24"/>
        </w:rPr>
        <w:t>i</w:t>
      </w:r>
      <w:r>
        <w:rPr>
          <w:rFonts w:ascii="Arial" w:hAnsi="Arial" w:cs="Arial"/>
          <w:sz w:val="24"/>
          <w:szCs w:val="24"/>
        </w:rPr>
        <w:t>e</w:t>
      </w:r>
      <w:r>
        <w:rPr>
          <w:rFonts w:ascii="Arial" w:hAnsi="Arial" w:cs="Arial"/>
          <w:spacing w:val="32"/>
          <w:sz w:val="24"/>
          <w:szCs w:val="24"/>
        </w:rPr>
        <w:t xml:space="preserve"> </w:t>
      </w:r>
      <w:r>
        <w:rPr>
          <w:rFonts w:ascii="Arial" w:hAnsi="Arial" w:cs="Arial"/>
          <w:sz w:val="24"/>
          <w:szCs w:val="24"/>
        </w:rPr>
        <w:t xml:space="preserve">et </w:t>
      </w:r>
      <w:r>
        <w:rPr>
          <w:rFonts w:ascii="Arial" w:hAnsi="Arial" w:cs="Arial"/>
          <w:spacing w:val="1"/>
          <w:sz w:val="24"/>
          <w:szCs w:val="24"/>
        </w:rPr>
        <w:t>l</w:t>
      </w:r>
      <w:r>
        <w:rPr>
          <w:rFonts w:ascii="Arial" w:hAnsi="Arial" w:cs="Arial"/>
          <w:sz w:val="24"/>
          <w:szCs w:val="24"/>
        </w:rPr>
        <w:t>e</w:t>
      </w:r>
      <w:r>
        <w:rPr>
          <w:rFonts w:ascii="Arial" w:hAnsi="Arial" w:cs="Arial"/>
          <w:spacing w:val="13"/>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es</w:t>
      </w:r>
      <w:r>
        <w:rPr>
          <w:rFonts w:ascii="Arial" w:hAnsi="Arial" w:cs="Arial"/>
          <w:spacing w:val="11"/>
          <w:sz w:val="24"/>
          <w:szCs w:val="24"/>
        </w:rPr>
        <w:t xml:space="preserve"> </w:t>
      </w:r>
      <w:r>
        <w:rPr>
          <w:rFonts w:ascii="Arial" w:hAnsi="Arial" w:cs="Arial"/>
          <w:sz w:val="24"/>
          <w:szCs w:val="24"/>
        </w:rPr>
        <w:t>zones</w:t>
      </w:r>
      <w:r>
        <w:rPr>
          <w:rFonts w:ascii="Arial" w:hAnsi="Arial" w:cs="Arial"/>
          <w:spacing w:val="11"/>
          <w:sz w:val="24"/>
          <w:szCs w:val="24"/>
        </w:rPr>
        <w:t xml:space="preserve"> </w:t>
      </w:r>
      <w:r>
        <w:rPr>
          <w:rFonts w:ascii="Arial" w:hAnsi="Arial" w:cs="Arial"/>
          <w:spacing w:val="-1"/>
          <w:sz w:val="24"/>
          <w:szCs w:val="24"/>
        </w:rPr>
        <w:t>r</w:t>
      </w:r>
      <w:r>
        <w:rPr>
          <w:rFonts w:ascii="Arial" w:hAnsi="Arial" w:cs="Arial"/>
          <w:sz w:val="24"/>
          <w:szCs w:val="24"/>
        </w:rPr>
        <w:t>u</w:t>
      </w:r>
      <w:r>
        <w:rPr>
          <w:rFonts w:ascii="Arial" w:hAnsi="Arial" w:cs="Arial"/>
          <w:spacing w:val="-1"/>
          <w:sz w:val="24"/>
          <w:szCs w:val="24"/>
        </w:rPr>
        <w:t>r</w:t>
      </w:r>
      <w:r>
        <w:rPr>
          <w:rFonts w:ascii="Arial" w:hAnsi="Arial" w:cs="Arial"/>
          <w:spacing w:val="1"/>
          <w:sz w:val="24"/>
          <w:szCs w:val="24"/>
        </w:rPr>
        <w:t>al</w:t>
      </w:r>
      <w:r>
        <w:rPr>
          <w:rFonts w:ascii="Arial" w:hAnsi="Arial" w:cs="Arial"/>
          <w:sz w:val="24"/>
          <w:szCs w:val="24"/>
        </w:rPr>
        <w:t>es</w:t>
      </w:r>
      <w:r>
        <w:rPr>
          <w:rFonts w:ascii="Arial" w:hAnsi="Arial" w:cs="Arial"/>
          <w:spacing w:val="11"/>
          <w:sz w:val="24"/>
          <w:szCs w:val="24"/>
        </w:rPr>
        <w:t xml:space="preserve"> </w:t>
      </w:r>
      <w:r>
        <w:rPr>
          <w:rFonts w:ascii="Arial" w:hAnsi="Arial" w:cs="Arial"/>
          <w:sz w:val="24"/>
          <w:szCs w:val="24"/>
        </w:rPr>
        <w:t>en</w:t>
      </w:r>
      <w:r>
        <w:rPr>
          <w:rFonts w:ascii="Arial" w:hAnsi="Arial" w:cs="Arial"/>
          <w:spacing w:val="13"/>
          <w:sz w:val="24"/>
          <w:szCs w:val="24"/>
        </w:rPr>
        <w:t xml:space="preserve"> </w:t>
      </w:r>
      <w:r>
        <w:rPr>
          <w:rFonts w:ascii="Arial" w:hAnsi="Arial" w:cs="Arial"/>
          <w:sz w:val="24"/>
          <w:szCs w:val="24"/>
        </w:rPr>
        <w:t>A</w:t>
      </w:r>
      <w:r>
        <w:rPr>
          <w:rFonts w:ascii="Arial" w:hAnsi="Arial" w:cs="Arial"/>
          <w:spacing w:val="-1"/>
          <w:sz w:val="24"/>
          <w:szCs w:val="24"/>
        </w:rPr>
        <w:t>fr</w:t>
      </w:r>
      <w:r>
        <w:rPr>
          <w:rFonts w:ascii="Arial" w:hAnsi="Arial" w:cs="Arial"/>
          <w:spacing w:val="1"/>
          <w:sz w:val="24"/>
          <w:szCs w:val="24"/>
        </w:rPr>
        <w:t>iq</w:t>
      </w:r>
      <w:r>
        <w:rPr>
          <w:rFonts w:ascii="Arial" w:hAnsi="Arial" w:cs="Arial"/>
          <w:sz w:val="24"/>
          <w:szCs w:val="24"/>
        </w:rPr>
        <w:t>ue</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0"/>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12"/>
          <w:sz w:val="24"/>
          <w:szCs w:val="24"/>
        </w:rPr>
        <w:t xml:space="preserve"> </w:t>
      </w:r>
      <w:r>
        <w:rPr>
          <w:rFonts w:ascii="Arial" w:hAnsi="Arial" w:cs="Arial"/>
          <w:sz w:val="24"/>
          <w:szCs w:val="24"/>
        </w:rPr>
        <w:t>et</w:t>
      </w:r>
      <w:r>
        <w:rPr>
          <w:rFonts w:ascii="Arial" w:hAnsi="Arial" w:cs="Arial"/>
          <w:spacing w:val="1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3"/>
          <w:sz w:val="24"/>
          <w:szCs w:val="24"/>
        </w:rPr>
        <w:t xml:space="preserve"> </w:t>
      </w:r>
      <w:r>
        <w:rPr>
          <w:rFonts w:ascii="Arial" w:hAnsi="Arial" w:cs="Arial"/>
          <w:sz w:val="24"/>
          <w:szCs w:val="24"/>
        </w:rPr>
        <w:t>Cent</w:t>
      </w:r>
      <w:r>
        <w:rPr>
          <w:rFonts w:ascii="Arial" w:hAnsi="Arial" w:cs="Arial"/>
          <w:spacing w:val="-1"/>
          <w:sz w:val="24"/>
          <w:szCs w:val="24"/>
        </w:rPr>
        <w:t>r</w:t>
      </w:r>
      <w:r>
        <w:rPr>
          <w:rFonts w:ascii="Arial" w:hAnsi="Arial" w:cs="Arial"/>
          <w:sz w:val="24"/>
          <w:szCs w:val="24"/>
        </w:rPr>
        <w:t xml:space="preserve">e. Il y est produit par plus de 2 millions d’exploitations agricoles et plus de 16 millions de personnes en Afrique de l’Ouest et du Centre tirent l’essentiel de leurs revenus de cette spéculation (Hugon, 2005 ; Hussein </w:t>
      </w:r>
      <w:r>
        <w:rPr>
          <w:rFonts w:ascii="Arial" w:hAnsi="Arial" w:cs="Arial"/>
          <w:i/>
          <w:iCs/>
          <w:sz w:val="24"/>
          <w:szCs w:val="24"/>
        </w:rPr>
        <w:t xml:space="preserve">et al., </w:t>
      </w:r>
      <w:r>
        <w:rPr>
          <w:rFonts w:ascii="Arial" w:hAnsi="Arial" w:cs="Arial"/>
          <w:sz w:val="24"/>
          <w:szCs w:val="24"/>
        </w:rPr>
        <w:t>2005). Destinée principalement à l’exportation (90%), la culture de coton assure des revenus monétaires réguliers à la population rurale,</w:t>
      </w:r>
      <w:r>
        <w:rPr>
          <w:rFonts w:ascii="Arial" w:hAnsi="Arial" w:cs="Arial"/>
          <w:spacing w:val="9"/>
          <w:sz w:val="24"/>
          <w:szCs w:val="24"/>
        </w:rPr>
        <w:t xml:space="preserve"> </w:t>
      </w:r>
      <w:r>
        <w:rPr>
          <w:rFonts w:ascii="Arial" w:hAnsi="Arial" w:cs="Arial"/>
          <w:spacing w:val="-1"/>
          <w:sz w:val="24"/>
          <w:szCs w:val="24"/>
        </w:rPr>
        <w:t>a</w:t>
      </w:r>
      <w:r>
        <w:rPr>
          <w:rFonts w:ascii="Arial" w:hAnsi="Arial" w:cs="Arial"/>
          <w:sz w:val="24"/>
          <w:szCs w:val="24"/>
        </w:rPr>
        <w:t>mé</w:t>
      </w:r>
      <w:r>
        <w:rPr>
          <w:rFonts w:ascii="Arial" w:hAnsi="Arial" w:cs="Arial"/>
          <w:spacing w:val="1"/>
          <w:sz w:val="24"/>
          <w:szCs w:val="24"/>
        </w:rPr>
        <w:t>li</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 xml:space="preserve">nt </w:t>
      </w:r>
      <w:r>
        <w:rPr>
          <w:rFonts w:ascii="Arial" w:hAnsi="Arial" w:cs="Arial"/>
          <w:spacing w:val="-1"/>
          <w:sz w:val="24"/>
          <w:szCs w:val="24"/>
        </w:rPr>
        <w:t>a</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s</w:t>
      </w:r>
      <w:r>
        <w:rPr>
          <w:rFonts w:ascii="Arial" w:hAnsi="Arial" w:cs="Arial"/>
          <w:sz w:val="24"/>
          <w:szCs w:val="24"/>
        </w:rPr>
        <w:t>i</w:t>
      </w:r>
      <w:r>
        <w:rPr>
          <w:rFonts w:ascii="Arial" w:hAnsi="Arial" w:cs="Arial"/>
          <w:spacing w:val="10"/>
          <w:sz w:val="24"/>
          <w:szCs w:val="24"/>
        </w:rPr>
        <w:t xml:space="preserve"> </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v</w:t>
      </w:r>
      <w:r>
        <w:rPr>
          <w:rFonts w:ascii="Arial" w:hAnsi="Arial" w:cs="Arial"/>
          <w:sz w:val="24"/>
          <w:szCs w:val="24"/>
        </w:rPr>
        <w:t>enus</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ès</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2 m</w:t>
      </w:r>
      <w:r>
        <w:rPr>
          <w:rFonts w:ascii="Arial" w:hAnsi="Arial" w:cs="Arial"/>
          <w:spacing w:val="1"/>
          <w:sz w:val="24"/>
          <w:szCs w:val="24"/>
        </w:rPr>
        <w:t>illi</w:t>
      </w:r>
      <w:r>
        <w:rPr>
          <w:rFonts w:ascii="Arial" w:hAnsi="Arial" w:cs="Arial"/>
          <w:sz w:val="24"/>
          <w:szCs w:val="24"/>
        </w:rPr>
        <w:t>ons</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 xml:space="preserve">S’il y a un secteur économique ouvert à la concurrence internationale, et pour lequel l’Afrique a fait et fait encore d’énormes efforts pour être compétitive, au point de disposer </w:t>
      </w:r>
      <w:r>
        <w:rPr>
          <w:rFonts w:ascii="Arial" w:hAnsi="Arial" w:cs="Arial"/>
          <w:sz w:val="24"/>
          <w:szCs w:val="24"/>
        </w:rPr>
        <w:lastRenderedPageBreak/>
        <w:t>aujourd’hui d’un avantage comparatif incontestable, c’est bien le secteur coton. Cette culture est devenue un soutien important aux revenus ruraux et une source importante de devises rééquilibrant les balances des paiements des pays producteurs. La place du coton dans les économies des principaux pays producteurs n’est pas négligeable. Sa contribution aux recettes d’exportations est évaluée en 2006 à 75% au Bénin, à 60% au Burkina Faso, à 50% au Mali, 30% au Tchad et 7% en Centrafrique</w:t>
      </w:r>
      <w:r w:rsidR="00E72C3F">
        <w:rPr>
          <w:rFonts w:ascii="Arial" w:hAnsi="Arial" w:cs="Arial"/>
          <w:sz w:val="24"/>
          <w:szCs w:val="24"/>
        </w:rPr>
        <w:t xml:space="preserve"> </w:t>
      </w:r>
      <w:r>
        <w:rPr>
          <w:rFonts w:ascii="Arial" w:hAnsi="Arial" w:cs="Arial"/>
          <w:sz w:val="24"/>
          <w:szCs w:val="24"/>
        </w:rPr>
        <w:t>(ACA, 2007 ; BEAC, 2006).</w:t>
      </w:r>
    </w:p>
    <w:p w14:paraId="6F60F00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pacing w:val="1"/>
          <w:sz w:val="24"/>
          <w:szCs w:val="24"/>
        </w:rPr>
        <w:t>L</w:t>
      </w:r>
      <w:r>
        <w:rPr>
          <w:rFonts w:ascii="Arial" w:hAnsi="Arial" w:cs="Arial"/>
          <w:sz w:val="24"/>
          <w:szCs w:val="24"/>
        </w:rPr>
        <w:t>a</w:t>
      </w:r>
      <w:r>
        <w:rPr>
          <w:rFonts w:ascii="Arial" w:hAnsi="Arial" w:cs="Arial"/>
          <w:spacing w:val="13"/>
          <w:sz w:val="24"/>
          <w:szCs w:val="24"/>
        </w:rPr>
        <w:t xml:space="preserve"> </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w:t>
      </w:r>
      <w:r>
        <w:rPr>
          <w:rFonts w:ascii="Arial" w:hAnsi="Arial" w:cs="Arial"/>
          <w:sz w:val="24"/>
          <w:szCs w:val="24"/>
        </w:rPr>
        <w:t>tu</w:t>
      </w:r>
      <w:r>
        <w:rPr>
          <w:rFonts w:ascii="Arial" w:hAnsi="Arial" w:cs="Arial"/>
          <w:spacing w:val="-1"/>
          <w:sz w:val="24"/>
          <w:szCs w:val="24"/>
        </w:rPr>
        <w:t>r</w:t>
      </w:r>
      <w:r>
        <w:rPr>
          <w:rFonts w:ascii="Arial" w:hAnsi="Arial" w:cs="Arial"/>
          <w:sz w:val="24"/>
          <w:szCs w:val="24"/>
        </w:rPr>
        <w:t>e</w:t>
      </w:r>
      <w:r>
        <w:rPr>
          <w:rFonts w:ascii="Arial" w:hAnsi="Arial" w:cs="Arial"/>
          <w:spacing w:val="1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2"/>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13"/>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2"/>
          <w:sz w:val="24"/>
          <w:szCs w:val="24"/>
        </w:rPr>
        <w:t xml:space="preserve"> </w:t>
      </w:r>
      <w:r>
        <w:rPr>
          <w:rFonts w:ascii="Arial" w:hAnsi="Arial" w:cs="Arial"/>
          <w:sz w:val="24"/>
          <w:szCs w:val="24"/>
        </w:rPr>
        <w:t>un</w:t>
      </w:r>
      <w:r>
        <w:rPr>
          <w:rFonts w:ascii="Arial" w:hAnsi="Arial" w:cs="Arial"/>
          <w:spacing w:val="13"/>
          <w:sz w:val="24"/>
          <w:szCs w:val="24"/>
        </w:rPr>
        <w:t xml:space="preserve"> </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abl</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c</w:t>
      </w:r>
      <w:r>
        <w:rPr>
          <w:rFonts w:ascii="Arial" w:hAnsi="Arial" w:cs="Arial"/>
          <w:spacing w:val="-2"/>
          <w:sz w:val="24"/>
          <w:szCs w:val="24"/>
        </w:rPr>
        <w:t>t</w:t>
      </w:r>
      <w:r>
        <w:rPr>
          <w:rFonts w:ascii="Arial" w:hAnsi="Arial" w:cs="Arial"/>
          <w:sz w:val="24"/>
          <w:szCs w:val="24"/>
        </w:rPr>
        <w:t>eur</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2"/>
          <w:sz w:val="24"/>
          <w:szCs w:val="24"/>
        </w:rPr>
        <w:t xml:space="preserve"> </w:t>
      </w:r>
      <w:r>
        <w:rPr>
          <w:rFonts w:ascii="Arial" w:hAnsi="Arial" w:cs="Arial"/>
          <w:spacing w:val="-1"/>
          <w:sz w:val="24"/>
          <w:szCs w:val="24"/>
        </w:rPr>
        <w:t>d</w:t>
      </w:r>
      <w:r>
        <w:rPr>
          <w:rFonts w:ascii="Arial" w:hAnsi="Arial" w:cs="Arial"/>
          <w:sz w:val="24"/>
          <w:szCs w:val="24"/>
        </w:rPr>
        <w:t>éve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eme</w:t>
      </w:r>
      <w:r>
        <w:rPr>
          <w:rFonts w:ascii="Arial" w:hAnsi="Arial" w:cs="Arial"/>
          <w:spacing w:val="2"/>
          <w:sz w:val="24"/>
          <w:szCs w:val="24"/>
        </w:rPr>
        <w:t>n</w:t>
      </w:r>
      <w:r>
        <w:rPr>
          <w:rFonts w:ascii="Arial" w:hAnsi="Arial" w:cs="Arial"/>
          <w:sz w:val="24"/>
          <w:szCs w:val="24"/>
        </w:rPr>
        <w:t xml:space="preserve">t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11"/>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2"/>
          <w:sz w:val="24"/>
          <w:szCs w:val="24"/>
        </w:rPr>
        <w:t>A</w:t>
      </w:r>
      <w:r>
        <w:rPr>
          <w:rFonts w:ascii="Arial" w:hAnsi="Arial" w:cs="Arial"/>
          <w:spacing w:val="-1"/>
          <w:sz w:val="24"/>
          <w:szCs w:val="24"/>
        </w:rPr>
        <w:t>fr</w:t>
      </w:r>
      <w:r>
        <w:rPr>
          <w:rFonts w:ascii="Arial" w:hAnsi="Arial" w:cs="Arial"/>
          <w:spacing w:val="1"/>
          <w:sz w:val="24"/>
          <w:szCs w:val="24"/>
        </w:rPr>
        <w:t>iq</w:t>
      </w:r>
      <w:r>
        <w:rPr>
          <w:rFonts w:ascii="Arial" w:hAnsi="Arial" w:cs="Arial"/>
          <w:sz w:val="24"/>
          <w:szCs w:val="24"/>
        </w:rPr>
        <w:t xml:space="preserve">ue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et</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ent</w:t>
      </w:r>
      <w:r>
        <w:rPr>
          <w:rFonts w:ascii="Arial" w:hAnsi="Arial" w:cs="Arial"/>
          <w:spacing w:val="-1"/>
          <w:sz w:val="24"/>
          <w:szCs w:val="24"/>
        </w:rPr>
        <w:t>r</w:t>
      </w:r>
      <w:r>
        <w:rPr>
          <w:rFonts w:ascii="Arial" w:hAnsi="Arial" w:cs="Arial"/>
          <w:sz w:val="24"/>
          <w:szCs w:val="24"/>
        </w:rPr>
        <w:t>e. Elle est la voix par excellence de l’introduction des nou</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ll</w:t>
      </w:r>
      <w:r>
        <w:rPr>
          <w:rFonts w:ascii="Arial" w:hAnsi="Arial" w:cs="Arial"/>
          <w:sz w:val="24"/>
          <w:szCs w:val="24"/>
        </w:rPr>
        <w:t>es</w:t>
      </w:r>
      <w:r>
        <w:rPr>
          <w:rFonts w:ascii="Arial" w:hAnsi="Arial" w:cs="Arial"/>
          <w:spacing w:val="-5"/>
          <w:sz w:val="24"/>
          <w:szCs w:val="24"/>
        </w:rPr>
        <w:t xml:space="preserve"> </w:t>
      </w:r>
      <w:r>
        <w:rPr>
          <w:rFonts w:ascii="Arial" w:hAnsi="Arial" w:cs="Arial"/>
          <w:sz w:val="24"/>
          <w:szCs w:val="24"/>
        </w:rPr>
        <w:t>te</w:t>
      </w:r>
      <w:r>
        <w:rPr>
          <w:rFonts w:ascii="Arial" w:hAnsi="Arial" w:cs="Arial"/>
          <w:spacing w:val="-1"/>
          <w:sz w:val="24"/>
          <w:szCs w:val="24"/>
        </w:rPr>
        <w:t>c</w:t>
      </w:r>
      <w:r>
        <w:rPr>
          <w:rFonts w:ascii="Arial" w:hAnsi="Arial" w:cs="Arial"/>
          <w:sz w:val="24"/>
          <w:szCs w:val="24"/>
        </w:rPr>
        <w:t>hno</w:t>
      </w:r>
      <w:r>
        <w:rPr>
          <w:rFonts w:ascii="Arial" w:hAnsi="Arial" w:cs="Arial"/>
          <w:spacing w:val="1"/>
          <w:sz w:val="24"/>
          <w:szCs w:val="24"/>
        </w:rPr>
        <w:t>l</w:t>
      </w:r>
      <w:r>
        <w:rPr>
          <w:rFonts w:ascii="Arial" w:hAnsi="Arial" w:cs="Arial"/>
          <w:sz w:val="24"/>
          <w:szCs w:val="24"/>
        </w:rPr>
        <w:t>o</w:t>
      </w:r>
      <w:r>
        <w:rPr>
          <w:rFonts w:ascii="Arial" w:hAnsi="Arial" w:cs="Arial"/>
          <w:spacing w:val="-2"/>
          <w:sz w:val="24"/>
          <w:szCs w:val="24"/>
        </w:rPr>
        <w:t>g</w:t>
      </w:r>
      <w:r>
        <w:rPr>
          <w:rFonts w:ascii="Arial" w:hAnsi="Arial" w:cs="Arial"/>
          <w:spacing w:val="1"/>
          <w:sz w:val="24"/>
          <w:szCs w:val="24"/>
        </w:rPr>
        <w:t>i</w:t>
      </w:r>
      <w:r>
        <w:rPr>
          <w:rFonts w:ascii="Arial" w:hAnsi="Arial" w:cs="Arial"/>
          <w:spacing w:val="-2"/>
          <w:sz w:val="24"/>
          <w:szCs w:val="24"/>
        </w:rPr>
        <w:t>e</w:t>
      </w:r>
      <w:r>
        <w:rPr>
          <w:rFonts w:ascii="Arial" w:hAnsi="Arial" w:cs="Arial"/>
          <w:sz w:val="24"/>
          <w:szCs w:val="24"/>
        </w:rPr>
        <w:t>s</w:t>
      </w:r>
      <w:r>
        <w:rPr>
          <w:rFonts w:ascii="Arial" w:hAnsi="Arial" w:cs="Arial"/>
          <w:spacing w:val="-7"/>
          <w:sz w:val="24"/>
          <w:szCs w:val="24"/>
        </w:rPr>
        <w:t xml:space="preserve"> </w:t>
      </w:r>
      <w:r>
        <w:rPr>
          <w:rFonts w:ascii="Arial" w:hAnsi="Arial" w:cs="Arial"/>
          <w:sz w:val="24"/>
          <w:szCs w:val="24"/>
        </w:rPr>
        <w:t>et</w:t>
      </w:r>
      <w:r>
        <w:rPr>
          <w:rFonts w:ascii="Arial" w:hAnsi="Arial" w:cs="Arial"/>
          <w:spacing w:val="-1"/>
          <w:sz w:val="24"/>
          <w:szCs w:val="24"/>
        </w:rPr>
        <w:t xml:space="preserve"> de d</w:t>
      </w:r>
      <w:r>
        <w:rPr>
          <w:rFonts w:ascii="Arial" w:hAnsi="Arial" w:cs="Arial"/>
          <w:sz w:val="24"/>
          <w:szCs w:val="24"/>
        </w:rPr>
        <w:t>é</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ement</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c</w:t>
      </w:r>
      <w:r>
        <w:rPr>
          <w:rFonts w:ascii="Arial" w:hAnsi="Arial" w:cs="Arial"/>
          <w:spacing w:val="3"/>
          <w:sz w:val="24"/>
          <w:szCs w:val="24"/>
        </w:rPr>
        <w:t>t</w:t>
      </w:r>
      <w:r>
        <w:rPr>
          <w:rFonts w:ascii="Arial" w:hAnsi="Arial" w:cs="Arial"/>
          <w:spacing w:val="1"/>
          <w:sz w:val="24"/>
          <w:szCs w:val="24"/>
        </w:rPr>
        <w:t>ivi</w:t>
      </w:r>
      <w:r>
        <w:rPr>
          <w:rFonts w:ascii="Arial" w:hAnsi="Arial" w:cs="Arial"/>
          <w:sz w:val="24"/>
          <w:szCs w:val="24"/>
        </w:rPr>
        <w:t>tés</w:t>
      </w:r>
      <w:r>
        <w:rPr>
          <w:rFonts w:ascii="Arial" w:hAnsi="Arial" w:cs="Arial"/>
          <w:spacing w:val="-8"/>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ll</w:t>
      </w:r>
      <w:r>
        <w:rPr>
          <w:rFonts w:ascii="Arial" w:hAnsi="Arial" w:cs="Arial"/>
          <w:sz w:val="24"/>
          <w:szCs w:val="24"/>
        </w:rPr>
        <w:t>es</w:t>
      </w:r>
      <w:r>
        <w:rPr>
          <w:rFonts w:ascii="Arial" w:hAnsi="Arial" w:cs="Arial"/>
          <w:spacing w:val="-5"/>
          <w:sz w:val="24"/>
          <w:szCs w:val="24"/>
        </w:rPr>
        <w:t xml:space="preserve"> </w:t>
      </w:r>
      <w:r>
        <w:rPr>
          <w:rFonts w:ascii="Arial" w:hAnsi="Arial" w:cs="Arial"/>
          <w:sz w:val="24"/>
          <w:szCs w:val="24"/>
        </w:rPr>
        <w:t>et</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1"/>
          <w:sz w:val="24"/>
          <w:szCs w:val="24"/>
        </w:rPr>
        <w:t>rc</w:t>
      </w:r>
      <w:r>
        <w:rPr>
          <w:rFonts w:ascii="Arial" w:hAnsi="Arial" w:cs="Arial"/>
          <w:spacing w:val="1"/>
          <w:sz w:val="24"/>
          <w:szCs w:val="24"/>
        </w:rPr>
        <w:t>ial</w:t>
      </w:r>
      <w:r>
        <w:rPr>
          <w:rFonts w:ascii="Arial" w:hAnsi="Arial" w:cs="Arial"/>
          <w:sz w:val="24"/>
          <w:szCs w:val="24"/>
        </w:rPr>
        <w:t>e</w:t>
      </w:r>
      <w:r>
        <w:rPr>
          <w:rFonts w:ascii="Arial" w:hAnsi="Arial" w:cs="Arial"/>
          <w:spacing w:val="-1"/>
          <w:sz w:val="24"/>
          <w:szCs w:val="24"/>
        </w:rPr>
        <w:t>s dans les zones productrices</w:t>
      </w:r>
      <w:r>
        <w:rPr>
          <w:rFonts w:ascii="Arial" w:hAnsi="Arial" w:cs="Arial"/>
          <w:sz w:val="24"/>
          <w:szCs w:val="24"/>
        </w:rPr>
        <w:t xml:space="preserve">. Ainsi </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ot</w:t>
      </w:r>
      <w:r>
        <w:rPr>
          <w:rFonts w:ascii="Arial" w:hAnsi="Arial" w:cs="Arial"/>
          <w:spacing w:val="2"/>
          <w:sz w:val="24"/>
          <w:szCs w:val="24"/>
        </w:rPr>
        <w:t>o</w:t>
      </w:r>
      <w:r>
        <w:rPr>
          <w:rFonts w:ascii="Arial" w:hAnsi="Arial" w:cs="Arial"/>
          <w:sz w:val="24"/>
          <w:szCs w:val="24"/>
        </w:rPr>
        <w:t>n</w:t>
      </w:r>
      <w:r>
        <w:rPr>
          <w:rFonts w:ascii="Arial" w:hAnsi="Arial" w:cs="Arial"/>
          <w:spacing w:val="2"/>
          <w:sz w:val="24"/>
          <w:szCs w:val="24"/>
        </w:rPr>
        <w:t xml:space="preserve"> constitue p</w:t>
      </w:r>
      <w:r>
        <w:rPr>
          <w:rFonts w:ascii="Arial" w:hAnsi="Arial" w:cs="Arial"/>
          <w:sz w:val="24"/>
          <w:szCs w:val="24"/>
        </w:rPr>
        <w:t>our</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pacing w:val="-1"/>
          <w:sz w:val="24"/>
          <w:szCs w:val="24"/>
        </w:rPr>
        <w:t>s</w:t>
      </w:r>
      <w:r>
        <w:rPr>
          <w:rFonts w:ascii="Arial" w:hAnsi="Arial" w:cs="Arial"/>
          <w:sz w:val="24"/>
          <w:szCs w:val="24"/>
        </w:rPr>
        <w:t>,</w:t>
      </w:r>
      <w:r>
        <w:rPr>
          <w:rFonts w:ascii="Arial" w:hAnsi="Arial" w:cs="Arial"/>
          <w:spacing w:val="4"/>
          <w:sz w:val="24"/>
          <w:szCs w:val="24"/>
        </w:rPr>
        <w:t xml:space="preserve"> </w:t>
      </w:r>
      <w:r>
        <w:rPr>
          <w:rFonts w:ascii="Arial" w:hAnsi="Arial" w:cs="Arial"/>
          <w:sz w:val="24"/>
          <w:szCs w:val="24"/>
        </w:rPr>
        <w:t>un</w:t>
      </w:r>
      <w:r>
        <w:rPr>
          <w:rFonts w:ascii="Arial" w:hAnsi="Arial" w:cs="Arial"/>
          <w:spacing w:val="8"/>
          <w:sz w:val="24"/>
          <w:szCs w:val="24"/>
        </w:rPr>
        <w:t xml:space="preserve"> </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abl</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3"/>
          <w:sz w:val="24"/>
          <w:szCs w:val="24"/>
        </w:rPr>
        <w:t>s</w:t>
      </w:r>
      <w:r>
        <w:rPr>
          <w:rFonts w:ascii="Arial" w:hAnsi="Arial" w:cs="Arial"/>
          <w:sz w:val="24"/>
          <w:szCs w:val="24"/>
        </w:rPr>
        <w:t>t</w:t>
      </w:r>
      <w:r>
        <w:rPr>
          <w:rFonts w:ascii="Arial" w:hAnsi="Arial" w:cs="Arial"/>
          <w:spacing w:val="-1"/>
          <w:sz w:val="24"/>
          <w:szCs w:val="24"/>
        </w:rPr>
        <w:t>r</w:t>
      </w:r>
      <w:r>
        <w:rPr>
          <w:rFonts w:ascii="Arial" w:hAnsi="Arial" w:cs="Arial"/>
          <w:sz w:val="24"/>
          <w:szCs w:val="24"/>
        </w:rPr>
        <w:t xml:space="preserve">ument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utte</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v</w:t>
      </w:r>
      <w:r>
        <w:rPr>
          <w:rFonts w:ascii="Arial" w:hAnsi="Arial" w:cs="Arial"/>
          <w:spacing w:val="-1"/>
          <w:sz w:val="24"/>
          <w:szCs w:val="24"/>
        </w:rPr>
        <w:t>r</w:t>
      </w:r>
      <w:r>
        <w:rPr>
          <w:rFonts w:ascii="Arial" w:hAnsi="Arial" w:cs="Arial"/>
          <w:sz w:val="24"/>
          <w:szCs w:val="24"/>
        </w:rPr>
        <w:t>eté et</w:t>
      </w:r>
      <w:r>
        <w:rPr>
          <w:rFonts w:ascii="Arial" w:hAnsi="Arial" w:cs="Arial"/>
          <w:spacing w:val="-1"/>
          <w:sz w:val="24"/>
          <w:szCs w:val="24"/>
        </w:rPr>
        <w:t xml:space="preserve"> c</w:t>
      </w:r>
      <w:r>
        <w:rPr>
          <w:rFonts w:ascii="Arial" w:hAnsi="Arial" w:cs="Arial"/>
          <w:sz w:val="24"/>
          <w:szCs w:val="24"/>
        </w:rPr>
        <w:t>e</w:t>
      </w:r>
      <w:r>
        <w:rPr>
          <w:rFonts w:ascii="Arial" w:hAnsi="Arial" w:cs="Arial"/>
          <w:spacing w:val="-1"/>
          <w:sz w:val="24"/>
          <w:szCs w:val="24"/>
        </w:rPr>
        <w:t>c</w:t>
      </w:r>
      <w:r>
        <w:rPr>
          <w:rFonts w:ascii="Arial" w:hAnsi="Arial" w:cs="Arial"/>
          <w:sz w:val="24"/>
          <w:szCs w:val="24"/>
        </w:rPr>
        <w:t>i</w:t>
      </w:r>
      <w:r>
        <w:rPr>
          <w:rFonts w:ascii="Arial" w:hAnsi="Arial" w:cs="Arial"/>
          <w:spacing w:val="1"/>
          <w:sz w:val="24"/>
          <w:szCs w:val="24"/>
        </w:rPr>
        <w:t xml:space="preserve"> </w:t>
      </w:r>
      <w:r>
        <w:rPr>
          <w:rFonts w:ascii="Arial" w:hAnsi="Arial" w:cs="Arial"/>
          <w:spacing w:val="-1"/>
          <w:sz w:val="24"/>
          <w:szCs w:val="24"/>
        </w:rPr>
        <w:t>p</w:t>
      </w:r>
      <w:r>
        <w:rPr>
          <w:rFonts w:ascii="Arial" w:hAnsi="Arial" w:cs="Arial"/>
          <w:sz w:val="24"/>
          <w:szCs w:val="24"/>
        </w:rPr>
        <w:t>our</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eu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r</w:t>
      </w:r>
      <w:r>
        <w:rPr>
          <w:rFonts w:ascii="Arial" w:hAnsi="Arial" w:cs="Arial"/>
          <w:spacing w:val="1"/>
          <w:sz w:val="24"/>
          <w:szCs w:val="24"/>
        </w:rPr>
        <w:t>ai</w:t>
      </w:r>
      <w:r>
        <w:rPr>
          <w:rFonts w:ascii="Arial" w:hAnsi="Arial" w:cs="Arial"/>
          <w:spacing w:val="-1"/>
          <w:sz w:val="24"/>
          <w:szCs w:val="24"/>
        </w:rPr>
        <w:t>s</w:t>
      </w:r>
      <w:r>
        <w:rPr>
          <w:rFonts w:ascii="Arial" w:hAnsi="Arial" w:cs="Arial"/>
          <w:sz w:val="24"/>
          <w:szCs w:val="24"/>
        </w:rPr>
        <w:t>ons : en t</w:t>
      </w:r>
      <w:r>
        <w:rPr>
          <w:rFonts w:ascii="Arial" w:hAnsi="Arial" w:cs="Arial"/>
          <w:spacing w:val="1"/>
          <w:sz w:val="24"/>
          <w:szCs w:val="24"/>
        </w:rPr>
        <w:t>a</w:t>
      </w:r>
      <w:r>
        <w:rPr>
          <w:rFonts w:ascii="Arial" w:hAnsi="Arial" w:cs="Arial"/>
          <w:sz w:val="24"/>
          <w:szCs w:val="24"/>
        </w:rPr>
        <w:t>nt</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w:t>
      </w:r>
      <w:r>
        <w:rPr>
          <w:rFonts w:ascii="Arial" w:hAnsi="Arial" w:cs="Arial"/>
          <w:sz w:val="24"/>
          <w:szCs w:val="24"/>
        </w:rPr>
        <w:t>tu</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0"/>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z w:val="24"/>
          <w:szCs w:val="24"/>
        </w:rPr>
        <w:t>o</w:t>
      </w:r>
      <w:r>
        <w:rPr>
          <w:rFonts w:ascii="Arial" w:hAnsi="Arial" w:cs="Arial"/>
          <w:spacing w:val="-1"/>
          <w:sz w:val="24"/>
          <w:szCs w:val="24"/>
        </w:rPr>
        <w:t>ffr</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un</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v</w:t>
      </w:r>
      <w:r>
        <w:rPr>
          <w:rFonts w:ascii="Arial" w:hAnsi="Arial" w:cs="Arial"/>
          <w:sz w:val="24"/>
          <w:szCs w:val="24"/>
        </w:rPr>
        <w:t>enu</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ux</w:t>
      </w:r>
      <w:r>
        <w:rPr>
          <w:rFonts w:ascii="Arial" w:hAnsi="Arial" w:cs="Arial"/>
          <w:spacing w:val="-1"/>
          <w:sz w:val="24"/>
          <w:szCs w:val="24"/>
        </w:rPr>
        <w:t xml:space="preserve"> </w:t>
      </w:r>
      <w:r>
        <w:rPr>
          <w:rFonts w:ascii="Arial" w:hAnsi="Arial" w:cs="Arial"/>
          <w:spacing w:val="1"/>
          <w:sz w:val="24"/>
          <w:szCs w:val="24"/>
        </w:rPr>
        <w:t>a</w:t>
      </w:r>
      <w:r>
        <w:rPr>
          <w:rFonts w:ascii="Arial" w:hAnsi="Arial" w:cs="Arial"/>
          <w:spacing w:val="-2"/>
          <w:sz w:val="24"/>
          <w:szCs w:val="24"/>
        </w:rPr>
        <w:t>g</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w:t>
      </w:r>
      <w:r>
        <w:rPr>
          <w:rFonts w:ascii="Arial" w:hAnsi="Arial" w:cs="Arial"/>
          <w:sz w:val="24"/>
          <w:szCs w:val="24"/>
        </w:rPr>
        <w:t>teu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z w:val="24"/>
          <w:szCs w:val="24"/>
        </w:rPr>
        <w:t>zones</w:t>
      </w:r>
      <w:r>
        <w:rPr>
          <w:rFonts w:ascii="Arial" w:hAnsi="Arial" w:cs="Arial"/>
          <w:spacing w:val="6"/>
          <w:sz w:val="24"/>
          <w:szCs w:val="24"/>
        </w:rPr>
        <w:t xml:space="preserve"> </w:t>
      </w:r>
      <w:r>
        <w:rPr>
          <w:rFonts w:ascii="Arial" w:hAnsi="Arial" w:cs="Arial"/>
          <w:sz w:val="24"/>
          <w:szCs w:val="24"/>
        </w:rPr>
        <w:t>où</w:t>
      </w:r>
      <w:r>
        <w:rPr>
          <w:rFonts w:ascii="Arial" w:hAnsi="Arial" w:cs="Arial"/>
          <w:spacing w:val="10"/>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ss</w:t>
      </w:r>
      <w:r>
        <w:rPr>
          <w:rFonts w:ascii="Arial" w:hAnsi="Arial" w:cs="Arial"/>
          <w:spacing w:val="1"/>
          <w:sz w:val="24"/>
          <w:szCs w:val="24"/>
        </w:rPr>
        <w:t>ibili</w:t>
      </w:r>
      <w:r>
        <w:rPr>
          <w:rFonts w:ascii="Arial" w:hAnsi="Arial" w:cs="Arial"/>
          <w:sz w:val="24"/>
          <w:szCs w:val="24"/>
        </w:rPr>
        <w:t>tés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 xml:space="preserve">er </w:t>
      </w:r>
      <w:r>
        <w:rPr>
          <w:rFonts w:ascii="Arial" w:hAnsi="Arial" w:cs="Arial"/>
          <w:spacing w:val="-1"/>
          <w:sz w:val="24"/>
          <w:szCs w:val="24"/>
        </w:rPr>
        <w:t>d</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c</w:t>
      </w:r>
      <w:r>
        <w:rPr>
          <w:rFonts w:ascii="Arial" w:hAnsi="Arial" w:cs="Arial"/>
          <w:spacing w:val="2"/>
          <w:sz w:val="24"/>
          <w:szCs w:val="24"/>
        </w:rPr>
        <w:t>u</w:t>
      </w:r>
      <w:r>
        <w:rPr>
          <w:rFonts w:ascii="Arial" w:hAnsi="Arial" w:cs="Arial"/>
          <w:spacing w:val="1"/>
          <w:sz w:val="24"/>
          <w:szCs w:val="24"/>
        </w:rPr>
        <w:t>l</w:t>
      </w:r>
      <w:r>
        <w:rPr>
          <w:rFonts w:ascii="Arial" w:hAnsi="Arial" w:cs="Arial"/>
          <w:sz w:val="24"/>
          <w:szCs w:val="24"/>
        </w:rPr>
        <w:t>tu</w:t>
      </w:r>
      <w:r>
        <w:rPr>
          <w:rFonts w:ascii="Arial" w:hAnsi="Arial" w:cs="Arial"/>
          <w:spacing w:val="-1"/>
          <w:sz w:val="24"/>
          <w:szCs w:val="24"/>
        </w:rPr>
        <w:t>r</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r</w:t>
      </w:r>
      <w:r>
        <w:rPr>
          <w:rFonts w:ascii="Arial" w:hAnsi="Arial" w:cs="Arial"/>
          <w:sz w:val="24"/>
          <w:szCs w:val="24"/>
        </w:rPr>
        <w:t>ent</w:t>
      </w:r>
      <w:r>
        <w:rPr>
          <w:rFonts w:ascii="Arial" w:hAnsi="Arial" w:cs="Arial"/>
          <w:spacing w:val="2"/>
          <w:sz w:val="24"/>
          <w:szCs w:val="24"/>
        </w:rPr>
        <w:t>e</w:t>
      </w:r>
      <w:r>
        <w:rPr>
          <w:rFonts w:ascii="Arial" w:hAnsi="Arial" w:cs="Arial"/>
          <w:sz w:val="24"/>
          <w:szCs w:val="24"/>
        </w:rPr>
        <w:t xml:space="preserve">s </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rf</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m</w:t>
      </w:r>
      <w:r>
        <w:rPr>
          <w:rFonts w:ascii="Arial" w:hAnsi="Arial" w:cs="Arial"/>
          <w:spacing w:val="1"/>
          <w:sz w:val="24"/>
          <w:szCs w:val="24"/>
        </w:rPr>
        <w:t>a</w:t>
      </w:r>
      <w:r>
        <w:rPr>
          <w:rFonts w:ascii="Arial" w:hAnsi="Arial" w:cs="Arial"/>
          <w:sz w:val="24"/>
          <w:szCs w:val="24"/>
        </w:rPr>
        <w:t>ntes</w:t>
      </w:r>
      <w:r>
        <w:rPr>
          <w:rFonts w:ascii="Arial" w:hAnsi="Arial" w:cs="Arial"/>
          <w:spacing w:val="-10"/>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1"/>
          <w:sz w:val="24"/>
          <w:szCs w:val="24"/>
        </w:rPr>
        <w:t xml:space="preserve"> </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z w:val="24"/>
          <w:szCs w:val="24"/>
        </w:rPr>
        <w:t xml:space="preserve">tées ; </w:t>
      </w:r>
      <w:r>
        <w:rPr>
          <w:rFonts w:ascii="Arial" w:hAnsi="Arial" w:cs="Arial"/>
          <w:spacing w:val="1"/>
          <w:sz w:val="24"/>
          <w:szCs w:val="24"/>
        </w:rPr>
        <w:t>l</w:t>
      </w:r>
      <w:r>
        <w:rPr>
          <w:rFonts w:ascii="Arial" w:hAnsi="Arial" w:cs="Arial"/>
          <w:sz w:val="24"/>
          <w:szCs w:val="24"/>
        </w:rPr>
        <w:t xml:space="preserve">es </w:t>
      </w:r>
      <w:r>
        <w:rPr>
          <w:rFonts w:ascii="Arial" w:hAnsi="Arial" w:cs="Arial"/>
          <w:spacing w:val="3"/>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v</w:t>
      </w:r>
      <w:r>
        <w:rPr>
          <w:rFonts w:ascii="Arial" w:hAnsi="Arial" w:cs="Arial"/>
          <w:sz w:val="24"/>
          <w:szCs w:val="24"/>
        </w:rPr>
        <w:t>enus</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 xml:space="preserve">és </w:t>
      </w:r>
      <w:r>
        <w:rPr>
          <w:rFonts w:ascii="Arial" w:hAnsi="Arial" w:cs="Arial"/>
          <w:spacing w:val="-1"/>
          <w:sz w:val="24"/>
          <w:szCs w:val="24"/>
        </w:rPr>
        <w:t>d</w:t>
      </w:r>
      <w:r>
        <w:rPr>
          <w:rFonts w:ascii="Arial" w:hAnsi="Arial" w:cs="Arial"/>
          <w:sz w:val="24"/>
          <w:szCs w:val="24"/>
        </w:rPr>
        <w:t xml:space="preserve">u </w:t>
      </w:r>
      <w:r>
        <w:rPr>
          <w:rFonts w:ascii="Arial" w:hAnsi="Arial" w:cs="Arial"/>
          <w:spacing w:val="-1"/>
          <w:sz w:val="24"/>
          <w:szCs w:val="24"/>
        </w:rPr>
        <w:t>c</w:t>
      </w:r>
      <w:r>
        <w:rPr>
          <w:rFonts w:ascii="Arial" w:hAnsi="Arial" w:cs="Arial"/>
          <w:sz w:val="24"/>
          <w:szCs w:val="24"/>
        </w:rPr>
        <w:t>oton ont</w:t>
      </w:r>
      <w:r>
        <w:rPr>
          <w:rFonts w:ascii="Arial" w:hAnsi="Arial" w:cs="Arial"/>
          <w:spacing w:val="4"/>
          <w:sz w:val="24"/>
          <w:szCs w:val="24"/>
        </w:rPr>
        <w:t xml:space="preserve"> </w:t>
      </w:r>
      <w:r>
        <w:rPr>
          <w:rFonts w:ascii="Arial" w:hAnsi="Arial" w:cs="Arial"/>
          <w:sz w:val="24"/>
          <w:szCs w:val="24"/>
        </w:rPr>
        <w:t>é</w:t>
      </w:r>
      <w:r>
        <w:rPr>
          <w:rFonts w:ascii="Arial" w:hAnsi="Arial" w:cs="Arial"/>
          <w:spacing w:val="1"/>
          <w:sz w:val="24"/>
          <w:szCs w:val="24"/>
        </w:rPr>
        <w:t>gal</w:t>
      </w:r>
      <w:r>
        <w:rPr>
          <w:rFonts w:ascii="Arial" w:hAnsi="Arial" w:cs="Arial"/>
          <w:sz w:val="24"/>
          <w:szCs w:val="24"/>
        </w:rPr>
        <w:t>ement</w:t>
      </w:r>
      <w:r>
        <w:rPr>
          <w:rFonts w:ascii="Arial" w:hAnsi="Arial" w:cs="Arial"/>
          <w:spacing w:val="63"/>
          <w:sz w:val="24"/>
          <w:szCs w:val="24"/>
        </w:rPr>
        <w:t xml:space="preserve"> </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w:t>
      </w:r>
      <w:r>
        <w:rPr>
          <w:rFonts w:ascii="Arial" w:hAnsi="Arial" w:cs="Arial"/>
          <w:sz w:val="24"/>
          <w:szCs w:val="24"/>
        </w:rPr>
        <w:t>m</w:t>
      </w:r>
      <w:r>
        <w:rPr>
          <w:rFonts w:ascii="Arial" w:hAnsi="Arial" w:cs="Arial"/>
          <w:spacing w:val="1"/>
          <w:sz w:val="24"/>
          <w:szCs w:val="24"/>
        </w:rPr>
        <w:t>i</w:t>
      </w:r>
      <w:r>
        <w:rPr>
          <w:rFonts w:ascii="Arial" w:hAnsi="Arial" w:cs="Arial"/>
          <w:sz w:val="24"/>
          <w:szCs w:val="24"/>
        </w:rPr>
        <w:t xml:space="preserve">s </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ement</w:t>
      </w:r>
      <w:r>
        <w:rPr>
          <w:rFonts w:ascii="Arial" w:hAnsi="Arial" w:cs="Arial"/>
          <w:spacing w:val="58"/>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fr</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z w:val="24"/>
          <w:szCs w:val="24"/>
        </w:rPr>
        <w:t>u</w:t>
      </w:r>
      <w:r>
        <w:rPr>
          <w:rFonts w:ascii="Arial" w:hAnsi="Arial" w:cs="Arial"/>
          <w:spacing w:val="-1"/>
          <w:sz w:val="24"/>
          <w:szCs w:val="24"/>
        </w:rPr>
        <w:t>c</w:t>
      </w:r>
      <w:r>
        <w:rPr>
          <w:rFonts w:ascii="Arial" w:hAnsi="Arial" w:cs="Arial"/>
          <w:sz w:val="24"/>
          <w:szCs w:val="24"/>
        </w:rPr>
        <w:t>tu</w:t>
      </w:r>
      <w:r>
        <w:rPr>
          <w:rFonts w:ascii="Arial" w:hAnsi="Arial" w:cs="Arial"/>
          <w:spacing w:val="-1"/>
          <w:sz w:val="24"/>
          <w:szCs w:val="24"/>
        </w:rPr>
        <w:t>r</w:t>
      </w:r>
      <w:r>
        <w:rPr>
          <w:rFonts w:ascii="Arial" w:hAnsi="Arial" w:cs="Arial"/>
          <w:spacing w:val="2"/>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p</w:t>
      </w:r>
      <w:r>
        <w:rPr>
          <w:rFonts w:ascii="Arial" w:hAnsi="Arial" w:cs="Arial"/>
          <w:sz w:val="24"/>
          <w:szCs w:val="24"/>
        </w:rPr>
        <w:t>h</w:t>
      </w:r>
      <w:r>
        <w:rPr>
          <w:rFonts w:ascii="Arial" w:hAnsi="Arial" w:cs="Arial"/>
          <w:spacing w:val="1"/>
          <w:sz w:val="24"/>
          <w:szCs w:val="24"/>
        </w:rPr>
        <w:t>y</w:t>
      </w:r>
      <w:r>
        <w:rPr>
          <w:rFonts w:ascii="Arial" w:hAnsi="Arial" w:cs="Arial"/>
          <w:spacing w:val="-1"/>
          <w:sz w:val="24"/>
          <w:szCs w:val="24"/>
        </w:rPr>
        <w:t>s</w:t>
      </w:r>
      <w:r>
        <w:rPr>
          <w:rFonts w:ascii="Arial" w:hAnsi="Arial" w:cs="Arial"/>
          <w:spacing w:val="1"/>
          <w:sz w:val="24"/>
          <w:szCs w:val="24"/>
        </w:rPr>
        <w:t>iq</w:t>
      </w:r>
      <w:r>
        <w:rPr>
          <w:rFonts w:ascii="Arial" w:hAnsi="Arial" w:cs="Arial"/>
          <w:sz w:val="24"/>
          <w:szCs w:val="24"/>
        </w:rPr>
        <w:t>ues</w:t>
      </w:r>
      <w:r>
        <w:rPr>
          <w:rFonts w:ascii="Arial" w:hAnsi="Arial" w:cs="Arial"/>
          <w:spacing w:val="-5"/>
          <w:sz w:val="24"/>
          <w:szCs w:val="24"/>
        </w:rPr>
        <w:t xml:space="preserve"> </w:t>
      </w:r>
      <w:r>
        <w:rPr>
          <w:rFonts w:ascii="Arial" w:hAnsi="Arial" w:cs="Arial"/>
          <w:sz w:val="24"/>
          <w:szCs w:val="24"/>
        </w:rPr>
        <w:t>et</w:t>
      </w:r>
      <w:r>
        <w:rPr>
          <w:rFonts w:ascii="Arial" w:hAnsi="Arial" w:cs="Arial"/>
          <w:spacing w:val="-1"/>
          <w:sz w:val="24"/>
          <w:szCs w:val="24"/>
        </w:rPr>
        <w:t xml:space="preserve"> 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ial</w:t>
      </w:r>
      <w:r>
        <w:rPr>
          <w:rFonts w:ascii="Arial" w:hAnsi="Arial" w:cs="Arial"/>
          <w:sz w:val="24"/>
          <w:szCs w:val="24"/>
        </w:rPr>
        <w:t xml:space="preserve">es ; </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3"/>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s</w:t>
      </w:r>
      <w:r>
        <w:rPr>
          <w:rFonts w:ascii="Arial" w:hAnsi="Arial" w:cs="Arial"/>
          <w:sz w:val="24"/>
          <w:szCs w:val="24"/>
        </w:rPr>
        <w:t>ou</w:t>
      </w:r>
      <w:r>
        <w:rPr>
          <w:rFonts w:ascii="Arial" w:hAnsi="Arial" w:cs="Arial"/>
          <w:spacing w:val="1"/>
          <w:sz w:val="24"/>
          <w:szCs w:val="24"/>
        </w:rPr>
        <w:t>v</w:t>
      </w:r>
      <w:r>
        <w:rPr>
          <w:rFonts w:ascii="Arial" w:hAnsi="Arial" w:cs="Arial"/>
          <w:sz w:val="24"/>
          <w:szCs w:val="24"/>
        </w:rPr>
        <w:t>ent</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ss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é</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ux</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w:t>
      </w:r>
      <w:r>
        <w:rPr>
          <w:rFonts w:ascii="Arial" w:hAnsi="Arial" w:cs="Arial"/>
          <w:sz w:val="24"/>
          <w:szCs w:val="24"/>
        </w:rPr>
        <w:t>tu</w:t>
      </w:r>
      <w:r>
        <w:rPr>
          <w:rFonts w:ascii="Arial" w:hAnsi="Arial" w:cs="Arial"/>
          <w:spacing w:val="-1"/>
          <w:sz w:val="24"/>
          <w:szCs w:val="24"/>
        </w:rPr>
        <w:t>r</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viv</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es te</w:t>
      </w:r>
      <w:r>
        <w:rPr>
          <w:rFonts w:ascii="Arial" w:hAnsi="Arial" w:cs="Arial"/>
          <w:spacing w:val="1"/>
          <w:sz w:val="24"/>
          <w:szCs w:val="24"/>
        </w:rPr>
        <w:t>l que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2"/>
          <w:sz w:val="24"/>
          <w:szCs w:val="24"/>
        </w:rPr>
        <w:t>m</w:t>
      </w:r>
      <w:r>
        <w:rPr>
          <w:rFonts w:ascii="Arial" w:hAnsi="Arial" w:cs="Arial"/>
          <w:spacing w:val="1"/>
          <w:sz w:val="24"/>
          <w:szCs w:val="24"/>
        </w:rPr>
        <w:t>a</w:t>
      </w:r>
      <w:r>
        <w:rPr>
          <w:rFonts w:ascii="Arial" w:hAnsi="Arial" w:cs="Arial"/>
          <w:spacing w:val="-1"/>
          <w:sz w:val="24"/>
          <w:szCs w:val="24"/>
        </w:rPr>
        <w:t>ïs</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en</w:t>
      </w:r>
      <w:r>
        <w:rPr>
          <w:rFonts w:ascii="Arial" w:hAnsi="Arial" w:cs="Arial"/>
          <w:spacing w:val="5"/>
          <w:sz w:val="24"/>
          <w:szCs w:val="24"/>
        </w:rPr>
        <w:t xml:space="preserve"> </w:t>
      </w:r>
      <w:r>
        <w:rPr>
          <w:rFonts w:ascii="Arial" w:hAnsi="Arial" w:cs="Arial"/>
          <w:spacing w:val="-1"/>
          <w:sz w:val="24"/>
          <w:szCs w:val="24"/>
        </w:rPr>
        <w:t>s</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 xml:space="preserve">tème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r</w:t>
      </w:r>
      <w:r>
        <w:rPr>
          <w:rFonts w:ascii="Arial" w:hAnsi="Arial" w:cs="Arial"/>
          <w:sz w:val="24"/>
          <w:szCs w:val="24"/>
        </w:rPr>
        <w:t>ot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62"/>
          <w:sz w:val="24"/>
          <w:szCs w:val="24"/>
        </w:rPr>
        <w:t xml:space="preserve"> </w:t>
      </w:r>
      <w:r>
        <w:rPr>
          <w:rFonts w:ascii="Arial" w:hAnsi="Arial" w:cs="Arial"/>
          <w:sz w:val="24"/>
          <w:szCs w:val="24"/>
        </w:rPr>
        <w:t>en zone</w:t>
      </w:r>
      <w:r>
        <w:rPr>
          <w:rFonts w:ascii="Arial" w:hAnsi="Arial" w:cs="Arial"/>
          <w:spacing w:val="-1"/>
          <w:sz w:val="24"/>
          <w:szCs w:val="24"/>
        </w:rPr>
        <w:t xml:space="preserve"> 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ava</w:t>
      </w:r>
      <w:r>
        <w:rPr>
          <w:rFonts w:ascii="Arial" w:hAnsi="Arial" w:cs="Arial"/>
          <w:sz w:val="24"/>
          <w:szCs w:val="24"/>
        </w:rPr>
        <w:t>ne</w:t>
      </w:r>
      <w:r>
        <w:rPr>
          <w:rFonts w:ascii="Arial" w:hAnsi="Arial" w:cs="Arial"/>
          <w:spacing w:val="-7"/>
          <w:sz w:val="24"/>
          <w:szCs w:val="24"/>
        </w:rPr>
        <w:t xml:space="preserve"> </w:t>
      </w:r>
      <w:r>
        <w:rPr>
          <w:rFonts w:ascii="Arial" w:hAnsi="Arial" w:cs="Arial"/>
          <w:spacing w:val="1"/>
          <w:sz w:val="24"/>
          <w:szCs w:val="24"/>
        </w:rPr>
        <w:t>li</w:t>
      </w:r>
      <w:r>
        <w:rPr>
          <w:rFonts w:ascii="Arial" w:hAnsi="Arial" w:cs="Arial"/>
          <w:spacing w:val="-2"/>
          <w:sz w:val="24"/>
          <w:szCs w:val="24"/>
        </w:rPr>
        <w:t>m</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a</w:t>
      </w:r>
      <w:r>
        <w:rPr>
          <w:rFonts w:ascii="Arial" w:hAnsi="Arial" w:cs="Arial"/>
          <w:sz w:val="24"/>
          <w:szCs w:val="24"/>
        </w:rPr>
        <w:t>nt</w:t>
      </w:r>
      <w:r>
        <w:rPr>
          <w:rFonts w:ascii="Arial" w:hAnsi="Arial" w:cs="Arial"/>
          <w:spacing w:val="-6"/>
          <w:sz w:val="24"/>
          <w:szCs w:val="24"/>
        </w:rPr>
        <w:t xml:space="preserve"> </w:t>
      </w:r>
      <w:r>
        <w:rPr>
          <w:rFonts w:ascii="Arial" w:hAnsi="Arial" w:cs="Arial"/>
          <w:spacing w:val="1"/>
          <w:sz w:val="24"/>
          <w:szCs w:val="24"/>
        </w:rPr>
        <w:t>ai</w:t>
      </w:r>
      <w:r>
        <w:rPr>
          <w:rFonts w:ascii="Arial" w:hAnsi="Arial" w:cs="Arial"/>
          <w:spacing w:val="-2"/>
          <w:sz w:val="24"/>
          <w:szCs w:val="24"/>
        </w:rPr>
        <w:t>n</w:t>
      </w:r>
      <w:r>
        <w:rPr>
          <w:rFonts w:ascii="Arial" w:hAnsi="Arial" w:cs="Arial"/>
          <w:spacing w:val="-1"/>
          <w:sz w:val="24"/>
          <w:szCs w:val="24"/>
        </w:rPr>
        <w:t>s</w:t>
      </w:r>
      <w:r>
        <w:rPr>
          <w:rFonts w:ascii="Arial" w:hAnsi="Arial" w:cs="Arial"/>
          <w:sz w:val="24"/>
          <w:szCs w:val="24"/>
        </w:rPr>
        <w:t>i</w:t>
      </w:r>
      <w:r>
        <w:rPr>
          <w:rFonts w:ascii="Arial" w:hAnsi="Arial" w:cs="Arial"/>
          <w:spacing w:val="1"/>
          <w:sz w:val="24"/>
          <w:szCs w:val="24"/>
        </w:rPr>
        <w:t xml:space="preserve"> 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s</w:t>
      </w:r>
      <w:r>
        <w:rPr>
          <w:rFonts w:ascii="Arial" w:hAnsi="Arial" w:cs="Arial"/>
          <w:sz w:val="24"/>
          <w:szCs w:val="24"/>
        </w:rPr>
        <w:t>é</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té</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men</w:t>
      </w:r>
      <w:r>
        <w:rPr>
          <w:rFonts w:ascii="Arial" w:hAnsi="Arial" w:cs="Arial"/>
          <w:spacing w:val="-2"/>
          <w:sz w:val="24"/>
          <w:szCs w:val="24"/>
        </w:rPr>
        <w:t>t</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 xml:space="preserve">; et </w:t>
      </w:r>
      <w:r>
        <w:rPr>
          <w:rFonts w:ascii="Arial" w:hAnsi="Arial" w:cs="Arial"/>
          <w:spacing w:val="1"/>
          <w:position w:val="-1"/>
          <w:sz w:val="24"/>
          <w:szCs w:val="24"/>
        </w:rPr>
        <w:t>l</w:t>
      </w:r>
      <w:r>
        <w:rPr>
          <w:rFonts w:ascii="Arial" w:hAnsi="Arial" w:cs="Arial"/>
          <w:position w:val="-1"/>
          <w:sz w:val="24"/>
          <w:szCs w:val="24"/>
        </w:rPr>
        <w:t>a</w:t>
      </w:r>
      <w:r>
        <w:rPr>
          <w:rFonts w:ascii="Arial" w:hAnsi="Arial" w:cs="Arial"/>
          <w:spacing w:val="6"/>
          <w:position w:val="-1"/>
          <w:sz w:val="24"/>
          <w:szCs w:val="24"/>
        </w:rPr>
        <w:t xml:space="preserve"> </w:t>
      </w:r>
      <w:r>
        <w:rPr>
          <w:rFonts w:ascii="Arial" w:hAnsi="Arial" w:cs="Arial"/>
          <w:spacing w:val="-1"/>
          <w:position w:val="-1"/>
          <w:sz w:val="24"/>
          <w:szCs w:val="24"/>
        </w:rPr>
        <w:t>f</w:t>
      </w:r>
      <w:r>
        <w:rPr>
          <w:rFonts w:ascii="Arial" w:hAnsi="Arial" w:cs="Arial"/>
          <w:spacing w:val="1"/>
          <w:position w:val="-1"/>
          <w:sz w:val="24"/>
          <w:szCs w:val="24"/>
        </w:rPr>
        <w:t>ili</w:t>
      </w:r>
      <w:r>
        <w:rPr>
          <w:rFonts w:ascii="Arial" w:hAnsi="Arial" w:cs="Arial"/>
          <w:position w:val="-1"/>
          <w:sz w:val="24"/>
          <w:szCs w:val="24"/>
        </w:rPr>
        <w:t>è</w:t>
      </w:r>
      <w:r>
        <w:rPr>
          <w:rFonts w:ascii="Arial" w:hAnsi="Arial" w:cs="Arial"/>
          <w:spacing w:val="-1"/>
          <w:position w:val="-1"/>
          <w:sz w:val="24"/>
          <w:szCs w:val="24"/>
        </w:rPr>
        <w:t>r</w:t>
      </w:r>
      <w:r>
        <w:rPr>
          <w:rFonts w:ascii="Arial" w:hAnsi="Arial" w:cs="Arial"/>
          <w:position w:val="-1"/>
          <w:sz w:val="24"/>
          <w:szCs w:val="24"/>
        </w:rPr>
        <w:t>e</w:t>
      </w:r>
      <w:r>
        <w:rPr>
          <w:rFonts w:ascii="Arial" w:hAnsi="Arial" w:cs="Arial"/>
          <w:spacing w:val="3"/>
          <w:position w:val="-1"/>
          <w:sz w:val="24"/>
          <w:szCs w:val="24"/>
        </w:rPr>
        <w:t xml:space="preserve"> </w:t>
      </w:r>
      <w:r>
        <w:rPr>
          <w:rFonts w:ascii="Arial" w:hAnsi="Arial" w:cs="Arial"/>
          <w:spacing w:val="-1"/>
          <w:position w:val="-1"/>
          <w:sz w:val="24"/>
          <w:szCs w:val="24"/>
        </w:rPr>
        <w:t>c</w:t>
      </w:r>
      <w:r>
        <w:rPr>
          <w:rFonts w:ascii="Arial" w:hAnsi="Arial" w:cs="Arial"/>
          <w:position w:val="-1"/>
          <w:sz w:val="24"/>
          <w:szCs w:val="24"/>
        </w:rPr>
        <w:t>oton</w:t>
      </w:r>
      <w:r>
        <w:rPr>
          <w:rFonts w:ascii="Arial" w:hAnsi="Arial" w:cs="Arial"/>
          <w:spacing w:val="2"/>
          <w:position w:val="-1"/>
          <w:sz w:val="24"/>
          <w:szCs w:val="24"/>
        </w:rPr>
        <w:t xml:space="preserve"> </w:t>
      </w:r>
      <w:r>
        <w:rPr>
          <w:rFonts w:ascii="Arial" w:hAnsi="Arial" w:cs="Arial"/>
          <w:position w:val="-1"/>
          <w:sz w:val="24"/>
          <w:szCs w:val="24"/>
        </w:rPr>
        <w:t>e</w:t>
      </w:r>
      <w:r>
        <w:rPr>
          <w:rFonts w:ascii="Arial" w:hAnsi="Arial" w:cs="Arial"/>
          <w:spacing w:val="-1"/>
          <w:position w:val="-1"/>
          <w:sz w:val="24"/>
          <w:szCs w:val="24"/>
        </w:rPr>
        <w:t>s</w:t>
      </w:r>
      <w:r>
        <w:rPr>
          <w:rFonts w:ascii="Arial" w:hAnsi="Arial" w:cs="Arial"/>
          <w:position w:val="-1"/>
          <w:sz w:val="24"/>
          <w:szCs w:val="24"/>
        </w:rPr>
        <w:t>t</w:t>
      </w:r>
      <w:r>
        <w:rPr>
          <w:rFonts w:ascii="Arial" w:hAnsi="Arial" w:cs="Arial"/>
          <w:spacing w:val="4"/>
          <w:position w:val="-1"/>
          <w:sz w:val="24"/>
          <w:szCs w:val="24"/>
        </w:rPr>
        <w:t xml:space="preserve"> </w:t>
      </w:r>
      <w:r>
        <w:rPr>
          <w:rFonts w:ascii="Arial" w:hAnsi="Arial" w:cs="Arial"/>
          <w:spacing w:val="-1"/>
          <w:position w:val="-1"/>
          <w:sz w:val="24"/>
          <w:szCs w:val="24"/>
        </w:rPr>
        <w:t>c</w:t>
      </w:r>
      <w:r>
        <w:rPr>
          <w:rFonts w:ascii="Arial" w:hAnsi="Arial" w:cs="Arial"/>
          <w:spacing w:val="2"/>
          <w:position w:val="-1"/>
          <w:sz w:val="24"/>
          <w:szCs w:val="24"/>
        </w:rPr>
        <w:t>e</w:t>
      </w:r>
      <w:r>
        <w:rPr>
          <w:rFonts w:ascii="Arial" w:hAnsi="Arial" w:cs="Arial"/>
          <w:spacing w:val="1"/>
          <w:position w:val="-1"/>
          <w:sz w:val="24"/>
          <w:szCs w:val="24"/>
        </w:rPr>
        <w:t>ll</w:t>
      </w:r>
      <w:r>
        <w:rPr>
          <w:rFonts w:ascii="Arial" w:hAnsi="Arial" w:cs="Arial"/>
          <w:position w:val="-1"/>
          <w:sz w:val="24"/>
          <w:szCs w:val="24"/>
        </w:rPr>
        <w:t>e</w:t>
      </w:r>
      <w:r>
        <w:rPr>
          <w:rFonts w:ascii="Arial" w:hAnsi="Arial" w:cs="Arial"/>
          <w:spacing w:val="4"/>
          <w:position w:val="-1"/>
          <w:sz w:val="24"/>
          <w:szCs w:val="24"/>
        </w:rPr>
        <w:t xml:space="preserve"> </w:t>
      </w:r>
      <w:r>
        <w:rPr>
          <w:rFonts w:ascii="Arial" w:hAnsi="Arial" w:cs="Arial"/>
          <w:spacing w:val="1"/>
          <w:position w:val="-1"/>
          <w:sz w:val="24"/>
          <w:szCs w:val="24"/>
        </w:rPr>
        <w:t>q</w:t>
      </w:r>
      <w:r>
        <w:rPr>
          <w:rFonts w:ascii="Arial" w:hAnsi="Arial" w:cs="Arial"/>
          <w:position w:val="-1"/>
          <w:sz w:val="24"/>
          <w:szCs w:val="24"/>
        </w:rPr>
        <w:t>ui</w:t>
      </w:r>
      <w:r>
        <w:rPr>
          <w:rFonts w:ascii="Arial" w:hAnsi="Arial" w:cs="Arial"/>
          <w:spacing w:val="3"/>
          <w:position w:val="-1"/>
          <w:sz w:val="24"/>
          <w:szCs w:val="24"/>
        </w:rPr>
        <w:t xml:space="preserve"> </w:t>
      </w:r>
      <w:r>
        <w:rPr>
          <w:rFonts w:ascii="Arial" w:hAnsi="Arial" w:cs="Arial"/>
          <w:position w:val="-1"/>
          <w:sz w:val="24"/>
          <w:szCs w:val="24"/>
        </w:rPr>
        <w:t>a</w:t>
      </w:r>
      <w:r>
        <w:rPr>
          <w:rFonts w:ascii="Arial" w:hAnsi="Arial" w:cs="Arial"/>
          <w:spacing w:val="6"/>
          <w:position w:val="-1"/>
          <w:sz w:val="24"/>
          <w:szCs w:val="24"/>
        </w:rPr>
        <w:t xml:space="preserve"> </w:t>
      </w:r>
      <w:r>
        <w:rPr>
          <w:rFonts w:ascii="Arial" w:hAnsi="Arial" w:cs="Arial"/>
          <w:spacing w:val="-1"/>
          <w:position w:val="-1"/>
          <w:sz w:val="24"/>
          <w:szCs w:val="24"/>
        </w:rPr>
        <w:t>c</w:t>
      </w:r>
      <w:r>
        <w:rPr>
          <w:rFonts w:ascii="Arial" w:hAnsi="Arial" w:cs="Arial"/>
          <w:position w:val="-1"/>
          <w:sz w:val="24"/>
          <w:szCs w:val="24"/>
        </w:rPr>
        <w:t>onnu</w:t>
      </w:r>
      <w:r>
        <w:rPr>
          <w:rFonts w:ascii="Arial" w:hAnsi="Arial" w:cs="Arial"/>
          <w:spacing w:val="4"/>
          <w:position w:val="-1"/>
          <w:sz w:val="24"/>
          <w:szCs w:val="24"/>
        </w:rPr>
        <w:t xml:space="preserve"> </w:t>
      </w:r>
      <w:r>
        <w:rPr>
          <w:rFonts w:ascii="Arial" w:hAnsi="Arial" w:cs="Arial"/>
          <w:spacing w:val="1"/>
          <w:position w:val="-1"/>
          <w:sz w:val="24"/>
          <w:szCs w:val="24"/>
        </w:rPr>
        <w:t>l</w:t>
      </w:r>
      <w:r>
        <w:rPr>
          <w:rFonts w:ascii="Arial" w:hAnsi="Arial" w:cs="Arial"/>
          <w:position w:val="-1"/>
          <w:sz w:val="24"/>
          <w:szCs w:val="24"/>
        </w:rPr>
        <w:t>e</w:t>
      </w:r>
      <w:r>
        <w:rPr>
          <w:rFonts w:ascii="Arial" w:hAnsi="Arial" w:cs="Arial"/>
          <w:spacing w:val="5"/>
          <w:position w:val="-1"/>
          <w:sz w:val="24"/>
          <w:szCs w:val="24"/>
        </w:rPr>
        <w:t xml:space="preserve"> </w:t>
      </w:r>
      <w:r>
        <w:rPr>
          <w:rFonts w:ascii="Arial" w:hAnsi="Arial" w:cs="Arial"/>
          <w:spacing w:val="-1"/>
          <w:position w:val="-1"/>
          <w:sz w:val="24"/>
          <w:szCs w:val="24"/>
        </w:rPr>
        <w:t>p</w:t>
      </w:r>
      <w:r>
        <w:rPr>
          <w:rFonts w:ascii="Arial" w:hAnsi="Arial" w:cs="Arial"/>
          <w:spacing w:val="1"/>
          <w:position w:val="-1"/>
          <w:sz w:val="24"/>
          <w:szCs w:val="24"/>
        </w:rPr>
        <w:t>l</w:t>
      </w:r>
      <w:r>
        <w:rPr>
          <w:rFonts w:ascii="Arial" w:hAnsi="Arial" w:cs="Arial"/>
          <w:spacing w:val="2"/>
          <w:position w:val="-1"/>
          <w:sz w:val="24"/>
          <w:szCs w:val="24"/>
        </w:rPr>
        <w:t>u</w:t>
      </w:r>
      <w:r>
        <w:rPr>
          <w:rFonts w:ascii="Arial" w:hAnsi="Arial" w:cs="Arial"/>
          <w:position w:val="-1"/>
          <w:sz w:val="24"/>
          <w:szCs w:val="24"/>
        </w:rPr>
        <w:t>s</w:t>
      </w:r>
      <w:r>
        <w:rPr>
          <w:rFonts w:ascii="Arial" w:hAnsi="Arial" w:cs="Arial"/>
          <w:spacing w:val="4"/>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4"/>
          <w:position w:val="-1"/>
          <w:sz w:val="24"/>
          <w:szCs w:val="24"/>
        </w:rPr>
        <w:t xml:space="preserve"> </w:t>
      </w:r>
      <w:r>
        <w:rPr>
          <w:rFonts w:ascii="Arial" w:hAnsi="Arial" w:cs="Arial"/>
          <w:spacing w:val="-1"/>
          <w:position w:val="-1"/>
          <w:sz w:val="24"/>
          <w:szCs w:val="24"/>
        </w:rPr>
        <w:t>pr</w:t>
      </w:r>
      <w:r>
        <w:rPr>
          <w:rFonts w:ascii="Arial" w:hAnsi="Arial" w:cs="Arial"/>
          <w:position w:val="-1"/>
          <w:sz w:val="24"/>
          <w:szCs w:val="24"/>
        </w:rPr>
        <w:t>o</w:t>
      </w:r>
      <w:r>
        <w:rPr>
          <w:rFonts w:ascii="Arial" w:hAnsi="Arial" w:cs="Arial"/>
          <w:spacing w:val="1"/>
          <w:position w:val="-1"/>
          <w:sz w:val="24"/>
          <w:szCs w:val="24"/>
        </w:rPr>
        <w:t>g</w:t>
      </w:r>
      <w:r>
        <w:rPr>
          <w:rFonts w:ascii="Arial" w:hAnsi="Arial" w:cs="Arial"/>
          <w:spacing w:val="-1"/>
          <w:position w:val="-1"/>
          <w:sz w:val="24"/>
          <w:szCs w:val="24"/>
        </w:rPr>
        <w:t>r</w:t>
      </w:r>
      <w:r>
        <w:rPr>
          <w:rFonts w:ascii="Arial" w:hAnsi="Arial" w:cs="Arial"/>
          <w:spacing w:val="2"/>
          <w:position w:val="-1"/>
          <w:sz w:val="24"/>
          <w:szCs w:val="24"/>
        </w:rPr>
        <w:t>è</w:t>
      </w:r>
      <w:r>
        <w:rPr>
          <w:rFonts w:ascii="Arial" w:hAnsi="Arial" w:cs="Arial"/>
          <w:position w:val="-1"/>
          <w:sz w:val="24"/>
          <w:szCs w:val="24"/>
        </w:rPr>
        <w:t xml:space="preserve">s </w:t>
      </w:r>
      <w:r>
        <w:rPr>
          <w:rFonts w:ascii="Arial" w:hAnsi="Arial" w:cs="Arial"/>
          <w:spacing w:val="1"/>
          <w:position w:val="-1"/>
          <w:sz w:val="24"/>
          <w:szCs w:val="24"/>
        </w:rPr>
        <w:t>a</w:t>
      </w:r>
      <w:r>
        <w:rPr>
          <w:rFonts w:ascii="Arial" w:hAnsi="Arial" w:cs="Arial"/>
          <w:position w:val="-1"/>
          <w:sz w:val="24"/>
          <w:szCs w:val="24"/>
        </w:rPr>
        <w:t>u</w:t>
      </w:r>
      <w:r>
        <w:rPr>
          <w:rFonts w:ascii="Arial" w:hAnsi="Arial" w:cs="Arial"/>
          <w:spacing w:val="4"/>
          <w:position w:val="-1"/>
          <w:sz w:val="24"/>
          <w:szCs w:val="24"/>
        </w:rPr>
        <w:t xml:space="preserve"> </w:t>
      </w:r>
      <w:r>
        <w:rPr>
          <w:rFonts w:ascii="Arial" w:hAnsi="Arial" w:cs="Arial"/>
          <w:spacing w:val="-1"/>
          <w:position w:val="-1"/>
          <w:sz w:val="24"/>
          <w:szCs w:val="24"/>
        </w:rPr>
        <w:t>s</w:t>
      </w:r>
      <w:r>
        <w:rPr>
          <w:rFonts w:ascii="Arial" w:hAnsi="Arial" w:cs="Arial"/>
          <w:position w:val="-1"/>
          <w:sz w:val="24"/>
          <w:szCs w:val="24"/>
        </w:rPr>
        <w:t>e</w:t>
      </w:r>
      <w:r>
        <w:rPr>
          <w:rFonts w:ascii="Arial" w:hAnsi="Arial" w:cs="Arial"/>
          <w:spacing w:val="1"/>
          <w:position w:val="-1"/>
          <w:sz w:val="24"/>
          <w:szCs w:val="24"/>
        </w:rPr>
        <w:t>i</w:t>
      </w:r>
      <w:r>
        <w:rPr>
          <w:rFonts w:ascii="Arial" w:hAnsi="Arial" w:cs="Arial"/>
          <w:position w:val="-1"/>
          <w:sz w:val="24"/>
          <w:szCs w:val="24"/>
        </w:rPr>
        <w:t>n</w:t>
      </w:r>
      <w:r>
        <w:rPr>
          <w:rFonts w:ascii="Arial" w:hAnsi="Arial" w:cs="Arial"/>
          <w:spacing w:val="7"/>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es</w:t>
      </w:r>
      <w:r>
        <w:rPr>
          <w:rFonts w:ascii="Arial" w:hAnsi="Arial" w:cs="Arial"/>
          <w:spacing w:val="2"/>
          <w:position w:val="-1"/>
          <w:sz w:val="24"/>
          <w:szCs w:val="24"/>
        </w:rPr>
        <w:t xml:space="preserve"> </w:t>
      </w:r>
      <w:r>
        <w:rPr>
          <w:rFonts w:ascii="Arial" w:hAnsi="Arial" w:cs="Arial"/>
          <w:spacing w:val="-1"/>
          <w:position w:val="-1"/>
          <w:sz w:val="24"/>
          <w:szCs w:val="24"/>
        </w:rPr>
        <w:t>p</w:t>
      </w:r>
      <w:r>
        <w:rPr>
          <w:rFonts w:ascii="Arial" w:hAnsi="Arial" w:cs="Arial"/>
          <w:spacing w:val="1"/>
          <w:position w:val="-1"/>
          <w:sz w:val="24"/>
          <w:szCs w:val="24"/>
        </w:rPr>
        <w:t>ay</w:t>
      </w:r>
      <w:r>
        <w:rPr>
          <w:rFonts w:ascii="Arial" w:hAnsi="Arial" w:cs="Arial"/>
          <w:position w:val="-1"/>
          <w:sz w:val="24"/>
          <w:szCs w:val="24"/>
        </w:rPr>
        <w:t>s</w:t>
      </w:r>
      <w:r>
        <w:rPr>
          <w:rFonts w:ascii="Arial" w:hAnsi="Arial" w:cs="Arial"/>
          <w:spacing w:val="1"/>
          <w:position w:val="-1"/>
          <w:sz w:val="24"/>
          <w:szCs w:val="24"/>
        </w:rPr>
        <w:t xml:space="preserve"> </w:t>
      </w:r>
      <w:r>
        <w:rPr>
          <w:rFonts w:ascii="Arial" w:hAnsi="Arial" w:cs="Arial"/>
          <w:position w:val="-1"/>
          <w:sz w:val="24"/>
          <w:szCs w:val="24"/>
        </w:rPr>
        <w:t>A</w:t>
      </w:r>
      <w:r>
        <w:rPr>
          <w:rFonts w:ascii="Arial" w:hAnsi="Arial" w:cs="Arial"/>
          <w:spacing w:val="1"/>
          <w:position w:val="-1"/>
          <w:sz w:val="24"/>
          <w:szCs w:val="24"/>
        </w:rPr>
        <w:t>O</w:t>
      </w:r>
      <w:r>
        <w:rPr>
          <w:rFonts w:ascii="Arial" w:hAnsi="Arial" w:cs="Arial"/>
          <w:position w:val="-1"/>
          <w:sz w:val="24"/>
          <w:szCs w:val="24"/>
        </w:rPr>
        <w:t>C.</w:t>
      </w:r>
    </w:p>
    <w:p w14:paraId="74E6107D" w14:textId="77777777" w:rsidR="008862C7" w:rsidRDefault="008862C7" w:rsidP="008862C7">
      <w:pPr>
        <w:pStyle w:val="Paragraphedeliste"/>
        <w:numPr>
          <w:ilvl w:val="0"/>
          <w:numId w:val="19"/>
        </w:numPr>
        <w:autoSpaceDE w:val="0"/>
        <w:autoSpaceDN w:val="0"/>
        <w:adjustRightInd w:val="0"/>
        <w:spacing w:line="360" w:lineRule="auto"/>
        <w:jc w:val="both"/>
        <w:outlineLvl w:val="6"/>
        <w:rPr>
          <w:rFonts w:ascii="Arial" w:hAnsi="Arial" w:cs="Arial"/>
          <w:sz w:val="24"/>
          <w:szCs w:val="24"/>
        </w:rPr>
      </w:pPr>
      <w:bookmarkStart w:id="102" w:name="_Toc395107580"/>
      <w:r>
        <w:rPr>
          <w:rFonts w:ascii="Arial" w:hAnsi="Arial" w:cs="Arial"/>
          <w:b/>
          <w:bCs/>
          <w:sz w:val="24"/>
          <w:szCs w:val="24"/>
        </w:rPr>
        <w:t>Années de la vache grasse : Croissance de la production cotonnière de 1985 - 2006</w:t>
      </w:r>
      <w:bookmarkEnd w:id="102"/>
    </w:p>
    <w:p w14:paraId="39138FA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Au cours des années 1985-2006, la production cotonnière des pays d’Afrique de l’Ouest et du Centre a quadruplé, hissant ainsi la sous-région au rang de deuxième exportateur mondial</w:t>
      </w:r>
      <w:r>
        <w:rPr>
          <w:rStyle w:val="Appelnotedebasdep"/>
          <w:rFonts w:ascii="Arial" w:hAnsi="Arial" w:cs="Arial"/>
          <w:sz w:val="24"/>
          <w:szCs w:val="24"/>
        </w:rPr>
        <w:footnoteReference w:id="18"/>
      </w:r>
      <w:r>
        <w:rPr>
          <w:rFonts w:ascii="Arial" w:hAnsi="Arial" w:cs="Arial"/>
          <w:sz w:val="24"/>
          <w:szCs w:val="24"/>
        </w:rPr>
        <w:t xml:space="preserve"> de fibre de coton, avec une part d’exportation mondiale d’environ 15% (Fichet, 1998 ; Jouve, 1999). En effet, la production de coton en Afrique s’est accrue de façon significative passant de 700.000 tonnes à plus de 2.000.000 tonnes (ACA, 2006). En AOC, la superficie occupée par la culture de coton représente 14% de la superficie cotonnière mondiale, correspondant à 5.000.000 ha. Sa production de coton fibre a atteint en 2006/2007, 1,5 millions de tonnes, soit près de 5,8% de la production mondiale qui est de 25,9 millions de tonnes.</w:t>
      </w:r>
    </w:p>
    <w:p w14:paraId="3E7B10C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L’accroissement de la production cotonnière en Afrique provient pour l’essentiel des pays producteurs de la zone franc (Mali, Burkina Faso, Côte d’Ivoire, Bénin, Cameroun, Togo, Tchad, </w:t>
      </w:r>
      <w:r>
        <w:rPr>
          <w:rFonts w:ascii="Arial" w:hAnsi="Arial" w:cs="Arial"/>
          <w:sz w:val="24"/>
          <w:szCs w:val="24"/>
        </w:rPr>
        <w:lastRenderedPageBreak/>
        <w:t>Sénégal, Centrafrique, Niger et Guinée Bissau). Leur production cumulée est passée de 30.000 tonnes en 1950/1951 à 1,2 millions de tonnes en 2004/2005 (ACA, 2006). En République Centrafricaine, la production cotonnière est marquée par des variations très importantes. Elle est passée de 35.401 tonnes en 1985 pour atteindre 46.055 tonnes en 1997 et retomber à 2.300 tonnes en 2006-2007. Cette baisse de production est due aux effets conjugués de la baisse des cours du coton et des récentes crises sociopolitiques qu’a connues le pays.</w:t>
      </w:r>
    </w:p>
    <w:p w14:paraId="12404A1D" w14:textId="77777777" w:rsidR="008862C7" w:rsidRDefault="008862C7" w:rsidP="008862C7">
      <w:pPr>
        <w:pStyle w:val="Titre7"/>
        <w:spacing w:after="120"/>
        <w:rPr>
          <w:rFonts w:ascii="Arial" w:hAnsi="Arial" w:cs="Arial"/>
          <w:b/>
          <w:color w:val="auto"/>
        </w:rPr>
      </w:pPr>
      <w:bookmarkStart w:id="103" w:name="_Toc395107581"/>
      <w:r>
        <w:rPr>
          <w:rFonts w:ascii="Arial" w:hAnsi="Arial" w:cs="Arial"/>
          <w:b/>
          <w:color w:val="auto"/>
        </w:rPr>
        <w:t xml:space="preserve">c. </w:t>
      </w:r>
      <w:r>
        <w:rPr>
          <w:rFonts w:ascii="Arial" w:hAnsi="Arial" w:cs="Arial"/>
          <w:b/>
          <w:bCs/>
          <w:color w:val="auto"/>
        </w:rPr>
        <w:t>Années de la vache maigre liées au marché international depuis 1985</w:t>
      </w:r>
      <w:bookmarkEnd w:id="103"/>
    </w:p>
    <w:p w14:paraId="4767F282" w14:textId="77777777" w:rsidR="008862C7" w:rsidRDefault="008862C7" w:rsidP="008862C7">
      <w:pPr>
        <w:widowControl w:val="0"/>
        <w:autoSpaceDE w:val="0"/>
        <w:autoSpaceDN w:val="0"/>
        <w:adjustRightInd w:val="0"/>
        <w:spacing w:line="360" w:lineRule="auto"/>
        <w:ind w:right="65"/>
        <w:jc w:val="both"/>
        <w:rPr>
          <w:rFonts w:ascii="Arial" w:hAnsi="Arial" w:cs="Arial"/>
          <w:sz w:val="24"/>
          <w:szCs w:val="24"/>
        </w:rPr>
      </w:pP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q</w:t>
      </w:r>
      <w:r>
        <w:rPr>
          <w:rFonts w:ascii="Arial" w:hAnsi="Arial" w:cs="Arial"/>
          <w:sz w:val="24"/>
          <w:szCs w:val="24"/>
        </w:rPr>
        <w:t>uée</w:t>
      </w:r>
      <w:r>
        <w:rPr>
          <w:rFonts w:ascii="Arial" w:hAnsi="Arial" w:cs="Arial"/>
          <w:spacing w:val="-6"/>
          <w:sz w:val="24"/>
          <w:szCs w:val="24"/>
        </w:rPr>
        <w:t xml:space="preserve"> </w:t>
      </w:r>
      <w:r>
        <w:rPr>
          <w:rFonts w:ascii="Arial" w:hAnsi="Arial" w:cs="Arial"/>
          <w:spacing w:val="1"/>
          <w:sz w:val="24"/>
          <w:szCs w:val="24"/>
        </w:rPr>
        <w:t>pa</w:t>
      </w:r>
      <w:r>
        <w:rPr>
          <w:rFonts w:ascii="Arial" w:hAnsi="Arial" w:cs="Arial"/>
          <w:sz w:val="24"/>
          <w:szCs w:val="24"/>
        </w:rPr>
        <w:t>r</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j</w:t>
      </w:r>
      <w:r>
        <w:rPr>
          <w:rFonts w:ascii="Arial" w:hAnsi="Arial" w:cs="Arial"/>
          <w:sz w:val="24"/>
          <w:szCs w:val="24"/>
        </w:rPr>
        <w:t>on</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2"/>
          <w:sz w:val="24"/>
          <w:szCs w:val="24"/>
        </w:rPr>
        <w:t>u</w:t>
      </w:r>
      <w:r>
        <w:rPr>
          <w:rFonts w:ascii="Arial" w:hAnsi="Arial" w:cs="Arial"/>
          <w:sz w:val="24"/>
          <w:szCs w:val="24"/>
        </w:rPr>
        <w:t>n</w:t>
      </w:r>
      <w:r>
        <w:rPr>
          <w:rFonts w:ascii="Arial" w:hAnsi="Arial" w:cs="Arial"/>
          <w:spacing w:val="3"/>
          <w:sz w:val="24"/>
          <w:szCs w:val="24"/>
        </w:rPr>
        <w:t xml:space="preserve"> </w:t>
      </w:r>
      <w:r>
        <w:rPr>
          <w:rFonts w:ascii="Arial" w:hAnsi="Arial" w:cs="Arial"/>
          <w:sz w:val="24"/>
          <w:szCs w:val="24"/>
        </w:rPr>
        <w:t>en</w:t>
      </w:r>
      <w:r>
        <w:rPr>
          <w:rFonts w:ascii="Arial" w:hAnsi="Arial" w:cs="Arial"/>
          <w:spacing w:val="-1"/>
          <w:sz w:val="24"/>
          <w:szCs w:val="24"/>
        </w:rPr>
        <w:t>s</w:t>
      </w:r>
      <w:r>
        <w:rPr>
          <w:rFonts w:ascii="Arial" w:hAnsi="Arial" w:cs="Arial"/>
          <w:sz w:val="24"/>
          <w:szCs w:val="24"/>
        </w:rPr>
        <w:t>em</w:t>
      </w:r>
      <w:r>
        <w:rPr>
          <w:rFonts w:ascii="Arial" w:hAnsi="Arial" w:cs="Arial"/>
          <w:spacing w:val="1"/>
          <w:sz w:val="24"/>
          <w:szCs w:val="24"/>
        </w:rPr>
        <w:t>bl</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3"/>
          <w:sz w:val="24"/>
          <w:szCs w:val="24"/>
        </w:rPr>
        <w:t xml:space="preserve"> la crise cotonnière ne cesse de se perpétuer depuis plusieurs décennies. Nombreux sont les auteurs qui s’accordent sur le fait que </w:t>
      </w:r>
      <w:r>
        <w:rPr>
          <w:rFonts w:ascii="Arial" w:hAnsi="Arial" w:cs="Arial"/>
          <w:spacing w:val="1"/>
          <w:sz w:val="24"/>
          <w:szCs w:val="24"/>
        </w:rPr>
        <w:t>l</w:t>
      </w:r>
      <w:r>
        <w:rPr>
          <w:rFonts w:ascii="Arial" w:hAnsi="Arial" w:cs="Arial"/>
          <w:sz w:val="24"/>
          <w:szCs w:val="24"/>
        </w:rPr>
        <w:t>es</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a</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ys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5"/>
          <w:sz w:val="24"/>
          <w:szCs w:val="24"/>
        </w:rPr>
        <w:t xml:space="preserve"> </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r</w:t>
      </w:r>
      <w:r>
        <w:rPr>
          <w:rFonts w:ascii="Arial" w:hAnsi="Arial" w:cs="Arial"/>
          <w:sz w:val="24"/>
          <w:szCs w:val="24"/>
        </w:rPr>
        <w:t>d</w:t>
      </w:r>
      <w:r>
        <w:rPr>
          <w:rFonts w:ascii="Arial" w:hAnsi="Arial" w:cs="Arial"/>
          <w:spacing w:val="3"/>
          <w:sz w:val="24"/>
          <w:szCs w:val="24"/>
        </w:rPr>
        <w:t xml:space="preserve"> </w:t>
      </w:r>
      <w:r>
        <w:rPr>
          <w:rFonts w:ascii="Arial" w:hAnsi="Arial" w:cs="Arial"/>
          <w:spacing w:val="-1"/>
          <w:sz w:val="24"/>
          <w:szCs w:val="24"/>
        </w:rPr>
        <w:t>fi</w:t>
      </w:r>
      <w:r>
        <w:rPr>
          <w:rFonts w:ascii="Arial" w:hAnsi="Arial" w:cs="Arial"/>
          <w:spacing w:val="1"/>
          <w:sz w:val="24"/>
          <w:szCs w:val="24"/>
        </w:rPr>
        <w:t>g</w:t>
      </w:r>
      <w:r>
        <w:rPr>
          <w:rFonts w:ascii="Arial" w:hAnsi="Arial" w:cs="Arial"/>
          <w:sz w:val="24"/>
          <w:szCs w:val="24"/>
        </w:rPr>
        <w:t>u</w:t>
      </w:r>
      <w:r>
        <w:rPr>
          <w:rFonts w:ascii="Arial" w:hAnsi="Arial" w:cs="Arial"/>
          <w:spacing w:val="-1"/>
          <w:sz w:val="24"/>
          <w:szCs w:val="24"/>
        </w:rPr>
        <w:t>r</w:t>
      </w:r>
      <w:r>
        <w:rPr>
          <w:rFonts w:ascii="Arial" w:hAnsi="Arial" w:cs="Arial"/>
          <w:sz w:val="24"/>
          <w:szCs w:val="24"/>
        </w:rPr>
        <w:t>ent</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mi</w:t>
      </w:r>
      <w:r>
        <w:rPr>
          <w:rFonts w:ascii="Arial" w:hAnsi="Arial" w:cs="Arial"/>
          <w:spacing w:val="3"/>
          <w:sz w:val="24"/>
          <w:szCs w:val="24"/>
        </w:rPr>
        <w:t xml:space="preserve"> </w:t>
      </w:r>
      <w:r>
        <w:rPr>
          <w:rFonts w:ascii="Arial" w:hAnsi="Arial" w:cs="Arial"/>
          <w:spacing w:val="1"/>
          <w:sz w:val="24"/>
          <w:szCs w:val="24"/>
        </w:rPr>
        <w:t>l</w:t>
      </w:r>
      <w:r>
        <w:rPr>
          <w:rFonts w:ascii="Arial" w:hAnsi="Arial" w:cs="Arial"/>
          <w:spacing w:val="-2"/>
          <w:sz w:val="24"/>
          <w:szCs w:val="24"/>
        </w:rPr>
        <w:t>e</w:t>
      </w:r>
      <w:r>
        <w:rPr>
          <w:rFonts w:ascii="Arial" w:hAnsi="Arial" w:cs="Arial"/>
          <w:sz w:val="24"/>
          <w:szCs w:val="24"/>
        </w:rPr>
        <w:t xml:space="preserve">s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s</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p</w:t>
      </w:r>
      <w:r>
        <w:rPr>
          <w:rFonts w:ascii="Arial" w:hAnsi="Arial" w:cs="Arial"/>
          <w:spacing w:val="1"/>
          <w:sz w:val="24"/>
          <w:szCs w:val="24"/>
        </w:rPr>
        <w:t>al</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1"/>
          <w:sz w:val="24"/>
          <w:szCs w:val="24"/>
        </w:rPr>
        <w:t xml:space="preserve"> Malgré ce constat</w:t>
      </w:r>
      <w:r>
        <w:rPr>
          <w:rFonts w:ascii="Arial" w:hAnsi="Arial" w:cs="Arial"/>
          <w:sz w:val="24"/>
          <w:szCs w:val="24"/>
        </w:rPr>
        <w:t xml:space="preserve">, certains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ne cessent d’</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g</w:t>
      </w:r>
      <w:r>
        <w:rPr>
          <w:rFonts w:ascii="Arial" w:hAnsi="Arial" w:cs="Arial"/>
          <w:sz w:val="24"/>
          <w:szCs w:val="24"/>
        </w:rPr>
        <w:t>menter</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s</w:t>
      </w:r>
      <w:r>
        <w:rPr>
          <w:rFonts w:ascii="Arial" w:hAnsi="Arial" w:cs="Arial"/>
          <w:sz w:val="24"/>
          <w:szCs w:val="24"/>
        </w:rPr>
        <w:t>u</w:t>
      </w:r>
      <w:r>
        <w:rPr>
          <w:rFonts w:ascii="Arial" w:hAnsi="Arial" w:cs="Arial"/>
          <w:spacing w:val="1"/>
          <w:sz w:val="24"/>
          <w:szCs w:val="24"/>
        </w:rPr>
        <w:t>bv</w:t>
      </w:r>
      <w:r>
        <w:rPr>
          <w:rFonts w:ascii="Arial" w:hAnsi="Arial" w:cs="Arial"/>
          <w:sz w:val="24"/>
          <w:szCs w:val="24"/>
        </w:rPr>
        <w:t>e</w:t>
      </w:r>
      <w:r>
        <w:rPr>
          <w:rFonts w:ascii="Arial" w:hAnsi="Arial" w:cs="Arial"/>
          <w:spacing w:val="-2"/>
          <w:sz w:val="24"/>
          <w:szCs w:val="24"/>
        </w:rPr>
        <w:t>n</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6"/>
          <w:sz w:val="24"/>
          <w:szCs w:val="24"/>
        </w:rPr>
        <w:t xml:space="preserve"> accordées à </w:t>
      </w:r>
      <w:r>
        <w:rPr>
          <w:rFonts w:ascii="Arial" w:hAnsi="Arial" w:cs="Arial"/>
          <w:spacing w:val="1"/>
          <w:sz w:val="24"/>
          <w:szCs w:val="24"/>
        </w:rPr>
        <w:t>leurs</w:t>
      </w:r>
      <w:r>
        <w:rPr>
          <w:rFonts w:ascii="Arial" w:hAnsi="Arial" w:cs="Arial"/>
          <w:spacing w:val="-1"/>
          <w:sz w:val="24"/>
          <w:szCs w:val="24"/>
        </w:rPr>
        <w:t xml:space="preserve"> 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 (OCDE, 2003).</w:t>
      </w:r>
    </w:p>
    <w:p w14:paraId="79CF330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Malgré leur poids socio-économique et leur succès du passé, les filières cotonnières africaines traversent depuis plus d’une décennie d’énormes difficultés financières dues à la fois aux crises successives du marché international et aux facteurs internes structurels, notamment le mode d’organisation et de gestion des filières (Daviron, 1998 ; Badiane </w:t>
      </w:r>
      <w:r>
        <w:rPr>
          <w:rFonts w:ascii="Arial" w:hAnsi="Arial" w:cs="Arial"/>
          <w:i/>
          <w:iCs/>
          <w:sz w:val="24"/>
          <w:szCs w:val="24"/>
        </w:rPr>
        <w:t xml:space="preserve">et al., </w:t>
      </w:r>
      <w:r>
        <w:rPr>
          <w:rFonts w:ascii="Arial" w:hAnsi="Arial" w:cs="Arial"/>
          <w:sz w:val="24"/>
          <w:szCs w:val="24"/>
        </w:rPr>
        <w:t xml:space="preserve">2002 ; Mbétid- Bessane </w:t>
      </w:r>
      <w:r>
        <w:rPr>
          <w:rFonts w:ascii="Arial" w:hAnsi="Arial" w:cs="Arial"/>
          <w:i/>
          <w:iCs/>
          <w:sz w:val="24"/>
          <w:szCs w:val="24"/>
        </w:rPr>
        <w:t xml:space="preserve">et al., </w:t>
      </w:r>
      <w:r>
        <w:rPr>
          <w:rFonts w:ascii="Arial" w:hAnsi="Arial" w:cs="Arial"/>
          <w:sz w:val="24"/>
          <w:szCs w:val="24"/>
        </w:rPr>
        <w:t>2003). En effet, la baisse des cours mondiaux du coton, à laquelle s’ajoutent la concurrence déloyale de certains pays occidentaux octroyant de fortes subventions à leurs producteurs de coton et les dysfonctionnements internes des structures d’appui, ont de nouveau mis en mal ces filières.</w:t>
      </w:r>
    </w:p>
    <w:p w14:paraId="1CE475A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En effet, les subventions accordées par les Etats-Unis à ses cotonculteurs passent de 858 millions de dollars US en 1996/97 à 4,5 milliards de dollars US en 2004/05. L’aide de l’Union Européenne, quant à elle, est passée, sur la même période, de 1,026 à 1,060 milliard de dollars US (Araujo Bonjean, 2006). Ces subventions ont permis aux cotonculteurs de ces pays de pratiquer le dumping</w:t>
      </w:r>
      <w:r>
        <w:rPr>
          <w:rStyle w:val="Appelnotedebasdep"/>
          <w:rFonts w:ascii="Arial" w:hAnsi="Arial" w:cs="Arial"/>
          <w:sz w:val="24"/>
          <w:szCs w:val="24"/>
        </w:rPr>
        <w:footnoteReference w:id="19"/>
      </w:r>
      <w:r>
        <w:rPr>
          <w:rFonts w:ascii="Arial" w:hAnsi="Arial" w:cs="Arial"/>
          <w:sz w:val="24"/>
          <w:szCs w:val="24"/>
        </w:rPr>
        <w:t xml:space="preserve"> à l’exportation de leur coton fibre mis sur le marché international. Ce dumping à l’exportation porte potentiellement préjudice aux revenus de l’ensemble des filières cotonnières dont le coton-fibre est commercialisé en étant directement exporté, sans être </w:t>
      </w:r>
      <w:r>
        <w:rPr>
          <w:rFonts w:ascii="Arial" w:hAnsi="Arial" w:cs="Arial"/>
          <w:sz w:val="24"/>
          <w:szCs w:val="24"/>
        </w:rPr>
        <w:lastRenderedPageBreak/>
        <w:t xml:space="preserve">transformé localement en produits finis. Le dumping contribue à une chute chronique des prix internationaux du coton-fibre dans une double mesure. En vertu de la loi de l’offre et de la demande : à demande constante, il entraîne un accroissement de l’offre de coton commercialisée sur le marché mondial. Lorsqu’il est surtout pratiqué par un acteur majeur du marché, il influence davantage la formation des prix qui s’y établissent. Il en va ainsi des Etats-Unis qui, en tant que deuxième producteur et premier exportateur de coton fibre à l’échelle mondiale, jouent en effet le rôle de </w:t>
      </w:r>
      <w:r>
        <w:rPr>
          <w:rFonts w:ascii="Arial" w:hAnsi="Arial" w:cs="Arial"/>
          <w:i/>
          <w:iCs/>
          <w:sz w:val="24"/>
          <w:szCs w:val="24"/>
        </w:rPr>
        <w:t xml:space="preserve">« Price maker » </w:t>
      </w:r>
      <w:r>
        <w:rPr>
          <w:rFonts w:ascii="Arial" w:hAnsi="Arial" w:cs="Arial"/>
          <w:sz w:val="24"/>
          <w:szCs w:val="24"/>
        </w:rPr>
        <w:t>sur le marché international (Parmentier, 2006). En outre, le dumping à l’exportation prive potentiellement de parts de marché les filières qui ne sont pas ou sont peu subventionnées, telles que celles de l’Afrique de l’Ouest et du Centre.</w:t>
      </w:r>
    </w:p>
    <w:p w14:paraId="038305E7" w14:textId="77777777" w:rsidR="008862C7" w:rsidRDefault="008862C7" w:rsidP="008862C7">
      <w:pPr>
        <w:pStyle w:val="Paragraphedeliste"/>
        <w:numPr>
          <w:ilvl w:val="0"/>
          <w:numId w:val="19"/>
        </w:numPr>
        <w:autoSpaceDE w:val="0"/>
        <w:autoSpaceDN w:val="0"/>
        <w:adjustRightInd w:val="0"/>
        <w:spacing w:after="120" w:line="360" w:lineRule="auto"/>
        <w:jc w:val="both"/>
        <w:outlineLvl w:val="7"/>
        <w:rPr>
          <w:rFonts w:ascii="Arial" w:hAnsi="Arial" w:cs="Arial"/>
          <w:b/>
          <w:bCs/>
          <w:sz w:val="24"/>
          <w:szCs w:val="24"/>
        </w:rPr>
      </w:pPr>
      <w:bookmarkStart w:id="104" w:name="_Toc395107582"/>
      <w:r>
        <w:rPr>
          <w:rFonts w:ascii="Arial" w:hAnsi="Arial" w:cs="Arial"/>
          <w:b/>
          <w:bCs/>
          <w:sz w:val="24"/>
          <w:szCs w:val="24"/>
        </w:rPr>
        <w:t>Réaction des pays de l’AOC à la crise</w:t>
      </w:r>
      <w:bookmarkEnd w:id="104"/>
    </w:p>
    <w:p w14:paraId="54862E2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libéralisation du secteur des cultures d’exportation est un important volet de la plupart des programmes d’ajustement structurel, préconisés par les institutions internationales (Banque mondiale, Fonds monétaire international) en Afrique Subsaharienne. Sa mise en œuvre et le rythme auquel elle a été menée ont beaucoup varié d’un pays à un autre. Les mesures de ces programmes ont consisté, à des degrés divers, à : (i) une suppression des mécanismes stabilisateurs ; (ii) une privatisation des monopoles publics ; (iii) une disparition des prix garantis au producteur et des transactions liées. Les filières cotonnières d’Afrique de l’Ouest et du Centre ont ainsi fait l’objet de ces réformes.</w:t>
      </w:r>
    </w:p>
    <w:p w14:paraId="3AA59A0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Dès la moitié des années 80, un débat a opposé la Banque Mondiale, qui prône la libéralisation ou la privatisation des filières intégrées de coton, à ceux qui veulent maintenir une organisation (CFDT ; Sociétés cotonnières) ou qui préconisent des réformes tout en garantissant des mécanismes stabilisateurs et des relations contractuelles avec pluralité possible des modes d’organisation (AFD, Coopération française) (Hugon, 2005). Des compromis, à la fois doctrinaux et pratiques, sont apparus concernant la mise en œuvre d’une agriculture contractualisée. Le débat s’est largement déplacé aujourd’hui vers la question des subventions internationales dont certains pays africains font un préalable aux réformes structurelles internes (Hugon, 2005 ; Fok, 2006). Les Etats-Unis (subventions essentiellement à l’exportation) et l’Union Européenne et la Chine (subventions à la production) ont des politiques publiques qui pèsent vraisemblablement à la baisse des prix mondiaux et augmentent sûrement leur part de marché mondial.</w:t>
      </w:r>
    </w:p>
    <w:p w14:paraId="7E14100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Face à cette situation, les Etats et les sociétés cotonnières d’AOC sous l’impulsion des institutions de Bretton-Woods avaient engagé, avec prudence, certaines réformes consistant, </w:t>
      </w:r>
      <w:r>
        <w:rPr>
          <w:rFonts w:ascii="Arial" w:hAnsi="Arial" w:cs="Arial"/>
          <w:sz w:val="24"/>
          <w:szCs w:val="24"/>
        </w:rPr>
        <w:lastRenderedPageBreak/>
        <w:t xml:space="preserve">entre autres, à la création des entreprises publiques à caractère industriel et commercial, à la réduction des charges improductives, au recentrage des activités uniquement sur la filière cotonnière, etc. Fidèle à ses principes libéraux, la Banque mondiale considère à partir de 1994, suite à la dévaluation du FCFA que les conditions sont enfin réunies pour procéder à une réelle privatisation dans de bonnes conditions des sociétés cotonnières. </w:t>
      </w:r>
    </w:p>
    <w:p w14:paraId="62B6FF68"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En effet, les pays d’Afrique anglophone producteurs de coton se sont engagés dans ce processus quelques années avant ceux d’Afrique francophone. Toutefois, les résultats de cette politique structurelle restent mitigés au regard des productions qui n’ont cessé de chuter depuis lors (Echo des cotonniers, 1998). Il est à noter que le débat sur l’application de ces réformes est resté assez théorique puisque rien n’obligeait les Etats à privatiser une entreprise publique bénéficiaire. Néanmoins, la Banque mondiale disposait d’autres arguments d’ordre financier qui viendraient tôt ou tard à bout de la résistance des Etats.</w:t>
      </w:r>
    </w:p>
    <w:p w14:paraId="21711B2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Pour les uns (AFD et CFDT), il faut maintenir les filières intégrées par un seul opérateur qui contrôle le produit à la sortie des usines (société cotonnière propriétaire du coton-fibre) et le vend sur le marché mondial</w:t>
      </w:r>
      <w:r>
        <w:rPr>
          <w:rStyle w:val="Appelnotedebasdep"/>
          <w:rFonts w:ascii="Arial" w:hAnsi="Arial" w:cs="Arial"/>
          <w:sz w:val="24"/>
          <w:szCs w:val="24"/>
        </w:rPr>
        <w:footnoteReference w:id="20"/>
      </w:r>
      <w:r>
        <w:rPr>
          <w:rFonts w:ascii="Arial" w:hAnsi="Arial" w:cs="Arial"/>
          <w:sz w:val="24"/>
          <w:szCs w:val="24"/>
        </w:rPr>
        <w:t>. Pour les autres (FMI &amp; BM), il faut démanteler ces filières intégrées et créer plusieurs sociétés cotonnières afin de susciter une concurrence entre elles, ce qui améliorerait la performance globale de ces filières. La question relative au mode de coordination de ces mécanismes est alors soulevée : coordination marchande ou ex-post par les prix du marché, coordination administrative ou ex-ante par la réglementation et les prix administrés.</w:t>
      </w:r>
    </w:p>
    <w:p w14:paraId="0B2BE0B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L’approche néoclassique orthodoxe préconise la suppression de toutes interventions extérieures au marché qui entraverait son bon fonctionnement. Le marché est donc le seul mode de coordination efficient permettant la fixation des prix et l’allocation des ressources (Guerrien, 1989 ; Cachuc, 1993). Le triomphe du libéralisme, depuis la fin des années 1980, a consacré la domination de cette approche et a fondé ce qu’il est convenu d’appeler le </w:t>
      </w:r>
      <w:r>
        <w:rPr>
          <w:rFonts w:ascii="Arial" w:hAnsi="Arial" w:cs="Arial"/>
          <w:i/>
          <w:iCs/>
          <w:sz w:val="24"/>
          <w:szCs w:val="24"/>
        </w:rPr>
        <w:t xml:space="preserve">« consensus de Washington » </w:t>
      </w:r>
      <w:r>
        <w:rPr>
          <w:rFonts w:ascii="Arial" w:hAnsi="Arial" w:cs="Arial"/>
          <w:sz w:val="24"/>
          <w:szCs w:val="24"/>
        </w:rPr>
        <w:t xml:space="preserve">(Grellet, 1999 ; Hugon, 1999). Partant d’une vision critique et des limites du marché, les approches économiques hétérodoxes, parmi lesquelles l’approche institutionnaliste et l’économie des conventions, préconisent des modes de coordination basés sur l’institution notamment l’Etat, l’organisation, les règles, les conventions, etc. (Favereau, 1989 ; Orlean, 1994 ; Valceschini, 1995 ; Ménard, 1997). Loin de la logique simplificatrice de substitution et d’opposition entre l’Etat et le marché, ces approches récemment développées visent à intégrer </w:t>
      </w:r>
      <w:r>
        <w:rPr>
          <w:rFonts w:ascii="Arial" w:hAnsi="Arial" w:cs="Arial"/>
          <w:sz w:val="24"/>
          <w:szCs w:val="24"/>
        </w:rPr>
        <w:lastRenderedPageBreak/>
        <w:t>les stratégies d’acteurs et la pluralité des formes organisationnelles en termes d’intégration de filière et de complexité systémique. Cette controverse théorique alimente le débat entre les acteurs impliqués dans le processus de réorganisation des filières cotonnières. Cela s’est traduit par la proposition de deux schémas de réorganisation : une intégration de la filière ou une libéralisation complète de la filière.</w:t>
      </w:r>
    </w:p>
    <w:p w14:paraId="2D57B640" w14:textId="77777777" w:rsidR="008862C7" w:rsidRDefault="008862C7" w:rsidP="008862C7">
      <w:pPr>
        <w:pStyle w:val="Titre7"/>
        <w:numPr>
          <w:ilvl w:val="0"/>
          <w:numId w:val="20"/>
        </w:numPr>
        <w:spacing w:after="120" w:line="360" w:lineRule="auto"/>
        <w:ind w:left="567" w:hanging="425"/>
        <w:rPr>
          <w:rFonts w:ascii="Arial" w:hAnsi="Arial" w:cs="Arial"/>
          <w:b/>
          <w:bCs/>
          <w:color w:val="auto"/>
        </w:rPr>
      </w:pPr>
      <w:r>
        <w:rPr>
          <w:rFonts w:ascii="Arial" w:hAnsi="Arial" w:cs="Arial"/>
          <w:b/>
          <w:bCs/>
          <w:color w:val="auto"/>
        </w:rPr>
        <w:t xml:space="preserve"> </w:t>
      </w:r>
      <w:bookmarkStart w:id="105" w:name="_Toc395107583"/>
      <w:r>
        <w:rPr>
          <w:rFonts w:ascii="Arial" w:hAnsi="Arial" w:cs="Arial"/>
          <w:b/>
          <w:bCs/>
          <w:color w:val="auto"/>
        </w:rPr>
        <w:t>Enjeux de la libéralisation en AOC</w:t>
      </w:r>
      <w:bookmarkEnd w:id="105"/>
    </w:p>
    <w:p w14:paraId="18F787D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Dans un contexte d’endettement, conduisant à des politiques d’ajustement macro-économiques et sectorielles, et également de crise financière et de faible transparence des filières, la conditionnalité de la libéralisation et de la privatisation a été imposée par la Banque mondiale et le Fonds monétaire international dans la plupart des secteurs, notamment agricoles et plus spécialement le coton. L’organisation en filières est apparue en opposition avec les principes économiques standards en termes de lois du marché, de concurrence entre agents et avec la transparence et la bonne gouvernance nécessaires (Hugon, 2005).</w:t>
      </w:r>
    </w:p>
    <w:p w14:paraId="6B226392"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Les réformes proposées par la Banque Mondiale et le Fonds Monétaire International consistent en la privatisation des sociétés cotonnières (répartition du capital social) et au démantèlement du monopole de ces sociétés pour développer la concurrence entre plusieurs opérateurs et supprimer les « distorsions » au marché, liées à l’intervention de l’Etat dans la gestion de ces structures. Ces réformes devraient permettre, à la fois, de relever le niveau d’efficacité et les marges, et de réduire les coûts de production dans ce secteur, permettant aux producteurs de recevoir une part importante des prix d’exportation (Echos des cotonniers, 1998 ; Fraval, 2000 ; Badiane, 2006 ; Mbétid-Bessane </w:t>
      </w:r>
      <w:r>
        <w:rPr>
          <w:rFonts w:ascii="Arial" w:hAnsi="Arial" w:cs="Arial"/>
          <w:i/>
          <w:iCs/>
          <w:sz w:val="24"/>
          <w:szCs w:val="24"/>
        </w:rPr>
        <w:t>et al.</w:t>
      </w:r>
      <w:r>
        <w:rPr>
          <w:rFonts w:ascii="Arial" w:hAnsi="Arial" w:cs="Arial"/>
          <w:sz w:val="24"/>
          <w:szCs w:val="24"/>
        </w:rPr>
        <w:t>, 2002). En outre, les sociétés cotonnières, soumises à la concurrence, tâcheraient de réduire leurs coûts et d’améliorer la qualité du coton, ce qui permettra une meilleure valorisation du coton africain au plan international.</w:t>
      </w:r>
    </w:p>
    <w:p w14:paraId="2152C18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libéralisation ou la privatisation de ces filières ont pour objet de favoriser la concurrence, d’assurer un bon fonctionnement et une transparence des comptes des filières. Elles ont été notamment mises en œuvre dans les pays anglophones depuis plus de quinze ans et dans certains pays francophones depuis huit ans, notamment au Bénin, au Togo et en Côte d’Ivoire.</w:t>
      </w:r>
    </w:p>
    <w:p w14:paraId="7ED79B6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Ces réformes sont supposées permettre de : envoyer des signaux forts sur le marché du coton en Afrique de l’Ouest et du Centre ; encourager l’entrée de nouveaux opérateurs nationaux et internationaux, ce qui serait profitable aux producteurs ; introduire une concurrence au niveau de différents segments des filières intégrées ; et favoriser une allocation optimale des ressources.</w:t>
      </w:r>
    </w:p>
    <w:p w14:paraId="3070C6AF"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 xml:space="preserve">Les travaux de Pursell et Diop (1998) montrent que les prix libres sont favorables aux producteurs en termes de revenu. Ils soulignent les effets limités de la stabilisation des prix sur l’offre agricole. L’argumentaire repose à la fois sur quelques principes généraux, des études de cas et des comparaisons internationales. Un </w:t>
      </w:r>
      <w:r w:rsidR="00E72C3F">
        <w:rPr>
          <w:rFonts w:ascii="Arial" w:hAnsi="Arial" w:cs="Arial"/>
          <w:sz w:val="24"/>
          <w:szCs w:val="24"/>
        </w:rPr>
        <w:t>arrière-plan</w:t>
      </w:r>
      <w:r>
        <w:rPr>
          <w:rFonts w:ascii="Arial" w:hAnsi="Arial" w:cs="Arial"/>
          <w:sz w:val="24"/>
          <w:szCs w:val="24"/>
        </w:rPr>
        <w:t xml:space="preserve"> en termes géopolitiques n’est pas exclu quand on connaît le poids des lobbies des cotonniers du Sud des Etats-Unis ou la volonté de certaines firmes multinationales de rentrer sur un marché protégé. La volonté de rompre des relations de clientélisme entre les pays africains et l’ancienne métropole est présente, comme elle l’a été lors de la dévaluation des francs CFA en janvier 1994.</w:t>
      </w:r>
    </w:p>
    <w:p w14:paraId="7182F785"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Bien que l’argument avancé soit la meilleure rémunération des producteurs, ce schéma de libéralisation est porteur de plusieurs risques pour eux, notamment l’instabilité des prix (suppression des fonds de stabilisation), le désengagement des services d’encadrement et d’approvisionnement, et l’abandon, sous l’effet de la logique du profit par les sociétés cotonnières, des zones marginales de production.</w:t>
      </w:r>
    </w:p>
    <w:p w14:paraId="485EA240" w14:textId="77777777" w:rsidR="008862C7" w:rsidRDefault="008862C7" w:rsidP="008862C7">
      <w:pPr>
        <w:pStyle w:val="Paragraphedeliste"/>
        <w:numPr>
          <w:ilvl w:val="0"/>
          <w:numId w:val="19"/>
        </w:numPr>
        <w:autoSpaceDE w:val="0"/>
        <w:autoSpaceDN w:val="0"/>
        <w:adjustRightInd w:val="0"/>
        <w:spacing w:after="120" w:line="360" w:lineRule="auto"/>
        <w:ind w:left="1066" w:hanging="357"/>
        <w:jc w:val="both"/>
        <w:outlineLvl w:val="7"/>
        <w:rPr>
          <w:rFonts w:ascii="Arial" w:hAnsi="Arial" w:cs="Arial"/>
          <w:b/>
          <w:bCs/>
          <w:sz w:val="24"/>
          <w:szCs w:val="24"/>
        </w:rPr>
      </w:pPr>
      <w:bookmarkStart w:id="106" w:name="_Toc395107584"/>
      <w:r>
        <w:rPr>
          <w:rFonts w:ascii="Arial" w:hAnsi="Arial" w:cs="Arial"/>
          <w:b/>
          <w:bCs/>
          <w:sz w:val="24"/>
          <w:szCs w:val="24"/>
        </w:rPr>
        <w:t>Compétitivité du coton en AOC</w:t>
      </w:r>
      <w:bookmarkEnd w:id="106"/>
    </w:p>
    <w:p w14:paraId="718351AE" w14:textId="77777777" w:rsidR="008862C7" w:rsidRDefault="008862C7" w:rsidP="008862C7">
      <w:pPr>
        <w:pStyle w:val="Paragraphedeliste"/>
        <w:widowControl w:val="0"/>
        <w:autoSpaceDE w:val="0"/>
        <w:autoSpaceDN w:val="0"/>
        <w:adjustRightInd w:val="0"/>
        <w:spacing w:line="360" w:lineRule="auto"/>
        <w:ind w:left="0"/>
        <w:jc w:val="both"/>
        <w:rPr>
          <w:rFonts w:ascii="Arial" w:hAnsi="Arial" w:cs="Arial"/>
          <w:i/>
          <w:sz w:val="24"/>
          <w:szCs w:val="24"/>
        </w:rPr>
      </w:pPr>
      <w:r>
        <w:rPr>
          <w:rFonts w:ascii="Arial" w:hAnsi="Arial" w:cs="Arial"/>
          <w:i/>
          <w:sz w:val="24"/>
          <w:szCs w:val="24"/>
        </w:rPr>
        <w:t>« En</w:t>
      </w:r>
      <w:r>
        <w:rPr>
          <w:rFonts w:ascii="Arial" w:hAnsi="Arial" w:cs="Arial"/>
          <w:i/>
          <w:spacing w:val="-8"/>
          <w:sz w:val="24"/>
          <w:szCs w:val="24"/>
        </w:rPr>
        <w:t xml:space="preserve"> </w:t>
      </w:r>
      <w:r>
        <w:rPr>
          <w:rFonts w:ascii="Arial" w:hAnsi="Arial" w:cs="Arial"/>
          <w:i/>
          <w:w w:val="95"/>
          <w:sz w:val="24"/>
          <w:szCs w:val="24"/>
        </w:rPr>
        <w:t>A</w:t>
      </w:r>
      <w:r>
        <w:rPr>
          <w:rFonts w:ascii="Arial" w:hAnsi="Arial" w:cs="Arial"/>
          <w:i/>
          <w:spacing w:val="-1"/>
          <w:w w:val="95"/>
          <w:sz w:val="24"/>
          <w:szCs w:val="24"/>
        </w:rPr>
        <w:t>fr</w:t>
      </w:r>
      <w:r>
        <w:rPr>
          <w:rFonts w:ascii="Arial" w:hAnsi="Arial" w:cs="Arial"/>
          <w:i/>
          <w:spacing w:val="1"/>
          <w:w w:val="95"/>
          <w:sz w:val="24"/>
          <w:szCs w:val="24"/>
        </w:rPr>
        <w:t>iq</w:t>
      </w:r>
      <w:r>
        <w:rPr>
          <w:rFonts w:ascii="Arial" w:hAnsi="Arial" w:cs="Arial"/>
          <w:i/>
          <w:w w:val="95"/>
          <w:sz w:val="24"/>
          <w:szCs w:val="24"/>
        </w:rPr>
        <w:t>ue,</w:t>
      </w:r>
      <w:r>
        <w:rPr>
          <w:rFonts w:ascii="Arial" w:hAnsi="Arial" w:cs="Arial"/>
          <w:i/>
          <w:spacing w:val="16"/>
          <w:w w:val="95"/>
          <w:sz w:val="24"/>
          <w:szCs w:val="24"/>
        </w:rPr>
        <w:t xml:space="preserve"> </w:t>
      </w:r>
      <w:r>
        <w:rPr>
          <w:rFonts w:ascii="Arial" w:hAnsi="Arial" w:cs="Arial"/>
          <w:i/>
          <w:sz w:val="24"/>
          <w:szCs w:val="24"/>
        </w:rPr>
        <w:t>en</w:t>
      </w:r>
      <w:r>
        <w:rPr>
          <w:rFonts w:ascii="Arial" w:hAnsi="Arial" w:cs="Arial"/>
          <w:i/>
          <w:spacing w:val="-4"/>
          <w:sz w:val="24"/>
          <w:szCs w:val="24"/>
        </w:rPr>
        <w:t xml:space="preserve"> </w:t>
      </w:r>
      <w:r>
        <w:rPr>
          <w:rFonts w:ascii="Arial" w:hAnsi="Arial" w:cs="Arial"/>
          <w:i/>
          <w:spacing w:val="1"/>
          <w:w w:val="95"/>
          <w:sz w:val="24"/>
          <w:szCs w:val="24"/>
        </w:rPr>
        <w:t>O</w:t>
      </w:r>
      <w:r>
        <w:rPr>
          <w:rFonts w:ascii="Arial" w:hAnsi="Arial" w:cs="Arial"/>
          <w:i/>
          <w:w w:val="95"/>
          <w:sz w:val="24"/>
          <w:szCs w:val="24"/>
        </w:rPr>
        <w:t>u</w:t>
      </w:r>
      <w:r>
        <w:rPr>
          <w:rFonts w:ascii="Arial" w:hAnsi="Arial" w:cs="Arial"/>
          <w:i/>
          <w:spacing w:val="-3"/>
          <w:w w:val="95"/>
          <w:sz w:val="24"/>
          <w:szCs w:val="24"/>
        </w:rPr>
        <w:t>z</w:t>
      </w:r>
      <w:r>
        <w:rPr>
          <w:rFonts w:ascii="Arial" w:hAnsi="Arial" w:cs="Arial"/>
          <w:i/>
          <w:spacing w:val="1"/>
          <w:w w:val="95"/>
          <w:sz w:val="24"/>
          <w:szCs w:val="24"/>
        </w:rPr>
        <w:t>b</w:t>
      </w:r>
      <w:r>
        <w:rPr>
          <w:rFonts w:ascii="Arial" w:hAnsi="Arial" w:cs="Arial"/>
          <w:i/>
          <w:w w:val="95"/>
          <w:sz w:val="24"/>
          <w:szCs w:val="24"/>
        </w:rPr>
        <w:t>é</w:t>
      </w:r>
      <w:r>
        <w:rPr>
          <w:rFonts w:ascii="Arial" w:hAnsi="Arial" w:cs="Arial"/>
          <w:i/>
          <w:spacing w:val="-1"/>
          <w:w w:val="95"/>
          <w:sz w:val="24"/>
          <w:szCs w:val="24"/>
        </w:rPr>
        <w:t>k</w:t>
      </w:r>
      <w:r>
        <w:rPr>
          <w:rFonts w:ascii="Arial" w:hAnsi="Arial" w:cs="Arial"/>
          <w:i/>
          <w:spacing w:val="1"/>
          <w:w w:val="95"/>
          <w:sz w:val="24"/>
          <w:szCs w:val="24"/>
        </w:rPr>
        <w:t>i</w:t>
      </w:r>
      <w:r>
        <w:rPr>
          <w:rFonts w:ascii="Arial" w:hAnsi="Arial" w:cs="Arial"/>
          <w:i/>
          <w:spacing w:val="-1"/>
          <w:w w:val="95"/>
          <w:sz w:val="24"/>
          <w:szCs w:val="24"/>
        </w:rPr>
        <w:t>s</w:t>
      </w:r>
      <w:r>
        <w:rPr>
          <w:rFonts w:ascii="Arial" w:hAnsi="Arial" w:cs="Arial"/>
          <w:i/>
          <w:w w:val="95"/>
          <w:sz w:val="24"/>
          <w:szCs w:val="24"/>
        </w:rPr>
        <w:t>t</w:t>
      </w:r>
      <w:r>
        <w:rPr>
          <w:rFonts w:ascii="Arial" w:hAnsi="Arial" w:cs="Arial"/>
          <w:i/>
          <w:spacing w:val="1"/>
          <w:w w:val="95"/>
          <w:sz w:val="24"/>
          <w:szCs w:val="24"/>
        </w:rPr>
        <w:t>a</w:t>
      </w:r>
      <w:r>
        <w:rPr>
          <w:rFonts w:ascii="Arial" w:hAnsi="Arial" w:cs="Arial"/>
          <w:i/>
          <w:w w:val="95"/>
          <w:sz w:val="24"/>
          <w:szCs w:val="24"/>
        </w:rPr>
        <w:t>n</w:t>
      </w:r>
      <w:r>
        <w:rPr>
          <w:rFonts w:ascii="Arial" w:hAnsi="Arial" w:cs="Arial"/>
          <w:i/>
          <w:spacing w:val="21"/>
          <w:w w:val="95"/>
          <w:sz w:val="24"/>
          <w:szCs w:val="24"/>
        </w:rPr>
        <w:t xml:space="preserve"> </w:t>
      </w:r>
      <w:r>
        <w:rPr>
          <w:rFonts w:ascii="Arial" w:hAnsi="Arial" w:cs="Arial"/>
          <w:i/>
          <w:sz w:val="24"/>
          <w:szCs w:val="24"/>
        </w:rPr>
        <w:t>et</w:t>
      </w:r>
      <w:r>
        <w:rPr>
          <w:rFonts w:ascii="Arial" w:hAnsi="Arial" w:cs="Arial"/>
          <w:i/>
          <w:spacing w:val="-3"/>
          <w:sz w:val="24"/>
          <w:szCs w:val="24"/>
        </w:rPr>
        <w:t xml:space="preserve"> </w:t>
      </w:r>
      <w:r>
        <w:rPr>
          <w:rFonts w:ascii="Arial" w:hAnsi="Arial" w:cs="Arial"/>
          <w:i/>
          <w:spacing w:val="-1"/>
          <w:sz w:val="24"/>
          <w:szCs w:val="24"/>
        </w:rPr>
        <w:t>d</w:t>
      </w:r>
      <w:r>
        <w:rPr>
          <w:rFonts w:ascii="Arial" w:hAnsi="Arial" w:cs="Arial"/>
          <w:i/>
          <w:spacing w:val="1"/>
          <w:sz w:val="24"/>
          <w:szCs w:val="24"/>
        </w:rPr>
        <w:t>a</w:t>
      </w:r>
      <w:r>
        <w:rPr>
          <w:rFonts w:ascii="Arial" w:hAnsi="Arial" w:cs="Arial"/>
          <w:i/>
          <w:sz w:val="24"/>
          <w:szCs w:val="24"/>
        </w:rPr>
        <w:t>ns</w:t>
      </w:r>
      <w:r>
        <w:rPr>
          <w:rFonts w:ascii="Arial" w:hAnsi="Arial" w:cs="Arial"/>
          <w:i/>
          <w:spacing w:val="-18"/>
          <w:sz w:val="24"/>
          <w:szCs w:val="24"/>
        </w:rPr>
        <w:t xml:space="preserve"> </w:t>
      </w:r>
      <w:r>
        <w:rPr>
          <w:rFonts w:ascii="Arial" w:hAnsi="Arial" w:cs="Arial"/>
          <w:i/>
          <w:spacing w:val="1"/>
          <w:sz w:val="24"/>
          <w:szCs w:val="24"/>
        </w:rPr>
        <w:t>l</w:t>
      </w:r>
      <w:r>
        <w:rPr>
          <w:rFonts w:ascii="Arial" w:hAnsi="Arial" w:cs="Arial"/>
          <w:i/>
          <w:sz w:val="24"/>
          <w:szCs w:val="24"/>
        </w:rPr>
        <w:t>e</w:t>
      </w:r>
      <w:r>
        <w:rPr>
          <w:rFonts w:ascii="Arial" w:hAnsi="Arial" w:cs="Arial"/>
          <w:i/>
          <w:spacing w:val="-1"/>
          <w:sz w:val="24"/>
          <w:szCs w:val="24"/>
        </w:rPr>
        <w:t xml:space="preserve"> </w:t>
      </w:r>
      <w:r>
        <w:rPr>
          <w:rFonts w:ascii="Arial" w:hAnsi="Arial" w:cs="Arial"/>
          <w:i/>
          <w:spacing w:val="-3"/>
          <w:sz w:val="24"/>
          <w:szCs w:val="24"/>
        </w:rPr>
        <w:t>d</w:t>
      </w:r>
      <w:r>
        <w:rPr>
          <w:rFonts w:ascii="Arial" w:hAnsi="Arial" w:cs="Arial"/>
          <w:i/>
          <w:sz w:val="24"/>
          <w:szCs w:val="24"/>
        </w:rPr>
        <w:t>e</w:t>
      </w:r>
      <w:r>
        <w:rPr>
          <w:rFonts w:ascii="Arial" w:hAnsi="Arial" w:cs="Arial"/>
          <w:i/>
          <w:spacing w:val="1"/>
          <w:sz w:val="24"/>
          <w:szCs w:val="24"/>
        </w:rPr>
        <w:t>l</w:t>
      </w:r>
      <w:r>
        <w:rPr>
          <w:rFonts w:ascii="Arial" w:hAnsi="Arial" w:cs="Arial"/>
          <w:i/>
          <w:sz w:val="24"/>
          <w:szCs w:val="24"/>
        </w:rPr>
        <w:t>ta</w:t>
      </w:r>
      <w:r>
        <w:rPr>
          <w:rFonts w:ascii="Arial" w:hAnsi="Arial" w:cs="Arial"/>
          <w:i/>
          <w:spacing w:val="-19"/>
          <w:sz w:val="24"/>
          <w:szCs w:val="24"/>
        </w:rPr>
        <w:t xml:space="preserve"> </w:t>
      </w:r>
      <w:r>
        <w:rPr>
          <w:rFonts w:ascii="Arial" w:hAnsi="Arial" w:cs="Arial"/>
          <w:i/>
          <w:spacing w:val="-1"/>
          <w:sz w:val="24"/>
          <w:szCs w:val="24"/>
        </w:rPr>
        <w:t>d</w:t>
      </w:r>
      <w:r>
        <w:rPr>
          <w:rFonts w:ascii="Arial" w:hAnsi="Arial" w:cs="Arial"/>
          <w:i/>
          <w:sz w:val="24"/>
          <w:szCs w:val="24"/>
        </w:rPr>
        <w:t>u</w:t>
      </w:r>
      <w:r>
        <w:rPr>
          <w:rFonts w:ascii="Arial" w:hAnsi="Arial" w:cs="Arial"/>
          <w:i/>
          <w:spacing w:val="-5"/>
          <w:sz w:val="24"/>
          <w:szCs w:val="24"/>
        </w:rPr>
        <w:t xml:space="preserve"> </w:t>
      </w:r>
      <w:r>
        <w:rPr>
          <w:rFonts w:ascii="Arial" w:hAnsi="Arial" w:cs="Arial"/>
          <w:i/>
          <w:spacing w:val="-1"/>
          <w:sz w:val="24"/>
          <w:szCs w:val="24"/>
        </w:rPr>
        <w:t>N</w:t>
      </w:r>
      <w:r>
        <w:rPr>
          <w:rFonts w:ascii="Arial" w:hAnsi="Arial" w:cs="Arial"/>
          <w:i/>
          <w:spacing w:val="1"/>
          <w:sz w:val="24"/>
          <w:szCs w:val="24"/>
        </w:rPr>
        <w:t>il</w:t>
      </w:r>
      <w:r>
        <w:rPr>
          <w:rFonts w:ascii="Arial" w:hAnsi="Arial" w:cs="Arial"/>
          <w:i/>
          <w:sz w:val="24"/>
          <w:szCs w:val="24"/>
        </w:rPr>
        <w:t>,</w:t>
      </w:r>
      <w:r>
        <w:rPr>
          <w:rFonts w:ascii="Arial" w:hAnsi="Arial" w:cs="Arial"/>
          <w:i/>
          <w:spacing w:val="-11"/>
          <w:sz w:val="24"/>
          <w:szCs w:val="24"/>
        </w:rPr>
        <w:t xml:space="preserve"> </w:t>
      </w:r>
      <w:r>
        <w:rPr>
          <w:rFonts w:ascii="Arial" w:hAnsi="Arial" w:cs="Arial"/>
          <w:i/>
          <w:spacing w:val="-1"/>
          <w:sz w:val="24"/>
          <w:szCs w:val="24"/>
        </w:rPr>
        <w:t>c’</w:t>
      </w:r>
      <w:r>
        <w:rPr>
          <w:rFonts w:ascii="Arial" w:hAnsi="Arial" w:cs="Arial"/>
          <w:i/>
          <w:sz w:val="24"/>
          <w:szCs w:val="24"/>
        </w:rPr>
        <w:t>e</w:t>
      </w:r>
      <w:r>
        <w:rPr>
          <w:rFonts w:ascii="Arial" w:hAnsi="Arial" w:cs="Arial"/>
          <w:i/>
          <w:spacing w:val="-1"/>
          <w:sz w:val="24"/>
          <w:szCs w:val="24"/>
        </w:rPr>
        <w:t>s</w:t>
      </w:r>
      <w:r>
        <w:rPr>
          <w:rFonts w:ascii="Arial" w:hAnsi="Arial" w:cs="Arial"/>
          <w:i/>
          <w:sz w:val="24"/>
          <w:szCs w:val="24"/>
        </w:rPr>
        <w:t>t</w:t>
      </w:r>
      <w:r>
        <w:rPr>
          <w:rFonts w:ascii="Arial" w:hAnsi="Arial" w:cs="Arial"/>
          <w:i/>
          <w:spacing w:val="-15"/>
          <w:sz w:val="24"/>
          <w:szCs w:val="24"/>
        </w:rPr>
        <w:t xml:space="preserve"> </w:t>
      </w:r>
      <w:r>
        <w:rPr>
          <w:rFonts w:ascii="Arial" w:hAnsi="Arial" w:cs="Arial"/>
          <w:i/>
          <w:spacing w:val="1"/>
          <w:sz w:val="24"/>
          <w:szCs w:val="24"/>
        </w:rPr>
        <w:t>l</w:t>
      </w:r>
      <w:r>
        <w:rPr>
          <w:rFonts w:ascii="Arial" w:hAnsi="Arial" w:cs="Arial"/>
          <w:i/>
          <w:sz w:val="24"/>
          <w:szCs w:val="24"/>
        </w:rPr>
        <w:t xml:space="preserve">a </w:t>
      </w:r>
      <w:r>
        <w:rPr>
          <w:rFonts w:ascii="Arial" w:hAnsi="Arial" w:cs="Arial"/>
          <w:i/>
          <w:spacing w:val="-1"/>
          <w:sz w:val="24"/>
          <w:szCs w:val="24"/>
        </w:rPr>
        <w:t>f</w:t>
      </w:r>
      <w:r>
        <w:rPr>
          <w:rFonts w:ascii="Arial" w:hAnsi="Arial" w:cs="Arial"/>
          <w:i/>
          <w:spacing w:val="1"/>
          <w:sz w:val="24"/>
          <w:szCs w:val="24"/>
        </w:rPr>
        <w:t>a</w:t>
      </w:r>
      <w:r>
        <w:rPr>
          <w:rFonts w:ascii="Arial" w:hAnsi="Arial" w:cs="Arial"/>
          <w:i/>
          <w:sz w:val="24"/>
          <w:szCs w:val="24"/>
        </w:rPr>
        <w:t>m</w:t>
      </w:r>
      <w:r>
        <w:rPr>
          <w:rFonts w:ascii="Arial" w:hAnsi="Arial" w:cs="Arial"/>
          <w:i/>
          <w:spacing w:val="1"/>
          <w:sz w:val="24"/>
          <w:szCs w:val="24"/>
        </w:rPr>
        <w:t>i</w:t>
      </w:r>
      <w:r>
        <w:rPr>
          <w:rFonts w:ascii="Arial" w:hAnsi="Arial" w:cs="Arial"/>
          <w:i/>
          <w:spacing w:val="-1"/>
          <w:sz w:val="24"/>
          <w:szCs w:val="24"/>
        </w:rPr>
        <w:t>l</w:t>
      </w:r>
      <w:r>
        <w:rPr>
          <w:rFonts w:ascii="Arial" w:hAnsi="Arial" w:cs="Arial"/>
          <w:i/>
          <w:spacing w:val="1"/>
          <w:sz w:val="24"/>
          <w:szCs w:val="24"/>
        </w:rPr>
        <w:t>l</w:t>
      </w:r>
      <w:r>
        <w:rPr>
          <w:rFonts w:ascii="Arial" w:hAnsi="Arial" w:cs="Arial"/>
          <w:i/>
          <w:sz w:val="24"/>
          <w:szCs w:val="24"/>
        </w:rPr>
        <w:t>e</w:t>
      </w:r>
      <w:r>
        <w:rPr>
          <w:rFonts w:ascii="Arial" w:hAnsi="Arial" w:cs="Arial"/>
          <w:i/>
          <w:spacing w:val="-16"/>
          <w:sz w:val="24"/>
          <w:szCs w:val="24"/>
        </w:rPr>
        <w:t xml:space="preserve"> </w:t>
      </w:r>
      <w:r>
        <w:rPr>
          <w:rFonts w:ascii="Arial" w:hAnsi="Arial" w:cs="Arial"/>
          <w:i/>
          <w:spacing w:val="1"/>
          <w:sz w:val="24"/>
          <w:szCs w:val="24"/>
        </w:rPr>
        <w:t>q</w:t>
      </w:r>
      <w:r>
        <w:rPr>
          <w:rFonts w:ascii="Arial" w:hAnsi="Arial" w:cs="Arial"/>
          <w:i/>
          <w:spacing w:val="-2"/>
          <w:sz w:val="24"/>
          <w:szCs w:val="24"/>
        </w:rPr>
        <w:t>u</w:t>
      </w:r>
      <w:r>
        <w:rPr>
          <w:rFonts w:ascii="Arial" w:hAnsi="Arial" w:cs="Arial"/>
          <w:i/>
          <w:sz w:val="24"/>
          <w:szCs w:val="24"/>
        </w:rPr>
        <w:t>i</w:t>
      </w:r>
      <w:r>
        <w:rPr>
          <w:rFonts w:ascii="Arial" w:hAnsi="Arial" w:cs="Arial"/>
          <w:i/>
          <w:spacing w:val="7"/>
          <w:sz w:val="24"/>
          <w:szCs w:val="24"/>
        </w:rPr>
        <w:t xml:space="preserve"> </w:t>
      </w:r>
      <w:r>
        <w:rPr>
          <w:rFonts w:ascii="Arial" w:hAnsi="Arial" w:cs="Arial"/>
          <w:i/>
          <w:spacing w:val="-1"/>
          <w:sz w:val="24"/>
          <w:szCs w:val="24"/>
        </w:rPr>
        <w:t>s</w:t>
      </w:r>
      <w:r>
        <w:rPr>
          <w:rFonts w:ascii="Arial" w:hAnsi="Arial" w:cs="Arial"/>
          <w:i/>
          <w:sz w:val="24"/>
          <w:szCs w:val="24"/>
        </w:rPr>
        <w:t>ème,</w:t>
      </w:r>
      <w:r>
        <w:rPr>
          <w:rFonts w:ascii="Arial" w:hAnsi="Arial" w:cs="Arial"/>
          <w:i/>
          <w:spacing w:val="-8"/>
          <w:sz w:val="24"/>
          <w:szCs w:val="24"/>
        </w:rPr>
        <w:t xml:space="preserve"> </w:t>
      </w:r>
      <w:r>
        <w:rPr>
          <w:rFonts w:ascii="Arial" w:hAnsi="Arial" w:cs="Arial"/>
          <w:i/>
          <w:spacing w:val="-1"/>
          <w:sz w:val="24"/>
          <w:szCs w:val="24"/>
        </w:rPr>
        <w:t>c</w:t>
      </w:r>
      <w:r>
        <w:rPr>
          <w:rFonts w:ascii="Arial" w:hAnsi="Arial" w:cs="Arial"/>
          <w:i/>
          <w:sz w:val="24"/>
          <w:szCs w:val="24"/>
        </w:rPr>
        <w:t>u</w:t>
      </w:r>
      <w:r>
        <w:rPr>
          <w:rFonts w:ascii="Arial" w:hAnsi="Arial" w:cs="Arial"/>
          <w:i/>
          <w:spacing w:val="1"/>
          <w:sz w:val="24"/>
          <w:szCs w:val="24"/>
        </w:rPr>
        <w:t>l</w:t>
      </w:r>
      <w:r>
        <w:rPr>
          <w:rFonts w:ascii="Arial" w:hAnsi="Arial" w:cs="Arial"/>
          <w:i/>
          <w:spacing w:val="-2"/>
          <w:sz w:val="24"/>
          <w:szCs w:val="24"/>
        </w:rPr>
        <w:t>t</w:t>
      </w:r>
      <w:r>
        <w:rPr>
          <w:rFonts w:ascii="Arial" w:hAnsi="Arial" w:cs="Arial"/>
          <w:i/>
          <w:spacing w:val="1"/>
          <w:sz w:val="24"/>
          <w:szCs w:val="24"/>
        </w:rPr>
        <w:t>iv</w:t>
      </w:r>
      <w:r>
        <w:rPr>
          <w:rFonts w:ascii="Arial" w:hAnsi="Arial" w:cs="Arial"/>
          <w:i/>
          <w:sz w:val="24"/>
          <w:szCs w:val="24"/>
        </w:rPr>
        <w:t>e</w:t>
      </w:r>
      <w:r>
        <w:rPr>
          <w:rFonts w:ascii="Arial" w:hAnsi="Arial" w:cs="Arial"/>
          <w:i/>
          <w:spacing w:val="-13"/>
          <w:sz w:val="24"/>
          <w:szCs w:val="24"/>
        </w:rPr>
        <w:t xml:space="preserve"> </w:t>
      </w:r>
      <w:r>
        <w:rPr>
          <w:rFonts w:ascii="Arial" w:hAnsi="Arial" w:cs="Arial"/>
          <w:i/>
          <w:sz w:val="24"/>
          <w:szCs w:val="24"/>
        </w:rPr>
        <w:t>et,</w:t>
      </w:r>
      <w:r>
        <w:rPr>
          <w:rFonts w:ascii="Arial" w:hAnsi="Arial" w:cs="Arial"/>
          <w:i/>
          <w:spacing w:val="6"/>
          <w:sz w:val="24"/>
          <w:szCs w:val="24"/>
        </w:rPr>
        <w:t xml:space="preserve"> </w:t>
      </w:r>
      <w:r>
        <w:rPr>
          <w:rFonts w:ascii="Arial" w:hAnsi="Arial" w:cs="Arial"/>
          <w:i/>
          <w:spacing w:val="1"/>
          <w:sz w:val="24"/>
          <w:szCs w:val="24"/>
        </w:rPr>
        <w:t>av</w:t>
      </w:r>
      <w:r>
        <w:rPr>
          <w:rFonts w:ascii="Arial" w:hAnsi="Arial" w:cs="Arial"/>
          <w:i/>
          <w:sz w:val="24"/>
          <w:szCs w:val="24"/>
        </w:rPr>
        <w:t>ec</w:t>
      </w:r>
      <w:r>
        <w:rPr>
          <w:rFonts w:ascii="Arial" w:hAnsi="Arial" w:cs="Arial"/>
          <w:i/>
          <w:spacing w:val="-3"/>
          <w:sz w:val="24"/>
          <w:szCs w:val="24"/>
        </w:rPr>
        <w:t xml:space="preserve"> </w:t>
      </w:r>
      <w:r>
        <w:rPr>
          <w:rFonts w:ascii="Arial" w:hAnsi="Arial" w:cs="Arial"/>
          <w:i/>
          <w:spacing w:val="1"/>
          <w:sz w:val="24"/>
          <w:szCs w:val="24"/>
        </w:rPr>
        <w:t>l</w:t>
      </w:r>
      <w:r>
        <w:rPr>
          <w:rFonts w:ascii="Arial" w:hAnsi="Arial" w:cs="Arial"/>
          <w:i/>
          <w:spacing w:val="-1"/>
          <w:sz w:val="24"/>
          <w:szCs w:val="24"/>
        </w:rPr>
        <w:t>’a</w:t>
      </w:r>
      <w:r>
        <w:rPr>
          <w:rFonts w:ascii="Arial" w:hAnsi="Arial" w:cs="Arial"/>
          <w:i/>
          <w:spacing w:val="1"/>
          <w:sz w:val="24"/>
          <w:szCs w:val="24"/>
        </w:rPr>
        <w:t>i</w:t>
      </w:r>
      <w:r>
        <w:rPr>
          <w:rFonts w:ascii="Arial" w:hAnsi="Arial" w:cs="Arial"/>
          <w:i/>
          <w:spacing w:val="-1"/>
          <w:sz w:val="24"/>
          <w:szCs w:val="24"/>
        </w:rPr>
        <w:t>d</w:t>
      </w:r>
      <w:r>
        <w:rPr>
          <w:rFonts w:ascii="Arial" w:hAnsi="Arial" w:cs="Arial"/>
          <w:i/>
          <w:sz w:val="24"/>
          <w:szCs w:val="24"/>
        </w:rPr>
        <w:t>e</w:t>
      </w:r>
      <w:r>
        <w:rPr>
          <w:rFonts w:ascii="Arial" w:hAnsi="Arial" w:cs="Arial"/>
          <w:i/>
          <w:spacing w:val="-7"/>
          <w:sz w:val="24"/>
          <w:szCs w:val="24"/>
        </w:rPr>
        <w:t xml:space="preserve"> </w:t>
      </w:r>
      <w:r>
        <w:rPr>
          <w:rFonts w:ascii="Arial" w:hAnsi="Arial" w:cs="Arial"/>
          <w:i/>
          <w:spacing w:val="-1"/>
          <w:sz w:val="24"/>
          <w:szCs w:val="24"/>
        </w:rPr>
        <w:t>d</w:t>
      </w:r>
      <w:r>
        <w:rPr>
          <w:rFonts w:ascii="Arial" w:hAnsi="Arial" w:cs="Arial"/>
          <w:i/>
          <w:sz w:val="24"/>
          <w:szCs w:val="24"/>
        </w:rPr>
        <w:t>es</w:t>
      </w:r>
      <w:r>
        <w:rPr>
          <w:rFonts w:ascii="Arial" w:hAnsi="Arial" w:cs="Arial"/>
          <w:i/>
          <w:spacing w:val="6"/>
          <w:sz w:val="24"/>
          <w:szCs w:val="24"/>
        </w:rPr>
        <w:t xml:space="preserve"> </w:t>
      </w:r>
      <w:r>
        <w:rPr>
          <w:rFonts w:ascii="Arial" w:hAnsi="Arial" w:cs="Arial"/>
          <w:i/>
          <w:sz w:val="24"/>
          <w:szCs w:val="24"/>
        </w:rPr>
        <w:t>en</w:t>
      </w:r>
      <w:r>
        <w:rPr>
          <w:rFonts w:ascii="Arial" w:hAnsi="Arial" w:cs="Arial"/>
          <w:i/>
          <w:spacing w:val="-1"/>
          <w:sz w:val="24"/>
          <w:szCs w:val="24"/>
        </w:rPr>
        <w:t>f</w:t>
      </w:r>
      <w:r>
        <w:rPr>
          <w:rFonts w:ascii="Arial" w:hAnsi="Arial" w:cs="Arial"/>
          <w:i/>
          <w:spacing w:val="1"/>
          <w:sz w:val="24"/>
          <w:szCs w:val="24"/>
        </w:rPr>
        <w:t>a</w:t>
      </w:r>
      <w:r>
        <w:rPr>
          <w:rFonts w:ascii="Arial" w:hAnsi="Arial" w:cs="Arial"/>
          <w:i/>
          <w:sz w:val="24"/>
          <w:szCs w:val="24"/>
        </w:rPr>
        <w:t>nt</w:t>
      </w:r>
      <w:r>
        <w:rPr>
          <w:rFonts w:ascii="Arial" w:hAnsi="Arial" w:cs="Arial"/>
          <w:i/>
          <w:spacing w:val="-1"/>
          <w:sz w:val="24"/>
          <w:szCs w:val="24"/>
        </w:rPr>
        <w:t>s</w:t>
      </w:r>
      <w:r>
        <w:rPr>
          <w:rFonts w:ascii="Arial" w:hAnsi="Arial" w:cs="Arial"/>
          <w:i/>
          <w:sz w:val="24"/>
          <w:szCs w:val="24"/>
        </w:rPr>
        <w:t>,</w:t>
      </w:r>
      <w:r>
        <w:rPr>
          <w:rFonts w:ascii="Arial" w:hAnsi="Arial" w:cs="Arial"/>
          <w:i/>
          <w:spacing w:val="-19"/>
          <w:sz w:val="24"/>
          <w:szCs w:val="24"/>
        </w:rPr>
        <w:t xml:space="preserve"> </w:t>
      </w:r>
      <w:r>
        <w:rPr>
          <w:rFonts w:ascii="Arial" w:hAnsi="Arial" w:cs="Arial"/>
          <w:i/>
          <w:spacing w:val="-1"/>
          <w:sz w:val="24"/>
          <w:szCs w:val="24"/>
        </w:rPr>
        <w:t>r</w:t>
      </w:r>
      <w:r>
        <w:rPr>
          <w:rFonts w:ascii="Arial" w:hAnsi="Arial" w:cs="Arial"/>
          <w:i/>
          <w:sz w:val="24"/>
          <w:szCs w:val="24"/>
        </w:rPr>
        <w:t>é</w:t>
      </w:r>
      <w:r>
        <w:rPr>
          <w:rFonts w:ascii="Arial" w:hAnsi="Arial" w:cs="Arial"/>
          <w:i/>
          <w:spacing w:val="-1"/>
          <w:sz w:val="24"/>
          <w:szCs w:val="24"/>
        </w:rPr>
        <w:t>c</w:t>
      </w:r>
      <w:r>
        <w:rPr>
          <w:rFonts w:ascii="Arial" w:hAnsi="Arial" w:cs="Arial"/>
          <w:i/>
          <w:sz w:val="24"/>
          <w:szCs w:val="24"/>
        </w:rPr>
        <w:t>o</w:t>
      </w:r>
      <w:r>
        <w:rPr>
          <w:rFonts w:ascii="Arial" w:hAnsi="Arial" w:cs="Arial"/>
          <w:i/>
          <w:spacing w:val="1"/>
          <w:sz w:val="24"/>
          <w:szCs w:val="24"/>
        </w:rPr>
        <w:t>l</w:t>
      </w:r>
      <w:r>
        <w:rPr>
          <w:rFonts w:ascii="Arial" w:hAnsi="Arial" w:cs="Arial"/>
          <w:i/>
          <w:sz w:val="24"/>
          <w:szCs w:val="24"/>
        </w:rPr>
        <w:t>te</w:t>
      </w:r>
      <w:r>
        <w:rPr>
          <w:rFonts w:ascii="Arial" w:hAnsi="Arial" w:cs="Arial"/>
          <w:i/>
          <w:spacing w:val="-14"/>
          <w:sz w:val="24"/>
          <w:szCs w:val="24"/>
        </w:rPr>
        <w:t xml:space="preserve"> </w:t>
      </w:r>
      <w:r>
        <w:rPr>
          <w:rFonts w:ascii="Arial" w:hAnsi="Arial" w:cs="Arial"/>
          <w:i/>
          <w:spacing w:val="1"/>
          <w:sz w:val="24"/>
          <w:szCs w:val="24"/>
        </w:rPr>
        <w:t>l</w:t>
      </w:r>
      <w:r>
        <w:rPr>
          <w:rFonts w:ascii="Arial" w:hAnsi="Arial" w:cs="Arial"/>
          <w:i/>
          <w:sz w:val="24"/>
          <w:szCs w:val="24"/>
        </w:rPr>
        <w:t>e</w:t>
      </w:r>
      <w:r>
        <w:rPr>
          <w:rFonts w:ascii="Arial" w:hAnsi="Arial" w:cs="Arial"/>
          <w:i/>
          <w:spacing w:val="13"/>
          <w:sz w:val="24"/>
          <w:szCs w:val="24"/>
        </w:rPr>
        <w:t xml:space="preserve"> </w:t>
      </w:r>
      <w:r>
        <w:rPr>
          <w:rFonts w:ascii="Arial" w:hAnsi="Arial" w:cs="Arial"/>
          <w:i/>
          <w:spacing w:val="-1"/>
          <w:sz w:val="24"/>
          <w:szCs w:val="24"/>
        </w:rPr>
        <w:t>c</w:t>
      </w:r>
      <w:r>
        <w:rPr>
          <w:rFonts w:ascii="Arial" w:hAnsi="Arial" w:cs="Arial"/>
          <w:i/>
          <w:sz w:val="24"/>
          <w:szCs w:val="24"/>
        </w:rPr>
        <w:t>oton.</w:t>
      </w:r>
      <w:r>
        <w:rPr>
          <w:rFonts w:ascii="Arial" w:hAnsi="Arial" w:cs="Arial"/>
          <w:i/>
          <w:spacing w:val="-8"/>
          <w:sz w:val="24"/>
          <w:szCs w:val="24"/>
        </w:rPr>
        <w:t xml:space="preserve"> </w:t>
      </w:r>
      <w:r>
        <w:rPr>
          <w:rFonts w:ascii="Arial" w:hAnsi="Arial" w:cs="Arial"/>
          <w:i/>
          <w:sz w:val="24"/>
          <w:szCs w:val="24"/>
        </w:rPr>
        <w:t>C</w:t>
      </w:r>
      <w:r>
        <w:rPr>
          <w:rFonts w:ascii="Arial" w:hAnsi="Arial" w:cs="Arial"/>
          <w:i/>
          <w:spacing w:val="-1"/>
          <w:sz w:val="24"/>
          <w:szCs w:val="24"/>
        </w:rPr>
        <w:t>’</w:t>
      </w:r>
      <w:r>
        <w:rPr>
          <w:rFonts w:ascii="Arial" w:hAnsi="Arial" w:cs="Arial"/>
          <w:i/>
          <w:sz w:val="24"/>
          <w:szCs w:val="24"/>
        </w:rPr>
        <w:t>e</w:t>
      </w:r>
      <w:r>
        <w:rPr>
          <w:rFonts w:ascii="Arial" w:hAnsi="Arial" w:cs="Arial"/>
          <w:i/>
          <w:spacing w:val="-1"/>
          <w:sz w:val="24"/>
          <w:szCs w:val="24"/>
        </w:rPr>
        <w:t>s</w:t>
      </w:r>
      <w:r>
        <w:rPr>
          <w:rFonts w:ascii="Arial" w:hAnsi="Arial" w:cs="Arial"/>
          <w:i/>
          <w:sz w:val="24"/>
          <w:szCs w:val="24"/>
        </w:rPr>
        <w:t xml:space="preserve">t </w:t>
      </w:r>
      <w:r>
        <w:rPr>
          <w:rFonts w:ascii="Arial" w:hAnsi="Arial" w:cs="Arial"/>
          <w:i/>
          <w:spacing w:val="-1"/>
          <w:sz w:val="24"/>
          <w:szCs w:val="24"/>
        </w:rPr>
        <w:t>c</w:t>
      </w:r>
      <w:r>
        <w:rPr>
          <w:rFonts w:ascii="Arial" w:hAnsi="Arial" w:cs="Arial"/>
          <w:i/>
          <w:sz w:val="24"/>
          <w:szCs w:val="24"/>
        </w:rPr>
        <w:t>ette</w:t>
      </w:r>
      <w:r>
        <w:rPr>
          <w:rFonts w:ascii="Arial" w:hAnsi="Arial" w:cs="Arial"/>
          <w:i/>
          <w:spacing w:val="20"/>
          <w:sz w:val="24"/>
          <w:szCs w:val="24"/>
        </w:rPr>
        <w:t xml:space="preserve"> </w:t>
      </w:r>
      <w:r>
        <w:rPr>
          <w:rFonts w:ascii="Arial" w:hAnsi="Arial" w:cs="Arial"/>
          <w:i/>
          <w:sz w:val="24"/>
          <w:szCs w:val="24"/>
        </w:rPr>
        <w:t>m</w:t>
      </w:r>
      <w:r>
        <w:rPr>
          <w:rFonts w:ascii="Arial" w:hAnsi="Arial" w:cs="Arial"/>
          <w:i/>
          <w:spacing w:val="1"/>
          <w:sz w:val="24"/>
          <w:szCs w:val="24"/>
        </w:rPr>
        <w:t>ai</w:t>
      </w:r>
      <w:r>
        <w:rPr>
          <w:rFonts w:ascii="Arial" w:hAnsi="Arial" w:cs="Arial"/>
          <w:i/>
          <w:sz w:val="24"/>
          <w:szCs w:val="24"/>
        </w:rPr>
        <w:t>n</w:t>
      </w:r>
      <w:r>
        <w:rPr>
          <w:rFonts w:ascii="Arial" w:hAnsi="Arial" w:cs="Arial"/>
          <w:i/>
          <w:spacing w:val="16"/>
          <w:sz w:val="24"/>
          <w:szCs w:val="24"/>
        </w:rPr>
        <w:t xml:space="preserve"> </w:t>
      </w:r>
      <w:r>
        <w:rPr>
          <w:rFonts w:ascii="Arial" w:hAnsi="Arial" w:cs="Arial"/>
          <w:i/>
          <w:spacing w:val="-1"/>
          <w:sz w:val="24"/>
          <w:szCs w:val="24"/>
        </w:rPr>
        <w:t>d’œ</w:t>
      </w:r>
      <w:r>
        <w:rPr>
          <w:rFonts w:ascii="Arial" w:hAnsi="Arial" w:cs="Arial"/>
          <w:i/>
          <w:sz w:val="24"/>
          <w:szCs w:val="24"/>
        </w:rPr>
        <w:t>u</w:t>
      </w:r>
      <w:r>
        <w:rPr>
          <w:rFonts w:ascii="Arial" w:hAnsi="Arial" w:cs="Arial"/>
          <w:i/>
          <w:spacing w:val="1"/>
          <w:sz w:val="24"/>
          <w:szCs w:val="24"/>
        </w:rPr>
        <w:t>v</w:t>
      </w:r>
      <w:r>
        <w:rPr>
          <w:rFonts w:ascii="Arial" w:hAnsi="Arial" w:cs="Arial"/>
          <w:i/>
          <w:spacing w:val="-1"/>
          <w:sz w:val="24"/>
          <w:szCs w:val="24"/>
        </w:rPr>
        <w:t>r</w:t>
      </w:r>
      <w:r>
        <w:rPr>
          <w:rFonts w:ascii="Arial" w:hAnsi="Arial" w:cs="Arial"/>
          <w:i/>
          <w:sz w:val="24"/>
          <w:szCs w:val="24"/>
        </w:rPr>
        <w:t>e</w:t>
      </w:r>
      <w:r>
        <w:rPr>
          <w:rFonts w:ascii="Arial" w:hAnsi="Arial" w:cs="Arial"/>
          <w:i/>
          <w:spacing w:val="5"/>
          <w:sz w:val="24"/>
          <w:szCs w:val="24"/>
        </w:rPr>
        <w:t xml:space="preserve"> </w:t>
      </w:r>
      <w:r>
        <w:rPr>
          <w:rFonts w:ascii="Arial" w:hAnsi="Arial" w:cs="Arial"/>
          <w:i/>
          <w:spacing w:val="1"/>
          <w:sz w:val="24"/>
          <w:szCs w:val="24"/>
        </w:rPr>
        <w:t>g</w:t>
      </w:r>
      <w:r>
        <w:rPr>
          <w:rFonts w:ascii="Arial" w:hAnsi="Arial" w:cs="Arial"/>
          <w:i/>
          <w:spacing w:val="-1"/>
          <w:sz w:val="24"/>
          <w:szCs w:val="24"/>
        </w:rPr>
        <w:t>r</w:t>
      </w:r>
      <w:r>
        <w:rPr>
          <w:rFonts w:ascii="Arial" w:hAnsi="Arial" w:cs="Arial"/>
          <w:i/>
          <w:spacing w:val="1"/>
          <w:sz w:val="24"/>
          <w:szCs w:val="24"/>
        </w:rPr>
        <w:t>a</w:t>
      </w:r>
      <w:r>
        <w:rPr>
          <w:rFonts w:ascii="Arial" w:hAnsi="Arial" w:cs="Arial"/>
          <w:i/>
          <w:sz w:val="24"/>
          <w:szCs w:val="24"/>
        </w:rPr>
        <w:t>tu</w:t>
      </w:r>
      <w:r>
        <w:rPr>
          <w:rFonts w:ascii="Arial" w:hAnsi="Arial" w:cs="Arial"/>
          <w:i/>
          <w:spacing w:val="1"/>
          <w:sz w:val="24"/>
          <w:szCs w:val="24"/>
        </w:rPr>
        <w:t>i</w:t>
      </w:r>
      <w:r>
        <w:rPr>
          <w:rFonts w:ascii="Arial" w:hAnsi="Arial" w:cs="Arial"/>
          <w:i/>
          <w:sz w:val="24"/>
          <w:szCs w:val="24"/>
        </w:rPr>
        <w:t xml:space="preserve">te </w:t>
      </w:r>
      <w:r>
        <w:rPr>
          <w:rFonts w:ascii="Arial" w:hAnsi="Arial" w:cs="Arial"/>
          <w:i/>
          <w:spacing w:val="1"/>
          <w:sz w:val="24"/>
          <w:szCs w:val="24"/>
        </w:rPr>
        <w:t>q</w:t>
      </w:r>
      <w:r>
        <w:rPr>
          <w:rFonts w:ascii="Arial" w:hAnsi="Arial" w:cs="Arial"/>
          <w:i/>
          <w:spacing w:val="-2"/>
          <w:sz w:val="24"/>
          <w:szCs w:val="24"/>
        </w:rPr>
        <w:t>u</w:t>
      </w:r>
      <w:r>
        <w:rPr>
          <w:rFonts w:ascii="Arial" w:hAnsi="Arial" w:cs="Arial"/>
          <w:i/>
          <w:spacing w:val="1"/>
          <w:sz w:val="24"/>
          <w:szCs w:val="24"/>
        </w:rPr>
        <w:t>i</w:t>
      </w:r>
      <w:r>
        <w:rPr>
          <w:rFonts w:ascii="Arial" w:hAnsi="Arial" w:cs="Arial"/>
          <w:i/>
          <w:sz w:val="24"/>
          <w:szCs w:val="24"/>
        </w:rPr>
        <w:t>,</w:t>
      </w:r>
      <w:r>
        <w:rPr>
          <w:rFonts w:ascii="Arial" w:hAnsi="Arial" w:cs="Arial"/>
          <w:i/>
          <w:spacing w:val="27"/>
          <w:sz w:val="24"/>
          <w:szCs w:val="24"/>
        </w:rPr>
        <w:t xml:space="preserve"> </w:t>
      </w:r>
      <w:r>
        <w:rPr>
          <w:rFonts w:ascii="Arial" w:hAnsi="Arial" w:cs="Arial"/>
          <w:i/>
          <w:spacing w:val="-1"/>
          <w:sz w:val="24"/>
          <w:szCs w:val="24"/>
        </w:rPr>
        <w:t>p</w:t>
      </w:r>
      <w:r>
        <w:rPr>
          <w:rFonts w:ascii="Arial" w:hAnsi="Arial" w:cs="Arial"/>
          <w:i/>
          <w:spacing w:val="1"/>
          <w:sz w:val="24"/>
          <w:szCs w:val="24"/>
        </w:rPr>
        <w:t>a</w:t>
      </w:r>
      <w:r>
        <w:rPr>
          <w:rFonts w:ascii="Arial" w:hAnsi="Arial" w:cs="Arial"/>
          <w:i/>
          <w:spacing w:val="-1"/>
          <w:sz w:val="24"/>
          <w:szCs w:val="24"/>
        </w:rPr>
        <w:t>r</w:t>
      </w:r>
      <w:r>
        <w:rPr>
          <w:rFonts w:ascii="Arial" w:hAnsi="Arial" w:cs="Arial"/>
          <w:i/>
          <w:spacing w:val="-3"/>
          <w:sz w:val="24"/>
          <w:szCs w:val="24"/>
        </w:rPr>
        <w:t>f</w:t>
      </w:r>
      <w:r>
        <w:rPr>
          <w:rFonts w:ascii="Arial" w:hAnsi="Arial" w:cs="Arial"/>
          <w:i/>
          <w:sz w:val="24"/>
          <w:szCs w:val="24"/>
        </w:rPr>
        <w:t>o</w:t>
      </w:r>
      <w:r>
        <w:rPr>
          <w:rFonts w:ascii="Arial" w:hAnsi="Arial" w:cs="Arial"/>
          <w:i/>
          <w:spacing w:val="1"/>
          <w:sz w:val="24"/>
          <w:szCs w:val="24"/>
        </w:rPr>
        <w:t>i</w:t>
      </w:r>
      <w:r>
        <w:rPr>
          <w:rFonts w:ascii="Arial" w:hAnsi="Arial" w:cs="Arial"/>
          <w:i/>
          <w:sz w:val="24"/>
          <w:szCs w:val="24"/>
        </w:rPr>
        <w:t>s</w:t>
      </w:r>
      <w:r>
        <w:rPr>
          <w:rFonts w:ascii="Arial" w:hAnsi="Arial" w:cs="Arial"/>
          <w:i/>
          <w:spacing w:val="9"/>
          <w:sz w:val="24"/>
          <w:szCs w:val="24"/>
        </w:rPr>
        <w:t xml:space="preserve"> </w:t>
      </w:r>
      <w:r>
        <w:rPr>
          <w:rFonts w:ascii="Arial" w:hAnsi="Arial" w:cs="Arial"/>
          <w:i/>
          <w:spacing w:val="-1"/>
          <w:sz w:val="24"/>
          <w:szCs w:val="24"/>
        </w:rPr>
        <w:t>p</w:t>
      </w:r>
      <w:r>
        <w:rPr>
          <w:rFonts w:ascii="Arial" w:hAnsi="Arial" w:cs="Arial"/>
          <w:i/>
          <w:sz w:val="24"/>
          <w:szCs w:val="24"/>
        </w:rPr>
        <w:t>e</w:t>
      </w:r>
      <w:r>
        <w:rPr>
          <w:rFonts w:ascii="Arial" w:hAnsi="Arial" w:cs="Arial"/>
          <w:i/>
          <w:spacing w:val="-1"/>
          <w:sz w:val="24"/>
          <w:szCs w:val="24"/>
        </w:rPr>
        <w:t>r</w:t>
      </w:r>
      <w:r>
        <w:rPr>
          <w:rFonts w:ascii="Arial" w:hAnsi="Arial" w:cs="Arial"/>
          <w:i/>
          <w:sz w:val="24"/>
          <w:szCs w:val="24"/>
        </w:rPr>
        <w:t>met</w:t>
      </w:r>
      <w:r>
        <w:rPr>
          <w:rFonts w:ascii="Arial" w:hAnsi="Arial" w:cs="Arial"/>
          <w:i/>
          <w:spacing w:val="6"/>
          <w:sz w:val="24"/>
          <w:szCs w:val="24"/>
        </w:rPr>
        <w:t xml:space="preserve"> </w:t>
      </w:r>
      <w:r>
        <w:rPr>
          <w:rFonts w:ascii="Arial" w:hAnsi="Arial" w:cs="Arial"/>
          <w:i/>
          <w:spacing w:val="-1"/>
          <w:sz w:val="24"/>
          <w:szCs w:val="24"/>
        </w:rPr>
        <w:t>d</w:t>
      </w:r>
      <w:r>
        <w:rPr>
          <w:rFonts w:ascii="Arial" w:hAnsi="Arial" w:cs="Arial"/>
          <w:i/>
          <w:sz w:val="24"/>
          <w:szCs w:val="24"/>
        </w:rPr>
        <w:t>e</w:t>
      </w:r>
      <w:r>
        <w:rPr>
          <w:rFonts w:ascii="Arial" w:hAnsi="Arial" w:cs="Arial"/>
          <w:i/>
          <w:spacing w:val="33"/>
          <w:sz w:val="24"/>
          <w:szCs w:val="24"/>
        </w:rPr>
        <w:t xml:space="preserve"> </w:t>
      </w:r>
      <w:r>
        <w:rPr>
          <w:rFonts w:ascii="Arial" w:hAnsi="Arial" w:cs="Arial"/>
          <w:i/>
          <w:spacing w:val="-1"/>
          <w:sz w:val="24"/>
          <w:szCs w:val="24"/>
        </w:rPr>
        <w:t>r</w:t>
      </w:r>
      <w:r>
        <w:rPr>
          <w:rFonts w:ascii="Arial" w:hAnsi="Arial" w:cs="Arial"/>
          <w:i/>
          <w:sz w:val="24"/>
          <w:szCs w:val="24"/>
        </w:rPr>
        <w:t>é</w:t>
      </w:r>
      <w:r>
        <w:rPr>
          <w:rFonts w:ascii="Arial" w:hAnsi="Arial" w:cs="Arial"/>
          <w:i/>
          <w:spacing w:val="-1"/>
          <w:sz w:val="24"/>
          <w:szCs w:val="24"/>
        </w:rPr>
        <w:t>s</w:t>
      </w:r>
      <w:r>
        <w:rPr>
          <w:rFonts w:ascii="Arial" w:hAnsi="Arial" w:cs="Arial"/>
          <w:i/>
          <w:spacing w:val="1"/>
          <w:sz w:val="24"/>
          <w:szCs w:val="24"/>
        </w:rPr>
        <w:t>i</w:t>
      </w:r>
      <w:r>
        <w:rPr>
          <w:rFonts w:ascii="Arial" w:hAnsi="Arial" w:cs="Arial"/>
          <w:i/>
          <w:spacing w:val="-1"/>
          <w:sz w:val="24"/>
          <w:szCs w:val="24"/>
        </w:rPr>
        <w:t>s</w:t>
      </w:r>
      <w:r>
        <w:rPr>
          <w:rFonts w:ascii="Arial" w:hAnsi="Arial" w:cs="Arial"/>
          <w:i/>
          <w:sz w:val="24"/>
          <w:szCs w:val="24"/>
        </w:rPr>
        <w:t>ter</w:t>
      </w:r>
      <w:r>
        <w:rPr>
          <w:rFonts w:ascii="Arial" w:hAnsi="Arial" w:cs="Arial"/>
          <w:i/>
          <w:spacing w:val="7"/>
          <w:sz w:val="24"/>
          <w:szCs w:val="24"/>
        </w:rPr>
        <w:t xml:space="preserve"> </w:t>
      </w:r>
      <w:r>
        <w:rPr>
          <w:rFonts w:ascii="Arial" w:hAnsi="Arial" w:cs="Arial"/>
          <w:i/>
          <w:sz w:val="24"/>
          <w:szCs w:val="24"/>
        </w:rPr>
        <w:t>à</w:t>
      </w:r>
      <w:r>
        <w:rPr>
          <w:rFonts w:ascii="Arial" w:hAnsi="Arial" w:cs="Arial"/>
          <w:i/>
          <w:spacing w:val="40"/>
          <w:sz w:val="24"/>
          <w:szCs w:val="24"/>
        </w:rPr>
        <w:t xml:space="preserve"> </w:t>
      </w:r>
      <w:r>
        <w:rPr>
          <w:rFonts w:ascii="Arial" w:hAnsi="Arial" w:cs="Arial"/>
          <w:i/>
          <w:spacing w:val="-1"/>
          <w:sz w:val="24"/>
          <w:szCs w:val="24"/>
        </w:rPr>
        <w:t>l</w:t>
      </w:r>
      <w:r>
        <w:rPr>
          <w:rFonts w:ascii="Arial" w:hAnsi="Arial" w:cs="Arial"/>
          <w:i/>
          <w:sz w:val="24"/>
          <w:szCs w:val="24"/>
        </w:rPr>
        <w:t xml:space="preserve">a </w:t>
      </w:r>
      <w:r>
        <w:rPr>
          <w:rFonts w:ascii="Arial" w:hAnsi="Arial" w:cs="Arial"/>
          <w:i/>
          <w:spacing w:val="-1"/>
          <w:w w:val="95"/>
          <w:sz w:val="24"/>
          <w:szCs w:val="24"/>
        </w:rPr>
        <w:t>c</w:t>
      </w:r>
      <w:r>
        <w:rPr>
          <w:rFonts w:ascii="Arial" w:hAnsi="Arial" w:cs="Arial"/>
          <w:i/>
          <w:w w:val="95"/>
          <w:sz w:val="24"/>
          <w:szCs w:val="24"/>
        </w:rPr>
        <w:t>on</w:t>
      </w:r>
      <w:r>
        <w:rPr>
          <w:rFonts w:ascii="Arial" w:hAnsi="Arial" w:cs="Arial"/>
          <w:i/>
          <w:spacing w:val="-1"/>
          <w:w w:val="95"/>
          <w:sz w:val="24"/>
          <w:szCs w:val="24"/>
        </w:rPr>
        <w:t>c</w:t>
      </w:r>
      <w:r>
        <w:rPr>
          <w:rFonts w:ascii="Arial" w:hAnsi="Arial" w:cs="Arial"/>
          <w:i/>
          <w:w w:val="95"/>
          <w:sz w:val="24"/>
          <w:szCs w:val="24"/>
        </w:rPr>
        <w:t>u</w:t>
      </w:r>
      <w:r>
        <w:rPr>
          <w:rFonts w:ascii="Arial" w:hAnsi="Arial" w:cs="Arial"/>
          <w:i/>
          <w:spacing w:val="2"/>
          <w:w w:val="95"/>
          <w:sz w:val="24"/>
          <w:szCs w:val="24"/>
        </w:rPr>
        <w:t>r</w:t>
      </w:r>
      <w:r>
        <w:rPr>
          <w:rFonts w:ascii="Arial" w:hAnsi="Arial" w:cs="Arial"/>
          <w:i/>
          <w:spacing w:val="-1"/>
          <w:w w:val="95"/>
          <w:sz w:val="24"/>
          <w:szCs w:val="24"/>
        </w:rPr>
        <w:t>r</w:t>
      </w:r>
      <w:r>
        <w:rPr>
          <w:rFonts w:ascii="Arial" w:hAnsi="Arial" w:cs="Arial"/>
          <w:i/>
          <w:w w:val="95"/>
          <w:sz w:val="24"/>
          <w:szCs w:val="24"/>
        </w:rPr>
        <w:t>en</w:t>
      </w:r>
      <w:r>
        <w:rPr>
          <w:rFonts w:ascii="Arial" w:hAnsi="Arial" w:cs="Arial"/>
          <w:i/>
          <w:spacing w:val="-1"/>
          <w:w w:val="95"/>
          <w:sz w:val="24"/>
          <w:szCs w:val="24"/>
        </w:rPr>
        <w:t>c</w:t>
      </w:r>
      <w:r>
        <w:rPr>
          <w:rFonts w:ascii="Arial" w:hAnsi="Arial" w:cs="Arial"/>
          <w:i/>
          <w:w w:val="95"/>
          <w:sz w:val="24"/>
          <w:szCs w:val="24"/>
        </w:rPr>
        <w:t>e »</w:t>
      </w:r>
      <w:r>
        <w:rPr>
          <w:rFonts w:ascii="Arial" w:hAnsi="Arial" w:cs="Arial"/>
          <w:i/>
          <w:spacing w:val="-5"/>
          <w:sz w:val="24"/>
          <w:szCs w:val="24"/>
        </w:rPr>
        <w:t xml:space="preserve"> </w:t>
      </w:r>
      <w:r>
        <w:rPr>
          <w:rFonts w:ascii="Arial" w:hAnsi="Arial" w:cs="Arial"/>
          <w:i/>
          <w:spacing w:val="-1"/>
          <w:w w:val="95"/>
          <w:sz w:val="24"/>
          <w:szCs w:val="24"/>
        </w:rPr>
        <w:t>(</w:t>
      </w:r>
      <w:r>
        <w:rPr>
          <w:rFonts w:ascii="Arial" w:hAnsi="Arial" w:cs="Arial"/>
          <w:i/>
          <w:spacing w:val="1"/>
          <w:w w:val="95"/>
          <w:sz w:val="24"/>
          <w:szCs w:val="24"/>
        </w:rPr>
        <w:t>O</w:t>
      </w:r>
      <w:r>
        <w:rPr>
          <w:rFonts w:ascii="Arial" w:hAnsi="Arial" w:cs="Arial"/>
          <w:i/>
          <w:spacing w:val="-1"/>
          <w:w w:val="95"/>
          <w:sz w:val="24"/>
          <w:szCs w:val="24"/>
        </w:rPr>
        <w:t>rs</w:t>
      </w:r>
      <w:r>
        <w:rPr>
          <w:rFonts w:ascii="Arial" w:hAnsi="Arial" w:cs="Arial"/>
          <w:i/>
          <w:w w:val="95"/>
          <w:sz w:val="24"/>
          <w:szCs w:val="24"/>
        </w:rPr>
        <w:t>e</w:t>
      </w:r>
      <w:r>
        <w:rPr>
          <w:rFonts w:ascii="Arial" w:hAnsi="Arial" w:cs="Arial"/>
          <w:i/>
          <w:spacing w:val="2"/>
          <w:w w:val="95"/>
          <w:sz w:val="24"/>
          <w:szCs w:val="24"/>
        </w:rPr>
        <w:t>n</w:t>
      </w:r>
      <w:r>
        <w:rPr>
          <w:rFonts w:ascii="Arial" w:hAnsi="Arial" w:cs="Arial"/>
          <w:i/>
          <w:w w:val="95"/>
          <w:sz w:val="24"/>
          <w:szCs w:val="24"/>
        </w:rPr>
        <w:t>n</w:t>
      </w:r>
      <w:r>
        <w:rPr>
          <w:rFonts w:ascii="Arial" w:hAnsi="Arial" w:cs="Arial"/>
          <w:i/>
          <w:spacing w:val="1"/>
          <w:w w:val="95"/>
          <w:sz w:val="24"/>
          <w:szCs w:val="24"/>
        </w:rPr>
        <w:t>a</w:t>
      </w:r>
      <w:r>
        <w:rPr>
          <w:rFonts w:ascii="Arial" w:hAnsi="Arial" w:cs="Arial"/>
          <w:i/>
          <w:w w:val="95"/>
          <w:sz w:val="24"/>
          <w:szCs w:val="24"/>
        </w:rPr>
        <w:t>,</w:t>
      </w:r>
      <w:r>
        <w:rPr>
          <w:rFonts w:ascii="Arial" w:hAnsi="Arial" w:cs="Arial"/>
          <w:i/>
          <w:spacing w:val="10"/>
          <w:w w:val="95"/>
          <w:sz w:val="24"/>
          <w:szCs w:val="24"/>
        </w:rPr>
        <w:t xml:space="preserve"> </w:t>
      </w:r>
      <w:r>
        <w:rPr>
          <w:rFonts w:ascii="Arial" w:hAnsi="Arial" w:cs="Arial"/>
          <w:i/>
          <w:sz w:val="24"/>
          <w:szCs w:val="24"/>
        </w:rPr>
        <w:t>E</w:t>
      </w:r>
      <w:r>
        <w:rPr>
          <w:rFonts w:ascii="Arial" w:hAnsi="Arial" w:cs="Arial"/>
          <w:i/>
          <w:spacing w:val="1"/>
          <w:sz w:val="24"/>
          <w:szCs w:val="24"/>
        </w:rPr>
        <w:t>.</w:t>
      </w:r>
      <w:r>
        <w:rPr>
          <w:rFonts w:ascii="Arial" w:hAnsi="Arial" w:cs="Arial"/>
          <w:i/>
          <w:sz w:val="24"/>
          <w:szCs w:val="24"/>
        </w:rPr>
        <w:t>,</w:t>
      </w:r>
      <w:r>
        <w:rPr>
          <w:rFonts w:ascii="Arial" w:hAnsi="Arial" w:cs="Arial"/>
          <w:i/>
          <w:spacing w:val="-16"/>
          <w:sz w:val="24"/>
          <w:szCs w:val="24"/>
        </w:rPr>
        <w:t xml:space="preserve"> </w:t>
      </w:r>
      <w:r>
        <w:rPr>
          <w:rFonts w:ascii="Arial" w:hAnsi="Arial" w:cs="Arial"/>
          <w:i/>
          <w:sz w:val="24"/>
          <w:szCs w:val="24"/>
        </w:rPr>
        <w:t>2006</w:t>
      </w:r>
      <w:r>
        <w:rPr>
          <w:rFonts w:ascii="Arial" w:hAnsi="Arial" w:cs="Arial"/>
          <w:i/>
          <w:spacing w:val="-1"/>
          <w:sz w:val="24"/>
          <w:szCs w:val="24"/>
        </w:rPr>
        <w:t>)</w:t>
      </w:r>
      <w:r>
        <w:rPr>
          <w:rFonts w:ascii="Arial" w:hAnsi="Arial" w:cs="Arial"/>
          <w:i/>
          <w:sz w:val="24"/>
          <w:szCs w:val="24"/>
        </w:rPr>
        <w:t>.</w:t>
      </w:r>
    </w:p>
    <w:p w14:paraId="55E177A5" w14:textId="77777777" w:rsidR="008862C7" w:rsidRDefault="008862C7" w:rsidP="008862C7">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Les</w:t>
      </w:r>
      <w:r>
        <w:rPr>
          <w:rFonts w:ascii="Arial" w:hAnsi="Arial" w:cs="Arial"/>
          <w:spacing w:val="4"/>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g</w:t>
      </w:r>
      <w:r>
        <w:rPr>
          <w:rFonts w:ascii="Arial" w:hAnsi="Arial" w:cs="Arial"/>
          <w:spacing w:val="-1"/>
          <w:sz w:val="24"/>
          <w:szCs w:val="24"/>
        </w:rPr>
        <w:t>r</w:t>
      </w:r>
      <w:r>
        <w:rPr>
          <w:rFonts w:ascii="Arial" w:hAnsi="Arial" w:cs="Arial"/>
          <w:spacing w:val="2"/>
          <w:sz w:val="24"/>
          <w:szCs w:val="24"/>
        </w:rPr>
        <w:t>è</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s</w:t>
      </w:r>
      <w:r>
        <w:rPr>
          <w:rFonts w:ascii="Arial" w:hAnsi="Arial" w:cs="Arial"/>
          <w:spacing w:val="1"/>
          <w:sz w:val="24"/>
          <w:szCs w:val="24"/>
        </w:rPr>
        <w:t>av</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r-f</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a</w:t>
      </w:r>
      <w:r>
        <w:rPr>
          <w:rFonts w:ascii="Arial" w:hAnsi="Arial" w:cs="Arial"/>
          <w:spacing w:val="-1"/>
          <w:sz w:val="24"/>
          <w:szCs w:val="24"/>
        </w:rPr>
        <w:t>c</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f</w:t>
      </w:r>
      <w:r>
        <w:rPr>
          <w:rFonts w:ascii="Arial" w:hAnsi="Arial" w:cs="Arial"/>
          <w:sz w:val="24"/>
          <w:szCs w:val="24"/>
        </w:rPr>
        <w:t>ont</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la</w:t>
      </w:r>
      <w:r>
        <w:rPr>
          <w:rFonts w:ascii="Arial" w:hAnsi="Arial" w:cs="Arial"/>
          <w:spacing w:val="4"/>
          <w:sz w:val="24"/>
          <w:szCs w:val="24"/>
        </w:rPr>
        <w:t xml:space="preserve"> </w:t>
      </w:r>
      <w:r>
        <w:rPr>
          <w:rFonts w:ascii="Arial" w:hAnsi="Arial" w:cs="Arial"/>
          <w:spacing w:val="-1"/>
          <w:sz w:val="24"/>
          <w:szCs w:val="24"/>
        </w:rPr>
        <w:t>pr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4"/>
          <w:sz w:val="24"/>
          <w:szCs w:val="24"/>
        </w:rPr>
        <w:t xml:space="preserve"> cotonnière en Afrique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une</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 xml:space="preserve">us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 xml:space="preserve">ives </w:t>
      </w:r>
      <w:r w:rsidR="00E72C3F">
        <w:rPr>
          <w:rFonts w:ascii="Arial" w:hAnsi="Arial" w:cs="Arial"/>
          <w:spacing w:val="1"/>
          <w:sz w:val="24"/>
          <w:szCs w:val="24"/>
        </w:rPr>
        <w:t>tant</w:t>
      </w:r>
      <w:r>
        <w:rPr>
          <w:rFonts w:ascii="Arial" w:hAnsi="Arial" w:cs="Arial"/>
          <w:spacing w:val="8"/>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pacing w:val="-2"/>
          <w:sz w:val="24"/>
          <w:szCs w:val="24"/>
        </w:rPr>
        <w:t>n</w:t>
      </w:r>
      <w:r>
        <w:rPr>
          <w:rFonts w:ascii="Arial" w:hAnsi="Arial" w:cs="Arial"/>
          <w:sz w:val="24"/>
          <w:szCs w:val="24"/>
        </w:rPr>
        <w:t>s</w:t>
      </w:r>
      <w:r>
        <w:rPr>
          <w:rFonts w:ascii="Arial" w:hAnsi="Arial" w:cs="Arial"/>
          <w:spacing w:val="8"/>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9"/>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10"/>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la</w:t>
      </w:r>
      <w:r>
        <w:rPr>
          <w:rFonts w:ascii="Arial" w:hAnsi="Arial" w:cs="Arial"/>
          <w:sz w:val="24"/>
          <w:szCs w:val="24"/>
        </w:rPr>
        <w:t>n</w:t>
      </w:r>
      <w:r>
        <w:rPr>
          <w:rFonts w:ascii="Arial" w:hAnsi="Arial" w:cs="Arial"/>
          <w:spacing w:val="9"/>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1"/>
          <w:sz w:val="24"/>
          <w:szCs w:val="24"/>
        </w:rPr>
        <w:t>r</w:t>
      </w:r>
      <w:r>
        <w:rPr>
          <w:rFonts w:ascii="Arial" w:hAnsi="Arial" w:cs="Arial"/>
          <w:sz w:val="24"/>
          <w:szCs w:val="24"/>
        </w:rPr>
        <w:t>n</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w:t>
      </w:r>
      <w:r>
        <w:rPr>
          <w:rFonts w:ascii="Arial" w:hAnsi="Arial" w:cs="Arial"/>
          <w:spacing w:val="4"/>
          <w:sz w:val="24"/>
          <w:szCs w:val="24"/>
        </w:rPr>
        <w:t xml:space="preserve"> </w:t>
      </w:r>
      <w:r>
        <w:rPr>
          <w:rFonts w:ascii="Arial" w:hAnsi="Arial" w:cs="Arial"/>
          <w:spacing w:val="-3"/>
          <w:sz w:val="24"/>
          <w:szCs w:val="24"/>
        </w:rPr>
        <w:t>E</w:t>
      </w:r>
      <w:r>
        <w:rPr>
          <w:rFonts w:ascii="Arial" w:hAnsi="Arial" w:cs="Arial"/>
          <w:sz w:val="24"/>
          <w:szCs w:val="24"/>
        </w:rPr>
        <w:t>n</w:t>
      </w:r>
      <w:r>
        <w:rPr>
          <w:rFonts w:ascii="Arial" w:hAnsi="Arial" w:cs="Arial"/>
          <w:spacing w:val="10"/>
          <w:sz w:val="24"/>
          <w:szCs w:val="24"/>
        </w:rPr>
        <w:t xml:space="preserve"> </w:t>
      </w:r>
      <w:r>
        <w:rPr>
          <w:rFonts w:ascii="Arial" w:hAnsi="Arial" w:cs="Arial"/>
          <w:sz w:val="24"/>
          <w:szCs w:val="24"/>
        </w:rPr>
        <w:t>e</w:t>
      </w:r>
      <w:r>
        <w:rPr>
          <w:rFonts w:ascii="Arial" w:hAnsi="Arial" w:cs="Arial"/>
          <w:spacing w:val="-1"/>
          <w:sz w:val="24"/>
          <w:szCs w:val="24"/>
        </w:rPr>
        <w:t>ff</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 xml:space="preserve">oûts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pr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u</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ot</w:t>
      </w:r>
      <w:r>
        <w:rPr>
          <w:rFonts w:ascii="Arial" w:hAnsi="Arial" w:cs="Arial"/>
          <w:spacing w:val="2"/>
          <w:sz w:val="24"/>
          <w:szCs w:val="24"/>
        </w:rPr>
        <w:t>o</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O</w:t>
      </w:r>
      <w:r>
        <w:rPr>
          <w:rFonts w:ascii="Arial" w:hAnsi="Arial" w:cs="Arial"/>
          <w:sz w:val="24"/>
          <w:szCs w:val="24"/>
        </w:rPr>
        <w:t>C</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4"/>
          <w:sz w:val="24"/>
          <w:szCs w:val="24"/>
        </w:rPr>
        <w:t xml:space="preserve"> </w:t>
      </w:r>
      <w:r>
        <w:rPr>
          <w:rFonts w:ascii="Arial" w:hAnsi="Arial" w:cs="Arial"/>
          <w:sz w:val="24"/>
          <w:szCs w:val="24"/>
        </w:rPr>
        <w:t>mo</w:t>
      </w:r>
      <w:r>
        <w:rPr>
          <w:rFonts w:ascii="Arial" w:hAnsi="Arial" w:cs="Arial"/>
          <w:spacing w:val="1"/>
          <w:sz w:val="24"/>
          <w:szCs w:val="24"/>
        </w:rPr>
        <w:t>i</w:t>
      </w:r>
      <w:r>
        <w:rPr>
          <w:rFonts w:ascii="Arial" w:hAnsi="Arial" w:cs="Arial"/>
          <w:sz w:val="24"/>
          <w:szCs w:val="24"/>
        </w:rPr>
        <w:t>ns</w:t>
      </w:r>
      <w:r>
        <w:rPr>
          <w:rFonts w:ascii="Arial" w:hAnsi="Arial" w:cs="Arial"/>
          <w:spacing w:val="2"/>
          <w:sz w:val="24"/>
          <w:szCs w:val="24"/>
        </w:rPr>
        <w:t xml:space="preserve"> </w:t>
      </w:r>
      <w:r>
        <w:rPr>
          <w:rFonts w:ascii="Arial" w:hAnsi="Arial" w:cs="Arial"/>
          <w:sz w:val="24"/>
          <w:szCs w:val="24"/>
        </w:rPr>
        <w:t>é</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v</w:t>
      </w:r>
      <w:r>
        <w:rPr>
          <w:rFonts w:ascii="Arial" w:hAnsi="Arial" w:cs="Arial"/>
          <w:sz w:val="24"/>
          <w:szCs w:val="24"/>
        </w:rPr>
        <w:t xml:space="preserve">és </w:t>
      </w:r>
      <w:r>
        <w:rPr>
          <w:rFonts w:ascii="Arial" w:hAnsi="Arial" w:cs="Arial"/>
          <w:spacing w:val="1"/>
          <w:sz w:val="24"/>
          <w:szCs w:val="24"/>
        </w:rPr>
        <w:t>q</w:t>
      </w:r>
      <w:r>
        <w:rPr>
          <w:rFonts w:ascii="Arial" w:hAnsi="Arial" w:cs="Arial"/>
          <w:sz w:val="24"/>
          <w:szCs w:val="24"/>
        </w:rPr>
        <w:t>ue</w:t>
      </w:r>
      <w:r>
        <w:rPr>
          <w:rFonts w:ascii="Arial" w:hAnsi="Arial" w:cs="Arial"/>
          <w:spacing w:val="4"/>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a</w:t>
      </w:r>
      <w:r>
        <w:rPr>
          <w:rFonts w:ascii="Arial" w:hAnsi="Arial" w:cs="Arial"/>
          <w:sz w:val="24"/>
          <w:szCs w:val="24"/>
        </w:rPr>
        <w:t>ut</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ux</w:t>
      </w:r>
      <w:r>
        <w:rPr>
          <w:rFonts w:ascii="Arial" w:hAnsi="Arial" w:cs="Arial"/>
          <w:spacing w:val="-1"/>
          <w:sz w:val="24"/>
          <w:szCs w:val="24"/>
        </w:rPr>
        <w:t xml:space="preserve"> </w:t>
      </w:r>
      <w:r>
        <w:rPr>
          <w:rFonts w:ascii="Arial" w:hAnsi="Arial" w:cs="Arial"/>
          <w:sz w:val="24"/>
          <w:szCs w:val="24"/>
        </w:rPr>
        <w:t>Et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s-</w:t>
      </w:r>
      <w:r>
        <w:rPr>
          <w:rFonts w:ascii="Arial" w:hAnsi="Arial" w:cs="Arial"/>
          <w:spacing w:val="1"/>
          <w:sz w:val="24"/>
          <w:szCs w:val="24"/>
        </w:rPr>
        <w:t>U</w:t>
      </w:r>
      <w:r>
        <w:rPr>
          <w:rFonts w:ascii="Arial" w:hAnsi="Arial" w:cs="Arial"/>
          <w:sz w:val="24"/>
          <w:szCs w:val="24"/>
        </w:rPr>
        <w:t>n</w:t>
      </w:r>
      <w:r>
        <w:rPr>
          <w:rFonts w:ascii="Arial" w:hAnsi="Arial" w:cs="Arial"/>
          <w:spacing w:val="1"/>
          <w:sz w:val="24"/>
          <w:szCs w:val="24"/>
        </w:rPr>
        <w:t>i</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(pr</w:t>
      </w:r>
      <w:r>
        <w:rPr>
          <w:rFonts w:ascii="Arial" w:hAnsi="Arial" w:cs="Arial"/>
          <w:sz w:val="24"/>
          <w:szCs w:val="24"/>
        </w:rPr>
        <w:t>em</w:t>
      </w:r>
      <w:r>
        <w:rPr>
          <w:rFonts w:ascii="Arial" w:hAnsi="Arial" w:cs="Arial"/>
          <w:spacing w:val="1"/>
          <w:sz w:val="24"/>
          <w:szCs w:val="24"/>
        </w:rPr>
        <w:t>i</w:t>
      </w:r>
      <w:r>
        <w:rPr>
          <w:rFonts w:ascii="Arial" w:hAnsi="Arial" w:cs="Arial"/>
          <w:sz w:val="24"/>
          <w:szCs w:val="24"/>
        </w:rPr>
        <w:t>er</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teu</w:t>
      </w:r>
      <w:r>
        <w:rPr>
          <w:rFonts w:ascii="Arial" w:hAnsi="Arial" w:cs="Arial"/>
          <w:spacing w:val="-1"/>
          <w:sz w:val="24"/>
          <w:szCs w:val="24"/>
        </w:rPr>
        <w:t>r</w:t>
      </w:r>
      <w:r>
        <w:rPr>
          <w:rFonts w:ascii="Arial" w:hAnsi="Arial" w:cs="Arial"/>
          <w:sz w:val="24"/>
          <w:szCs w:val="24"/>
        </w:rPr>
        <w:t>)</w:t>
      </w:r>
      <w:r>
        <w:rPr>
          <w:rFonts w:ascii="Arial" w:hAnsi="Arial" w:cs="Arial"/>
          <w:spacing w:val="-10"/>
          <w:sz w:val="24"/>
          <w:szCs w:val="24"/>
        </w:rPr>
        <w:t xml:space="preserve"> </w:t>
      </w:r>
      <w:r>
        <w:rPr>
          <w:rFonts w:ascii="Arial" w:hAnsi="Arial" w:cs="Arial"/>
          <w:sz w:val="24"/>
          <w:szCs w:val="24"/>
        </w:rPr>
        <w:t>ou en Eu</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p</w:t>
      </w:r>
      <w:r>
        <w:rPr>
          <w:rFonts w:ascii="Arial" w:hAnsi="Arial" w:cs="Arial"/>
          <w:spacing w:val="2"/>
          <w:sz w:val="24"/>
          <w:szCs w:val="24"/>
        </w:rPr>
        <w:t>e</w:t>
      </w:r>
      <w:r>
        <w:rPr>
          <w:rStyle w:val="Appelnotedebasdep"/>
          <w:rFonts w:ascii="Arial" w:hAnsi="Arial" w:cs="Arial"/>
          <w:spacing w:val="2"/>
          <w:sz w:val="24"/>
          <w:szCs w:val="24"/>
        </w:rPr>
        <w:footnoteReference w:id="21"/>
      </w:r>
      <w:r>
        <w:rPr>
          <w:rFonts w:ascii="Arial" w:hAnsi="Arial" w:cs="Arial"/>
          <w:sz w:val="24"/>
          <w:szCs w:val="24"/>
        </w:rPr>
        <w:t xml:space="preserve"> . Ainsi,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Eu</w:t>
      </w:r>
      <w:r>
        <w:rPr>
          <w:rFonts w:ascii="Arial" w:hAnsi="Arial" w:cs="Arial"/>
          <w:spacing w:val="-1"/>
          <w:sz w:val="24"/>
          <w:szCs w:val="24"/>
        </w:rPr>
        <w:t>r</w:t>
      </w:r>
      <w:r>
        <w:rPr>
          <w:rFonts w:ascii="Arial" w:hAnsi="Arial" w:cs="Arial"/>
          <w:spacing w:val="2"/>
          <w:sz w:val="24"/>
          <w:szCs w:val="24"/>
        </w:rPr>
        <w:t>o</w:t>
      </w:r>
      <w:r>
        <w:rPr>
          <w:rFonts w:ascii="Arial" w:hAnsi="Arial" w:cs="Arial"/>
          <w:spacing w:val="-1"/>
          <w:sz w:val="24"/>
          <w:szCs w:val="24"/>
        </w:rPr>
        <w:t>p</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u</w:t>
      </w:r>
      <w:r>
        <w:rPr>
          <w:rFonts w:ascii="Arial" w:hAnsi="Arial" w:cs="Arial"/>
          <w:spacing w:val="-1"/>
          <w:sz w:val="24"/>
          <w:szCs w:val="24"/>
        </w:rPr>
        <w:t>rr</w:t>
      </w:r>
      <w:r>
        <w:rPr>
          <w:rFonts w:ascii="Arial" w:hAnsi="Arial" w:cs="Arial"/>
          <w:spacing w:val="1"/>
          <w:sz w:val="24"/>
          <w:szCs w:val="24"/>
        </w:rPr>
        <w:t>ai</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3"/>
          <w:sz w:val="24"/>
          <w:szCs w:val="24"/>
        </w:rPr>
        <w:t>a</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z w:val="24"/>
          <w:szCs w:val="24"/>
        </w:rPr>
        <w:t>em</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ter</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 à</w:t>
      </w:r>
      <w:r>
        <w:rPr>
          <w:rFonts w:ascii="Arial" w:hAnsi="Arial" w:cs="Arial"/>
          <w:spacing w:val="3"/>
          <w:sz w:val="24"/>
          <w:szCs w:val="24"/>
        </w:rPr>
        <w:t xml:space="preserve"> </w:t>
      </w:r>
      <w:r>
        <w:rPr>
          <w:rFonts w:ascii="Arial" w:hAnsi="Arial" w:cs="Arial"/>
          <w:sz w:val="24"/>
          <w:szCs w:val="24"/>
        </w:rPr>
        <w:t>un</w:t>
      </w:r>
      <w:r>
        <w:rPr>
          <w:rFonts w:ascii="Arial" w:hAnsi="Arial" w:cs="Arial"/>
          <w:spacing w:val="5"/>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 xml:space="preserve">x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i</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mo</w:t>
      </w:r>
      <w:r>
        <w:rPr>
          <w:rFonts w:ascii="Arial" w:hAnsi="Arial" w:cs="Arial"/>
          <w:spacing w:val="1"/>
          <w:sz w:val="24"/>
          <w:szCs w:val="24"/>
        </w:rPr>
        <w:t>i</w:t>
      </w:r>
      <w:r>
        <w:rPr>
          <w:rFonts w:ascii="Arial" w:hAnsi="Arial" w:cs="Arial"/>
          <w:sz w:val="24"/>
          <w:szCs w:val="24"/>
        </w:rPr>
        <w:t>ns é</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v</w:t>
      </w:r>
      <w:r>
        <w:rPr>
          <w:rFonts w:ascii="Arial" w:hAnsi="Arial" w:cs="Arial"/>
          <w:sz w:val="24"/>
          <w:szCs w:val="24"/>
        </w:rPr>
        <w:t xml:space="preserve">és </w:t>
      </w:r>
      <w:r>
        <w:rPr>
          <w:rFonts w:ascii="Arial" w:hAnsi="Arial" w:cs="Arial"/>
          <w:spacing w:val="1"/>
          <w:sz w:val="24"/>
          <w:szCs w:val="24"/>
        </w:rPr>
        <w:t>q</w:t>
      </w:r>
      <w:r>
        <w:rPr>
          <w:rFonts w:ascii="Arial" w:hAnsi="Arial" w:cs="Arial"/>
          <w:sz w:val="24"/>
          <w:szCs w:val="24"/>
        </w:rPr>
        <w:t xml:space="preserve">ue </w:t>
      </w:r>
      <w:r>
        <w:rPr>
          <w:rFonts w:ascii="Arial" w:hAnsi="Arial" w:cs="Arial"/>
          <w:spacing w:val="-1"/>
          <w:sz w:val="24"/>
          <w:szCs w:val="24"/>
        </w:rPr>
        <w:t>s</w:t>
      </w:r>
      <w:r>
        <w:rPr>
          <w:rFonts w:ascii="Arial" w:hAnsi="Arial" w:cs="Arial"/>
          <w:sz w:val="24"/>
          <w:szCs w:val="24"/>
        </w:rPr>
        <w:t xml:space="preserve">on </w:t>
      </w:r>
      <w:r>
        <w:rPr>
          <w:rFonts w:ascii="Arial" w:hAnsi="Arial" w:cs="Arial"/>
          <w:spacing w:val="-1"/>
          <w:sz w:val="24"/>
          <w:szCs w:val="24"/>
        </w:rPr>
        <w:t>c</w:t>
      </w:r>
      <w:r>
        <w:rPr>
          <w:rFonts w:ascii="Arial" w:hAnsi="Arial" w:cs="Arial"/>
          <w:sz w:val="24"/>
          <w:szCs w:val="24"/>
        </w:rPr>
        <w:t xml:space="preserve">oût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z w:val="24"/>
          <w:szCs w:val="24"/>
        </w:rPr>
        <w:t>te ut</w:t>
      </w:r>
      <w:r>
        <w:rPr>
          <w:rFonts w:ascii="Arial" w:hAnsi="Arial" w:cs="Arial"/>
          <w:spacing w:val="1"/>
          <w:sz w:val="24"/>
          <w:szCs w:val="24"/>
        </w:rPr>
        <w:t>ili</w:t>
      </w:r>
      <w:r>
        <w:rPr>
          <w:rFonts w:ascii="Arial" w:hAnsi="Arial" w:cs="Arial"/>
          <w:spacing w:val="-1"/>
          <w:sz w:val="24"/>
          <w:szCs w:val="24"/>
        </w:rPr>
        <w:t>s</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d’œ</w:t>
      </w:r>
      <w:r>
        <w:rPr>
          <w:rFonts w:ascii="Arial" w:hAnsi="Arial" w:cs="Arial"/>
          <w:sz w:val="24"/>
          <w:szCs w:val="24"/>
        </w:rPr>
        <w:t>u</w:t>
      </w:r>
      <w:r>
        <w:rPr>
          <w:rFonts w:ascii="Arial" w:hAnsi="Arial" w:cs="Arial"/>
          <w:spacing w:val="1"/>
          <w:sz w:val="24"/>
          <w:szCs w:val="24"/>
        </w:rPr>
        <w:t>v</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f</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i</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w:t>
      </w:r>
      <w:r>
        <w:rPr>
          <w:rFonts w:ascii="Arial" w:hAnsi="Arial" w:cs="Arial"/>
          <w:sz w:val="24"/>
          <w:szCs w:val="24"/>
        </w:rPr>
        <w:t>tu</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p</w:t>
      </w:r>
      <w:r>
        <w:rPr>
          <w:rFonts w:ascii="Arial" w:hAnsi="Arial" w:cs="Arial"/>
          <w:spacing w:val="1"/>
          <w:sz w:val="24"/>
          <w:szCs w:val="24"/>
        </w:rPr>
        <w:t>ay</w:t>
      </w:r>
      <w:r>
        <w:rPr>
          <w:rFonts w:ascii="Arial" w:hAnsi="Arial" w:cs="Arial"/>
          <w:sz w:val="24"/>
          <w:szCs w:val="24"/>
        </w:rPr>
        <w:t>s</w:t>
      </w:r>
      <w:r>
        <w:rPr>
          <w:rFonts w:ascii="Arial" w:hAnsi="Arial" w:cs="Arial"/>
          <w:spacing w:val="-4"/>
          <w:sz w:val="24"/>
          <w:szCs w:val="24"/>
        </w:rPr>
        <w:t xml:space="preserve"> </w:t>
      </w:r>
      <w:r>
        <w:rPr>
          <w:rFonts w:ascii="Arial" w:hAnsi="Arial" w:cs="Arial"/>
          <w:sz w:val="24"/>
          <w:szCs w:val="24"/>
        </w:rPr>
        <w:t>A</w:t>
      </w:r>
      <w:r>
        <w:rPr>
          <w:rFonts w:ascii="Arial" w:hAnsi="Arial" w:cs="Arial"/>
          <w:spacing w:val="1"/>
          <w:sz w:val="24"/>
          <w:szCs w:val="24"/>
        </w:rPr>
        <w:t>O</w:t>
      </w:r>
      <w:r>
        <w:rPr>
          <w:rFonts w:ascii="Arial" w:hAnsi="Arial" w:cs="Arial"/>
          <w:sz w:val="24"/>
          <w:szCs w:val="24"/>
        </w:rPr>
        <w:t>C</w:t>
      </w:r>
      <w:r>
        <w:rPr>
          <w:rFonts w:ascii="Arial" w:hAnsi="Arial" w:cs="Arial"/>
          <w:spacing w:val="-3"/>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1"/>
          <w:sz w:val="24"/>
          <w:szCs w:val="24"/>
        </w:rPr>
        <w:t>liq</w:t>
      </w:r>
      <w:r>
        <w:rPr>
          <w:rFonts w:ascii="Arial" w:hAnsi="Arial" w:cs="Arial"/>
          <w:sz w:val="24"/>
          <w:szCs w:val="24"/>
        </w:rPr>
        <w:t>ue</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et</w:t>
      </w:r>
      <w:r>
        <w:rPr>
          <w:rFonts w:ascii="Arial" w:hAnsi="Arial" w:cs="Arial"/>
          <w:spacing w:val="-1"/>
          <w:sz w:val="24"/>
          <w:szCs w:val="24"/>
        </w:rPr>
        <w:t xml:space="preserve"> </w:t>
      </w:r>
      <w:r>
        <w:rPr>
          <w:rFonts w:ascii="Arial" w:hAnsi="Arial" w:cs="Arial"/>
          <w:sz w:val="24"/>
          <w:szCs w:val="24"/>
        </w:rPr>
        <w:t>é</w:t>
      </w:r>
      <w:r>
        <w:rPr>
          <w:rFonts w:ascii="Arial" w:hAnsi="Arial" w:cs="Arial"/>
          <w:spacing w:val="-2"/>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f</w:t>
      </w:r>
      <w:r>
        <w:rPr>
          <w:rFonts w:ascii="Arial" w:hAnsi="Arial" w:cs="Arial"/>
          <w:spacing w:val="1"/>
          <w:sz w:val="24"/>
          <w:szCs w:val="24"/>
        </w:rPr>
        <w:t>ai</w:t>
      </w:r>
      <w:r>
        <w:rPr>
          <w:rFonts w:ascii="Arial" w:hAnsi="Arial" w:cs="Arial"/>
          <w:sz w:val="24"/>
          <w:szCs w:val="24"/>
        </w:rPr>
        <w:t>t</w:t>
      </w:r>
      <w:r>
        <w:rPr>
          <w:rFonts w:ascii="Arial" w:hAnsi="Arial" w:cs="Arial"/>
          <w:spacing w:val="-4"/>
          <w:sz w:val="24"/>
          <w:szCs w:val="24"/>
        </w:rPr>
        <w:t>. Toutefois, en plus</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oûts</w:t>
      </w:r>
      <w:r>
        <w:rPr>
          <w:rFonts w:ascii="Arial" w:hAnsi="Arial" w:cs="Arial"/>
          <w:spacing w:val="4"/>
          <w:sz w:val="24"/>
          <w:szCs w:val="24"/>
        </w:rPr>
        <w:t xml:space="preserve"> </w:t>
      </w:r>
      <w:r>
        <w:rPr>
          <w:rFonts w:ascii="Arial" w:hAnsi="Arial" w:cs="Arial"/>
          <w:spacing w:val="3"/>
          <w:sz w:val="24"/>
          <w:szCs w:val="24"/>
        </w:rPr>
        <w:t>m</w:t>
      </w:r>
      <w:r>
        <w:rPr>
          <w:rFonts w:ascii="Arial" w:hAnsi="Arial" w:cs="Arial"/>
          <w:sz w:val="24"/>
          <w:szCs w:val="24"/>
        </w:rPr>
        <w:t>o</w:t>
      </w:r>
      <w:r>
        <w:rPr>
          <w:rFonts w:ascii="Arial" w:hAnsi="Arial" w:cs="Arial"/>
          <w:spacing w:val="1"/>
          <w:sz w:val="24"/>
          <w:szCs w:val="24"/>
        </w:rPr>
        <w:t>i</w:t>
      </w:r>
      <w:r>
        <w:rPr>
          <w:rFonts w:ascii="Arial" w:hAnsi="Arial" w:cs="Arial"/>
          <w:sz w:val="24"/>
          <w:szCs w:val="24"/>
        </w:rPr>
        <w:t>ns</w:t>
      </w:r>
      <w:r>
        <w:rPr>
          <w:rFonts w:ascii="Arial" w:hAnsi="Arial" w:cs="Arial"/>
          <w:spacing w:val="1"/>
          <w:sz w:val="24"/>
          <w:szCs w:val="24"/>
        </w:rPr>
        <w:t xml:space="preserve"> </w:t>
      </w:r>
      <w:r>
        <w:rPr>
          <w:rFonts w:ascii="Arial" w:hAnsi="Arial" w:cs="Arial"/>
          <w:sz w:val="24"/>
          <w:szCs w:val="24"/>
        </w:rPr>
        <w:t>é</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s</w:t>
      </w:r>
      <w:r>
        <w:rPr>
          <w:rFonts w:ascii="Arial" w:hAnsi="Arial" w:cs="Arial"/>
          <w:sz w:val="24"/>
          <w:szCs w:val="24"/>
        </w:rPr>
        <w:t>,</w:t>
      </w:r>
      <w:r>
        <w:rPr>
          <w:rFonts w:ascii="Arial" w:hAnsi="Arial" w:cs="Arial"/>
          <w:spacing w:val="1"/>
          <w:sz w:val="24"/>
          <w:szCs w:val="24"/>
        </w:rPr>
        <w:t xml:space="preserve"> i</w:t>
      </w:r>
      <w:r>
        <w:rPr>
          <w:rFonts w:ascii="Arial" w:hAnsi="Arial" w:cs="Arial"/>
          <w:sz w:val="24"/>
          <w:szCs w:val="24"/>
        </w:rPr>
        <w:t>l</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1"/>
          <w:sz w:val="24"/>
          <w:szCs w:val="24"/>
        </w:rPr>
        <w:t>av</w:t>
      </w:r>
      <w:r>
        <w:rPr>
          <w:rFonts w:ascii="Arial" w:hAnsi="Arial" w:cs="Arial"/>
          <w:sz w:val="24"/>
          <w:szCs w:val="24"/>
        </w:rPr>
        <w:t>è</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q</w:t>
      </w:r>
      <w:r>
        <w:rPr>
          <w:rFonts w:ascii="Arial" w:hAnsi="Arial" w:cs="Arial"/>
          <w:sz w:val="24"/>
          <w:szCs w:val="24"/>
        </w:rPr>
        <w:t>ue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4"/>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pacing w:val="1"/>
          <w:sz w:val="24"/>
          <w:szCs w:val="24"/>
        </w:rPr>
        <w:t>li</w:t>
      </w:r>
      <w:r>
        <w:rPr>
          <w:rFonts w:ascii="Arial" w:hAnsi="Arial" w:cs="Arial"/>
          <w:sz w:val="24"/>
          <w:szCs w:val="24"/>
        </w:rPr>
        <w:t>té</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fi</w:t>
      </w:r>
      <w:r>
        <w:rPr>
          <w:rFonts w:ascii="Arial" w:hAnsi="Arial" w:cs="Arial"/>
          <w:spacing w:val="1"/>
          <w:sz w:val="24"/>
          <w:szCs w:val="24"/>
        </w:rPr>
        <w:t>b</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1"/>
          <w:sz w:val="24"/>
          <w:szCs w:val="24"/>
        </w:rPr>
        <w:t>fr</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ai</w:t>
      </w:r>
      <w:r>
        <w:rPr>
          <w:rFonts w:ascii="Arial" w:hAnsi="Arial" w:cs="Arial"/>
          <w:sz w:val="24"/>
          <w:szCs w:val="24"/>
        </w:rPr>
        <w:t>ne e</w:t>
      </w:r>
      <w:r>
        <w:rPr>
          <w:rFonts w:ascii="Arial" w:hAnsi="Arial" w:cs="Arial"/>
          <w:spacing w:val="-1"/>
          <w:sz w:val="24"/>
          <w:szCs w:val="24"/>
        </w:rPr>
        <w:t>s</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pacing w:val="1"/>
          <w:sz w:val="24"/>
          <w:szCs w:val="24"/>
        </w:rPr>
        <w:t>i</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r</w:t>
      </w:r>
      <w:r>
        <w:rPr>
          <w:rFonts w:ascii="Arial" w:hAnsi="Arial" w:cs="Arial"/>
          <w:sz w:val="24"/>
          <w:szCs w:val="24"/>
        </w:rPr>
        <w:t xml:space="preserve">ée </w:t>
      </w:r>
      <w:r>
        <w:rPr>
          <w:rFonts w:ascii="Arial" w:hAnsi="Arial" w:cs="Arial"/>
          <w:spacing w:val="-1"/>
          <w:sz w:val="24"/>
          <w:szCs w:val="24"/>
        </w:rPr>
        <w:t>c</w:t>
      </w:r>
      <w:r>
        <w:rPr>
          <w:rFonts w:ascii="Arial" w:hAnsi="Arial" w:cs="Arial"/>
          <w:sz w:val="24"/>
          <w:szCs w:val="24"/>
        </w:rPr>
        <w:t>om</w:t>
      </w:r>
      <w:r>
        <w:rPr>
          <w:rFonts w:ascii="Arial" w:hAnsi="Arial" w:cs="Arial"/>
          <w:spacing w:val="3"/>
          <w:sz w:val="24"/>
          <w:szCs w:val="24"/>
        </w:rPr>
        <w:t>m</w:t>
      </w:r>
      <w:r>
        <w:rPr>
          <w:rFonts w:ascii="Arial" w:hAnsi="Arial" w:cs="Arial"/>
          <w:sz w:val="24"/>
          <w:szCs w:val="24"/>
        </w:rPr>
        <w:t>e une</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z w:val="24"/>
          <w:szCs w:val="24"/>
        </w:rPr>
        <w:t>me</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eu</w:t>
      </w:r>
      <w:r>
        <w:rPr>
          <w:rFonts w:ascii="Arial" w:hAnsi="Arial" w:cs="Arial"/>
          <w:spacing w:val="-1"/>
          <w:sz w:val="24"/>
          <w:szCs w:val="24"/>
        </w:rPr>
        <w:t>r</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2"/>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3"/>
          <w:sz w:val="24"/>
          <w:szCs w:val="24"/>
        </w:rPr>
        <w:t>r</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Son</w:t>
      </w:r>
      <w:r>
        <w:rPr>
          <w:rFonts w:ascii="Arial" w:hAnsi="Arial" w:cs="Arial"/>
          <w:spacing w:val="3"/>
          <w:sz w:val="24"/>
          <w:szCs w:val="24"/>
        </w:rPr>
        <w:t xml:space="preserve"> </w:t>
      </w:r>
      <w:r>
        <w:rPr>
          <w:rFonts w:ascii="Arial" w:hAnsi="Arial" w:cs="Arial"/>
          <w:spacing w:val="1"/>
          <w:sz w:val="24"/>
          <w:szCs w:val="24"/>
        </w:rPr>
        <w:t>b</w:t>
      </w:r>
      <w:r>
        <w:rPr>
          <w:rFonts w:ascii="Arial" w:hAnsi="Arial" w:cs="Arial"/>
          <w:sz w:val="24"/>
          <w:szCs w:val="24"/>
        </w:rPr>
        <w:t xml:space="preserve">on </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ix</w:t>
      </w:r>
      <w:r>
        <w:rPr>
          <w:rFonts w:ascii="Arial" w:hAnsi="Arial" w:cs="Arial"/>
          <w:spacing w:val="-1"/>
          <w:sz w:val="24"/>
          <w:szCs w:val="24"/>
        </w:rPr>
        <w:t>/</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ali</w:t>
      </w:r>
      <w:r>
        <w:rPr>
          <w:rFonts w:ascii="Arial" w:hAnsi="Arial" w:cs="Arial"/>
          <w:sz w:val="24"/>
          <w:szCs w:val="24"/>
        </w:rPr>
        <w:t>té</w:t>
      </w:r>
      <w:r>
        <w:rPr>
          <w:rFonts w:ascii="Arial" w:hAnsi="Arial" w:cs="Arial"/>
          <w:spacing w:val="-10"/>
          <w:sz w:val="24"/>
          <w:szCs w:val="24"/>
        </w:rPr>
        <w:t xml:space="preserve"> </w:t>
      </w:r>
      <w:r>
        <w:rPr>
          <w:rFonts w:ascii="Arial" w:hAnsi="Arial" w:cs="Arial"/>
          <w:spacing w:val="-1"/>
          <w:sz w:val="24"/>
          <w:szCs w:val="24"/>
        </w:rPr>
        <w:t>f</w:t>
      </w:r>
      <w:r>
        <w:rPr>
          <w:rFonts w:ascii="Arial" w:hAnsi="Arial" w:cs="Arial"/>
          <w:spacing w:val="1"/>
          <w:sz w:val="24"/>
          <w:szCs w:val="24"/>
        </w:rPr>
        <w:t>ai</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z w:val="24"/>
          <w:szCs w:val="24"/>
        </w:rPr>
        <w:t xml:space="preserve">un </w:t>
      </w:r>
      <w:r>
        <w:rPr>
          <w:rFonts w:ascii="Arial" w:hAnsi="Arial" w:cs="Arial"/>
          <w:spacing w:val="1"/>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h</w:t>
      </w:r>
      <w:r>
        <w:rPr>
          <w:rFonts w:ascii="Arial" w:hAnsi="Arial" w:cs="Arial"/>
          <w:spacing w:val="1"/>
          <w:sz w:val="24"/>
          <w:szCs w:val="24"/>
        </w:rPr>
        <w:t>a</w:t>
      </w:r>
      <w:r>
        <w:rPr>
          <w:rFonts w:ascii="Arial" w:hAnsi="Arial" w:cs="Arial"/>
          <w:sz w:val="24"/>
          <w:szCs w:val="24"/>
        </w:rPr>
        <w:t>utement</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f</w:t>
      </w:r>
      <w:r>
        <w:rPr>
          <w:rFonts w:ascii="Arial" w:hAnsi="Arial" w:cs="Arial"/>
          <w:sz w:val="24"/>
          <w:szCs w:val="24"/>
        </w:rPr>
        <w:t>.</w:t>
      </w:r>
    </w:p>
    <w:p w14:paraId="45B7E376" w14:textId="77777777" w:rsidR="008862C7" w:rsidRDefault="008862C7" w:rsidP="008862C7">
      <w:pPr>
        <w:widowControl w:val="0"/>
        <w:autoSpaceDE w:val="0"/>
        <w:autoSpaceDN w:val="0"/>
        <w:adjustRightInd w:val="0"/>
        <w:spacing w:line="360" w:lineRule="auto"/>
        <w:ind w:right="67"/>
        <w:jc w:val="both"/>
        <w:rPr>
          <w:rFonts w:ascii="Arial" w:hAnsi="Arial" w:cs="Arial"/>
          <w:spacing w:val="-1"/>
          <w:sz w:val="24"/>
          <w:szCs w:val="24"/>
        </w:rPr>
      </w:pPr>
      <w:r>
        <w:rPr>
          <w:rFonts w:ascii="Arial" w:hAnsi="Arial" w:cs="Arial"/>
          <w:spacing w:val="1"/>
          <w:sz w:val="24"/>
          <w:szCs w:val="24"/>
        </w:rPr>
        <w:t>Pa</w:t>
      </w:r>
      <w:r>
        <w:rPr>
          <w:rFonts w:ascii="Arial" w:hAnsi="Arial" w:cs="Arial"/>
          <w:sz w:val="24"/>
          <w:szCs w:val="24"/>
        </w:rPr>
        <w:t>r</w:t>
      </w:r>
      <w:r>
        <w:rPr>
          <w:rFonts w:ascii="Arial" w:hAnsi="Arial" w:cs="Arial"/>
          <w:spacing w:val="42"/>
          <w:sz w:val="24"/>
          <w:szCs w:val="24"/>
        </w:rPr>
        <w:t xml:space="preserve"> </w:t>
      </w:r>
      <w:r>
        <w:rPr>
          <w:rFonts w:ascii="Arial" w:hAnsi="Arial" w:cs="Arial"/>
          <w:spacing w:val="1"/>
          <w:sz w:val="24"/>
          <w:szCs w:val="24"/>
        </w:rPr>
        <w:t>ai</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eu</w:t>
      </w:r>
      <w:r>
        <w:rPr>
          <w:rFonts w:ascii="Arial" w:hAnsi="Arial" w:cs="Arial"/>
          <w:spacing w:val="-1"/>
          <w:sz w:val="24"/>
          <w:szCs w:val="24"/>
        </w:rPr>
        <w:t>rs</w:t>
      </w:r>
      <w:r>
        <w:rPr>
          <w:rFonts w:ascii="Arial" w:hAnsi="Arial" w:cs="Arial"/>
          <w:sz w:val="24"/>
          <w:szCs w:val="24"/>
        </w:rPr>
        <w:t>,</w:t>
      </w:r>
      <w:r>
        <w:rPr>
          <w:rFonts w:ascii="Arial" w:hAnsi="Arial" w:cs="Arial"/>
          <w:spacing w:val="4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43"/>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3"/>
          <w:sz w:val="24"/>
          <w:szCs w:val="24"/>
        </w:rPr>
        <w:t>r</w:t>
      </w:r>
      <w:r>
        <w:rPr>
          <w:rFonts w:ascii="Arial" w:hAnsi="Arial" w:cs="Arial"/>
          <w:sz w:val="24"/>
          <w:szCs w:val="24"/>
        </w:rPr>
        <w:t>e</w:t>
      </w:r>
      <w:r>
        <w:rPr>
          <w:rFonts w:ascii="Arial" w:hAnsi="Arial" w:cs="Arial"/>
          <w:spacing w:val="41"/>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40"/>
          <w:sz w:val="24"/>
          <w:szCs w:val="24"/>
        </w:rPr>
        <w:t xml:space="preserve"> </w:t>
      </w:r>
      <w:r>
        <w:rPr>
          <w:rFonts w:ascii="Arial" w:hAnsi="Arial" w:cs="Arial"/>
          <w:sz w:val="24"/>
          <w:szCs w:val="24"/>
        </w:rPr>
        <w:t>en</w:t>
      </w:r>
      <w:r>
        <w:rPr>
          <w:rFonts w:ascii="Arial" w:hAnsi="Arial" w:cs="Arial"/>
          <w:spacing w:val="45"/>
          <w:sz w:val="24"/>
          <w:szCs w:val="24"/>
        </w:rPr>
        <w:t xml:space="preserve"> </w:t>
      </w:r>
      <w:r>
        <w:rPr>
          <w:rFonts w:ascii="Arial" w:hAnsi="Arial" w:cs="Arial"/>
          <w:sz w:val="24"/>
          <w:szCs w:val="24"/>
        </w:rPr>
        <w:t>A</w:t>
      </w:r>
      <w:r>
        <w:rPr>
          <w:rFonts w:ascii="Arial" w:hAnsi="Arial" w:cs="Arial"/>
          <w:spacing w:val="2"/>
          <w:sz w:val="24"/>
          <w:szCs w:val="24"/>
        </w:rPr>
        <w:t>f</w:t>
      </w:r>
      <w:r>
        <w:rPr>
          <w:rFonts w:ascii="Arial" w:hAnsi="Arial" w:cs="Arial"/>
          <w:spacing w:val="-1"/>
          <w:sz w:val="24"/>
          <w:szCs w:val="24"/>
        </w:rPr>
        <w:t>r</w:t>
      </w:r>
      <w:r>
        <w:rPr>
          <w:rFonts w:ascii="Arial" w:hAnsi="Arial" w:cs="Arial"/>
          <w:spacing w:val="1"/>
          <w:sz w:val="24"/>
          <w:szCs w:val="24"/>
        </w:rPr>
        <w:t>iq</w:t>
      </w:r>
      <w:r>
        <w:rPr>
          <w:rFonts w:ascii="Arial" w:hAnsi="Arial" w:cs="Arial"/>
          <w:sz w:val="24"/>
          <w:szCs w:val="24"/>
        </w:rPr>
        <w:t>ue</w:t>
      </w:r>
      <w:r>
        <w:rPr>
          <w:rFonts w:ascii="Arial" w:hAnsi="Arial" w:cs="Arial"/>
          <w:spacing w:val="3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2"/>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42"/>
          <w:sz w:val="24"/>
          <w:szCs w:val="24"/>
        </w:rPr>
        <w:t xml:space="preserve"> </w:t>
      </w:r>
      <w:r>
        <w:rPr>
          <w:rFonts w:ascii="Arial" w:hAnsi="Arial" w:cs="Arial"/>
          <w:sz w:val="24"/>
          <w:szCs w:val="24"/>
        </w:rPr>
        <w:t>et</w:t>
      </w:r>
      <w:r>
        <w:rPr>
          <w:rFonts w:ascii="Arial" w:hAnsi="Arial" w:cs="Arial"/>
          <w:spacing w:val="44"/>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42"/>
          <w:sz w:val="24"/>
          <w:szCs w:val="24"/>
        </w:rPr>
        <w:t xml:space="preserve"> </w:t>
      </w:r>
      <w:r>
        <w:rPr>
          <w:rFonts w:ascii="Arial" w:hAnsi="Arial" w:cs="Arial"/>
          <w:sz w:val="24"/>
          <w:szCs w:val="24"/>
        </w:rPr>
        <w:t>Cen</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39"/>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42"/>
          <w:sz w:val="24"/>
          <w:szCs w:val="24"/>
        </w:rPr>
        <w:t xml:space="preserve"> </w:t>
      </w:r>
      <w:r>
        <w:rPr>
          <w:rFonts w:ascii="Arial" w:hAnsi="Arial" w:cs="Arial"/>
          <w:spacing w:val="3"/>
          <w:sz w:val="24"/>
          <w:szCs w:val="24"/>
        </w:rPr>
        <w:t>t</w:t>
      </w:r>
      <w:r>
        <w:rPr>
          <w:rFonts w:ascii="Arial" w:hAnsi="Arial" w:cs="Arial"/>
          <w:spacing w:val="-1"/>
          <w:sz w:val="24"/>
          <w:szCs w:val="24"/>
        </w:rPr>
        <w:t>r</w:t>
      </w:r>
      <w:r>
        <w:rPr>
          <w:rFonts w:ascii="Arial" w:hAnsi="Arial" w:cs="Arial"/>
          <w:sz w:val="24"/>
          <w:szCs w:val="24"/>
        </w:rPr>
        <w:t xml:space="preserve">ès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p</w:t>
      </w:r>
      <w:r>
        <w:rPr>
          <w:rFonts w:ascii="Arial" w:hAnsi="Arial" w:cs="Arial"/>
          <w:sz w:val="24"/>
          <w:szCs w:val="24"/>
        </w:rPr>
        <w:t>en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nte</w:t>
      </w:r>
      <w:r>
        <w:rPr>
          <w:rFonts w:ascii="Arial" w:hAnsi="Arial" w:cs="Arial"/>
          <w:spacing w:val="20"/>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26"/>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w:t>
      </w:r>
      <w:r>
        <w:rPr>
          <w:rFonts w:ascii="Arial" w:hAnsi="Arial" w:cs="Arial"/>
          <w:spacing w:val="21"/>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0"/>
          <w:sz w:val="24"/>
          <w:szCs w:val="24"/>
        </w:rPr>
        <w:t xml:space="preserve"> </w:t>
      </w:r>
      <w:r>
        <w:rPr>
          <w:rFonts w:ascii="Arial" w:hAnsi="Arial" w:cs="Arial"/>
          <w:spacing w:val="-1"/>
          <w:sz w:val="24"/>
          <w:szCs w:val="24"/>
        </w:rPr>
        <w:t>sp</w:t>
      </w:r>
      <w:r>
        <w:rPr>
          <w:rFonts w:ascii="Arial" w:hAnsi="Arial" w:cs="Arial"/>
          <w:sz w:val="24"/>
          <w:szCs w:val="24"/>
        </w:rPr>
        <w:t>é</w:t>
      </w:r>
      <w:r>
        <w:rPr>
          <w:rFonts w:ascii="Arial" w:hAnsi="Arial" w:cs="Arial"/>
          <w:spacing w:val="-1"/>
          <w:sz w:val="24"/>
          <w:szCs w:val="24"/>
        </w:rPr>
        <w:t>cif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té</w:t>
      </w:r>
      <w:r>
        <w:rPr>
          <w:rFonts w:ascii="Arial" w:hAnsi="Arial" w:cs="Arial"/>
          <w:spacing w:val="24"/>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s</w:t>
      </w:r>
      <w:r>
        <w:rPr>
          <w:rFonts w:ascii="Arial" w:hAnsi="Arial" w:cs="Arial"/>
          <w:spacing w:val="1"/>
          <w:sz w:val="24"/>
          <w:szCs w:val="24"/>
        </w:rPr>
        <w:t>i</w:t>
      </w:r>
      <w:r>
        <w:rPr>
          <w:rFonts w:ascii="Arial" w:hAnsi="Arial" w:cs="Arial"/>
          <w:spacing w:val="-1"/>
          <w:sz w:val="24"/>
          <w:szCs w:val="24"/>
        </w:rPr>
        <w:t>d</w:t>
      </w:r>
      <w:r>
        <w:rPr>
          <w:rFonts w:ascii="Arial" w:hAnsi="Arial" w:cs="Arial"/>
          <w:sz w:val="24"/>
          <w:szCs w:val="24"/>
        </w:rPr>
        <w:t>e</w:t>
      </w:r>
      <w:r>
        <w:rPr>
          <w:rFonts w:ascii="Arial" w:hAnsi="Arial" w:cs="Arial"/>
          <w:spacing w:val="26"/>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26"/>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6"/>
          <w:sz w:val="24"/>
          <w:szCs w:val="24"/>
        </w:rPr>
        <w:t xml:space="preserve"> </w:t>
      </w:r>
      <w:r>
        <w:rPr>
          <w:rFonts w:ascii="Arial" w:hAnsi="Arial" w:cs="Arial"/>
          <w:spacing w:val="-1"/>
          <w:sz w:val="24"/>
          <w:szCs w:val="24"/>
        </w:rPr>
        <w:t>f</w:t>
      </w:r>
      <w:r>
        <w:rPr>
          <w:rFonts w:ascii="Arial" w:hAnsi="Arial" w:cs="Arial"/>
          <w:spacing w:val="1"/>
          <w:sz w:val="24"/>
          <w:szCs w:val="24"/>
        </w:rPr>
        <w:t>ai</w:t>
      </w:r>
      <w:r>
        <w:rPr>
          <w:rFonts w:ascii="Arial" w:hAnsi="Arial" w:cs="Arial"/>
          <w:sz w:val="24"/>
          <w:szCs w:val="24"/>
        </w:rPr>
        <w:t>t</w:t>
      </w:r>
      <w:r>
        <w:rPr>
          <w:rFonts w:ascii="Arial" w:hAnsi="Arial" w:cs="Arial"/>
          <w:spacing w:val="24"/>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ll</w:t>
      </w:r>
      <w:r>
        <w:rPr>
          <w:rFonts w:ascii="Arial" w:hAnsi="Arial" w:cs="Arial"/>
          <w:sz w:val="24"/>
          <w:szCs w:val="24"/>
        </w:rPr>
        <w:t>e</w:t>
      </w:r>
      <w:r>
        <w:rPr>
          <w:rFonts w:ascii="Arial" w:hAnsi="Arial" w:cs="Arial"/>
          <w:spacing w:val="23"/>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 xml:space="preserve">a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p</w:t>
      </w:r>
      <w:r>
        <w:rPr>
          <w:rFonts w:ascii="Arial" w:hAnsi="Arial" w:cs="Arial"/>
          <w:sz w:val="24"/>
          <w:szCs w:val="24"/>
        </w:rPr>
        <w:t>our</w:t>
      </w:r>
      <w:r>
        <w:rPr>
          <w:rFonts w:ascii="Arial" w:hAnsi="Arial" w:cs="Arial"/>
          <w:spacing w:val="6"/>
          <w:sz w:val="24"/>
          <w:szCs w:val="24"/>
        </w:rPr>
        <w:t xml:space="preserve"> </w:t>
      </w:r>
      <w:r>
        <w:rPr>
          <w:rFonts w:ascii="Arial" w:hAnsi="Arial" w:cs="Arial"/>
          <w:spacing w:val="-1"/>
          <w:sz w:val="24"/>
          <w:szCs w:val="24"/>
        </w:rPr>
        <w:t>pr</w:t>
      </w:r>
      <w:r>
        <w:rPr>
          <w:rFonts w:ascii="Arial" w:hAnsi="Arial" w:cs="Arial"/>
          <w:sz w:val="24"/>
          <w:szCs w:val="24"/>
        </w:rPr>
        <w:t>em</w:t>
      </w:r>
      <w:r>
        <w:rPr>
          <w:rFonts w:ascii="Arial" w:hAnsi="Arial" w:cs="Arial"/>
          <w:spacing w:val="1"/>
          <w:sz w:val="24"/>
          <w:szCs w:val="24"/>
        </w:rPr>
        <w:t>i</w:t>
      </w:r>
      <w:r>
        <w:rPr>
          <w:rFonts w:ascii="Arial" w:hAnsi="Arial" w:cs="Arial"/>
          <w:sz w:val="24"/>
          <w:szCs w:val="24"/>
        </w:rPr>
        <w:t>er o</w:t>
      </w:r>
      <w:r>
        <w:rPr>
          <w:rFonts w:ascii="Arial" w:hAnsi="Arial" w:cs="Arial"/>
          <w:spacing w:val="1"/>
          <w:sz w:val="24"/>
          <w:szCs w:val="24"/>
        </w:rPr>
        <w:t>bj</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sf</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b</w:t>
      </w:r>
      <w:r>
        <w:rPr>
          <w:rFonts w:ascii="Arial" w:hAnsi="Arial" w:cs="Arial"/>
          <w:sz w:val="24"/>
          <w:szCs w:val="24"/>
        </w:rPr>
        <w:t>e</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i</w:t>
      </w:r>
      <w:r>
        <w:rPr>
          <w:rFonts w:ascii="Arial" w:hAnsi="Arial" w:cs="Arial"/>
          <w:sz w:val="24"/>
          <w:szCs w:val="24"/>
        </w:rPr>
        <w:t>ns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f</w:t>
      </w:r>
      <w:r>
        <w:rPr>
          <w:rFonts w:ascii="Arial" w:hAnsi="Arial" w:cs="Arial"/>
          <w:spacing w:val="1"/>
          <w:sz w:val="24"/>
          <w:szCs w:val="24"/>
        </w:rPr>
        <w:t>ila</w:t>
      </w:r>
      <w:r>
        <w:rPr>
          <w:rFonts w:ascii="Arial" w:hAnsi="Arial" w:cs="Arial"/>
          <w:sz w:val="24"/>
          <w:szCs w:val="24"/>
        </w:rPr>
        <w:t>tu</w:t>
      </w:r>
      <w:r>
        <w:rPr>
          <w:rFonts w:ascii="Arial" w:hAnsi="Arial" w:cs="Arial"/>
          <w:spacing w:val="-1"/>
          <w:sz w:val="24"/>
          <w:szCs w:val="24"/>
        </w:rPr>
        <w:t>r</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al</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4"/>
          <w:sz w:val="24"/>
          <w:szCs w:val="24"/>
        </w:rPr>
        <w:t xml:space="preserve"> </w:t>
      </w:r>
      <w:r>
        <w:rPr>
          <w:rFonts w:ascii="Arial" w:hAnsi="Arial" w:cs="Arial"/>
          <w:spacing w:val="1"/>
          <w:sz w:val="24"/>
          <w:szCs w:val="24"/>
        </w:rPr>
        <w:t>U</w:t>
      </w:r>
      <w:r>
        <w:rPr>
          <w:rFonts w:ascii="Arial" w:hAnsi="Arial" w:cs="Arial"/>
          <w:spacing w:val="-2"/>
          <w:sz w:val="24"/>
          <w:szCs w:val="24"/>
        </w:rPr>
        <w:t>n</w:t>
      </w:r>
      <w:r>
        <w:rPr>
          <w:rFonts w:ascii="Arial" w:hAnsi="Arial" w:cs="Arial"/>
          <w:sz w:val="24"/>
          <w:szCs w:val="24"/>
        </w:rPr>
        <w:t>e toute</w:t>
      </w:r>
      <w:r>
        <w:rPr>
          <w:rFonts w:ascii="Arial" w:hAnsi="Arial" w:cs="Arial"/>
          <w:spacing w:val="47"/>
          <w:sz w:val="24"/>
          <w:szCs w:val="24"/>
        </w:rPr>
        <w:t xml:space="preserve"> </w:t>
      </w:r>
      <w:r>
        <w:rPr>
          <w:rFonts w:ascii="Arial" w:hAnsi="Arial" w:cs="Arial"/>
          <w:spacing w:val="-1"/>
          <w:sz w:val="24"/>
          <w:szCs w:val="24"/>
        </w:rPr>
        <w:t>p</w:t>
      </w:r>
      <w:r>
        <w:rPr>
          <w:rFonts w:ascii="Arial" w:hAnsi="Arial" w:cs="Arial"/>
          <w:sz w:val="24"/>
          <w:szCs w:val="24"/>
        </w:rPr>
        <w:t>et</w:t>
      </w:r>
      <w:r>
        <w:rPr>
          <w:rFonts w:ascii="Arial" w:hAnsi="Arial" w:cs="Arial"/>
          <w:spacing w:val="1"/>
          <w:sz w:val="24"/>
          <w:szCs w:val="24"/>
        </w:rPr>
        <w:t>i</w:t>
      </w:r>
      <w:r>
        <w:rPr>
          <w:rFonts w:ascii="Arial" w:hAnsi="Arial" w:cs="Arial"/>
          <w:sz w:val="24"/>
          <w:szCs w:val="24"/>
        </w:rPr>
        <w:t>te</w:t>
      </w:r>
      <w:r>
        <w:rPr>
          <w:rFonts w:ascii="Arial" w:hAnsi="Arial" w:cs="Arial"/>
          <w:spacing w:val="46"/>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i</w:t>
      </w:r>
      <w:r>
        <w:rPr>
          <w:rFonts w:ascii="Arial" w:hAnsi="Arial" w:cs="Arial"/>
          <w:sz w:val="24"/>
          <w:szCs w:val="24"/>
        </w:rPr>
        <w:t>e</w:t>
      </w:r>
      <w:r>
        <w:rPr>
          <w:rFonts w:ascii="Arial" w:hAnsi="Arial" w:cs="Arial"/>
          <w:spacing w:val="47"/>
          <w:sz w:val="24"/>
          <w:szCs w:val="24"/>
        </w:rPr>
        <w:t xml:space="preserve"> </w:t>
      </w:r>
      <w:r>
        <w:rPr>
          <w:rFonts w:ascii="Arial" w:hAnsi="Arial" w:cs="Arial"/>
          <w:spacing w:val="-3"/>
          <w:sz w:val="24"/>
          <w:szCs w:val="24"/>
        </w:rPr>
        <w:t>d</w:t>
      </w:r>
      <w:r>
        <w:rPr>
          <w:rFonts w:ascii="Arial" w:hAnsi="Arial" w:cs="Arial"/>
          <w:sz w:val="24"/>
          <w:szCs w:val="24"/>
        </w:rPr>
        <w:t>e</w:t>
      </w:r>
      <w:r>
        <w:rPr>
          <w:rFonts w:ascii="Arial" w:hAnsi="Arial" w:cs="Arial"/>
          <w:spacing w:val="49"/>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48"/>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45"/>
          <w:sz w:val="24"/>
          <w:szCs w:val="24"/>
        </w:rPr>
        <w:t xml:space="preserve"> </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al</w:t>
      </w:r>
      <w:r>
        <w:rPr>
          <w:rFonts w:ascii="Arial" w:hAnsi="Arial" w:cs="Arial"/>
          <w:sz w:val="24"/>
          <w:szCs w:val="24"/>
        </w:rPr>
        <w:t>e</w:t>
      </w:r>
      <w:r>
        <w:rPr>
          <w:rFonts w:ascii="Arial" w:hAnsi="Arial" w:cs="Arial"/>
          <w:spacing w:val="4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9"/>
          <w:sz w:val="24"/>
          <w:szCs w:val="24"/>
        </w:rPr>
        <w:t xml:space="preserve"> </w:t>
      </w:r>
      <w:r>
        <w:rPr>
          <w:rFonts w:ascii="Arial" w:hAnsi="Arial" w:cs="Arial"/>
          <w:spacing w:val="-1"/>
          <w:sz w:val="24"/>
          <w:szCs w:val="24"/>
        </w:rPr>
        <w:t>fi</w:t>
      </w:r>
      <w:r>
        <w:rPr>
          <w:rFonts w:ascii="Arial" w:hAnsi="Arial" w:cs="Arial"/>
          <w:spacing w:val="1"/>
          <w:sz w:val="24"/>
          <w:szCs w:val="24"/>
        </w:rPr>
        <w:t>b</w:t>
      </w:r>
      <w:r>
        <w:rPr>
          <w:rFonts w:ascii="Arial" w:hAnsi="Arial" w:cs="Arial"/>
          <w:spacing w:val="-1"/>
          <w:sz w:val="24"/>
          <w:szCs w:val="24"/>
        </w:rPr>
        <w:t>r</w:t>
      </w:r>
      <w:r>
        <w:rPr>
          <w:rFonts w:ascii="Arial" w:hAnsi="Arial" w:cs="Arial"/>
          <w:sz w:val="24"/>
          <w:szCs w:val="24"/>
        </w:rPr>
        <w:t>es</w:t>
      </w:r>
      <w:r>
        <w:rPr>
          <w:rFonts w:ascii="Arial" w:hAnsi="Arial" w:cs="Arial"/>
          <w:spacing w:val="47"/>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49"/>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ommée</w:t>
      </w:r>
      <w:r>
        <w:rPr>
          <w:rFonts w:ascii="Arial" w:hAnsi="Arial" w:cs="Arial"/>
          <w:spacing w:val="42"/>
          <w:sz w:val="24"/>
          <w:szCs w:val="24"/>
        </w:rPr>
        <w:t xml:space="preserve"> </w:t>
      </w:r>
      <w:r>
        <w:rPr>
          <w:rFonts w:ascii="Arial" w:hAnsi="Arial" w:cs="Arial"/>
          <w:spacing w:val="-1"/>
          <w:sz w:val="24"/>
          <w:szCs w:val="24"/>
        </w:rPr>
        <w:t>s</w:t>
      </w:r>
      <w:r>
        <w:rPr>
          <w:rFonts w:ascii="Arial" w:hAnsi="Arial" w:cs="Arial"/>
          <w:sz w:val="24"/>
          <w:szCs w:val="24"/>
        </w:rPr>
        <w:t xml:space="preserve">ur </w:t>
      </w:r>
      <w:r>
        <w:rPr>
          <w:rFonts w:ascii="Arial" w:hAnsi="Arial" w:cs="Arial"/>
          <w:spacing w:val="-1"/>
          <w:sz w:val="24"/>
          <w:szCs w:val="24"/>
        </w:rPr>
        <w:t>p</w:t>
      </w:r>
      <w:r>
        <w:rPr>
          <w:rFonts w:ascii="Arial" w:hAnsi="Arial" w:cs="Arial"/>
          <w:spacing w:val="1"/>
          <w:sz w:val="24"/>
          <w:szCs w:val="24"/>
        </w:rPr>
        <w:t>la</w:t>
      </w:r>
      <w:r>
        <w:rPr>
          <w:rFonts w:ascii="Arial" w:hAnsi="Arial" w:cs="Arial"/>
          <w:spacing w:val="-1"/>
          <w:sz w:val="24"/>
          <w:szCs w:val="24"/>
        </w:rPr>
        <w:t>c</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al</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A</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z w:val="24"/>
          <w:szCs w:val="24"/>
        </w:rPr>
        <w:t>em</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Séné</w:t>
      </w:r>
      <w:r>
        <w:rPr>
          <w:rFonts w:ascii="Arial" w:hAnsi="Arial" w:cs="Arial"/>
          <w:spacing w:val="1"/>
          <w:sz w:val="24"/>
          <w:szCs w:val="24"/>
        </w:rPr>
        <w:t>ga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lastRenderedPageBreak/>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omme</w:t>
      </w:r>
      <w:r>
        <w:rPr>
          <w:rFonts w:ascii="Arial" w:hAnsi="Arial" w:cs="Arial"/>
          <w:spacing w:val="1"/>
          <w:sz w:val="24"/>
          <w:szCs w:val="24"/>
        </w:rPr>
        <w:t xml:space="preserve"> </w:t>
      </w:r>
      <w:r>
        <w:rPr>
          <w:rFonts w:ascii="Arial" w:hAnsi="Arial" w:cs="Arial"/>
          <w:spacing w:val="2"/>
          <w:sz w:val="24"/>
          <w:szCs w:val="24"/>
        </w:rPr>
        <w:t>e</w:t>
      </w:r>
      <w:r>
        <w:rPr>
          <w:rFonts w:ascii="Arial" w:hAnsi="Arial" w:cs="Arial"/>
          <w:sz w:val="24"/>
          <w:szCs w:val="24"/>
        </w:rPr>
        <w:t>n mo</w:t>
      </w:r>
      <w:r>
        <w:rPr>
          <w:rFonts w:ascii="Arial" w:hAnsi="Arial" w:cs="Arial"/>
          <w:spacing w:val="1"/>
          <w:sz w:val="24"/>
          <w:szCs w:val="24"/>
        </w:rPr>
        <w:t>y</w:t>
      </w:r>
      <w:r>
        <w:rPr>
          <w:rFonts w:ascii="Arial" w:hAnsi="Arial" w:cs="Arial"/>
          <w:sz w:val="24"/>
          <w:szCs w:val="24"/>
        </w:rPr>
        <w:t xml:space="preserve">enne </w:t>
      </w:r>
      <w:r>
        <w:rPr>
          <w:rFonts w:ascii="Arial" w:hAnsi="Arial" w:cs="Arial"/>
          <w:spacing w:val="1"/>
          <w:sz w:val="24"/>
          <w:szCs w:val="24"/>
        </w:rPr>
        <w:t>12,6</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s</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5"/>
          <w:sz w:val="24"/>
          <w:szCs w:val="24"/>
        </w:rPr>
        <w:t xml:space="preserve"> </w:t>
      </w:r>
      <w:r>
        <w:rPr>
          <w:rFonts w:ascii="Arial" w:hAnsi="Arial" w:cs="Arial"/>
          <w:sz w:val="24"/>
          <w:szCs w:val="24"/>
        </w:rPr>
        <w:t>Au</w:t>
      </w:r>
      <w:r>
        <w:rPr>
          <w:rFonts w:ascii="Arial" w:hAnsi="Arial" w:cs="Arial"/>
          <w:spacing w:val="5"/>
          <w:sz w:val="24"/>
          <w:szCs w:val="24"/>
        </w:rPr>
        <w:t xml:space="preserve"> </w:t>
      </w:r>
      <w:r>
        <w:rPr>
          <w:rFonts w:ascii="Arial" w:hAnsi="Arial" w:cs="Arial"/>
          <w:sz w:val="24"/>
          <w:szCs w:val="24"/>
        </w:rPr>
        <w:t>Bu</w:t>
      </w:r>
      <w:r>
        <w:rPr>
          <w:rFonts w:ascii="Arial" w:hAnsi="Arial" w:cs="Arial"/>
          <w:spacing w:val="2"/>
          <w:sz w:val="24"/>
          <w:szCs w:val="24"/>
        </w:rPr>
        <w:t>r</w:t>
      </w:r>
      <w:r>
        <w:rPr>
          <w:rFonts w:ascii="Arial" w:hAnsi="Arial" w:cs="Arial"/>
          <w:spacing w:val="-1"/>
          <w:sz w:val="24"/>
          <w:szCs w:val="24"/>
        </w:rPr>
        <w:t>k</w:t>
      </w:r>
      <w:r>
        <w:rPr>
          <w:rFonts w:ascii="Arial" w:hAnsi="Arial" w:cs="Arial"/>
          <w:spacing w:val="1"/>
          <w:sz w:val="24"/>
          <w:szCs w:val="24"/>
        </w:rPr>
        <w:t>i</w:t>
      </w:r>
      <w:r>
        <w:rPr>
          <w:rFonts w:ascii="Arial" w:hAnsi="Arial" w:cs="Arial"/>
          <w:sz w:val="24"/>
          <w:szCs w:val="24"/>
        </w:rPr>
        <w:t>na</w:t>
      </w:r>
      <w:r>
        <w:rPr>
          <w:rFonts w:ascii="Arial" w:hAnsi="Arial" w:cs="Arial"/>
          <w:spacing w:val="5"/>
          <w:sz w:val="24"/>
          <w:szCs w:val="24"/>
        </w:rPr>
        <w:t xml:space="preserve"> </w:t>
      </w:r>
      <w:r>
        <w:rPr>
          <w:rFonts w:ascii="Arial" w:hAnsi="Arial" w:cs="Arial"/>
          <w:spacing w:val="1"/>
          <w:sz w:val="24"/>
          <w:szCs w:val="24"/>
        </w:rPr>
        <w:t>Fa</w:t>
      </w:r>
      <w:r>
        <w:rPr>
          <w:rFonts w:ascii="Arial" w:hAnsi="Arial" w:cs="Arial"/>
          <w:spacing w:val="-1"/>
          <w:sz w:val="24"/>
          <w:szCs w:val="24"/>
        </w:rPr>
        <w:t>s</w:t>
      </w:r>
      <w:r>
        <w:rPr>
          <w:rFonts w:ascii="Arial" w:hAnsi="Arial" w:cs="Arial"/>
          <w:sz w:val="24"/>
          <w:szCs w:val="24"/>
        </w:rPr>
        <w:t>o,</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ou</w:t>
      </w:r>
      <w:r>
        <w:rPr>
          <w:rFonts w:ascii="Arial" w:hAnsi="Arial" w:cs="Arial"/>
          <w:spacing w:val="2"/>
          <w:sz w:val="24"/>
          <w:szCs w:val="24"/>
        </w:rPr>
        <w:t>r</w:t>
      </w:r>
      <w:r>
        <w:rPr>
          <w:rFonts w:ascii="Arial" w:hAnsi="Arial" w:cs="Arial"/>
          <w:spacing w:val="-1"/>
          <w:sz w:val="24"/>
          <w:szCs w:val="24"/>
        </w:rPr>
        <w:t>c</w:t>
      </w:r>
      <w:r>
        <w:rPr>
          <w:rFonts w:ascii="Arial" w:hAnsi="Arial" w:cs="Arial"/>
          <w:sz w:val="24"/>
          <w:szCs w:val="24"/>
        </w:rPr>
        <w:t>ent</w:t>
      </w:r>
      <w:r>
        <w:rPr>
          <w:rFonts w:ascii="Arial" w:hAnsi="Arial" w:cs="Arial"/>
          <w:spacing w:val="1"/>
          <w:sz w:val="24"/>
          <w:szCs w:val="24"/>
        </w:rPr>
        <w:t>ag</w:t>
      </w:r>
      <w:r>
        <w:rPr>
          <w:rFonts w:ascii="Arial" w:hAnsi="Arial" w:cs="Arial"/>
          <w:sz w:val="24"/>
          <w:szCs w:val="24"/>
        </w:rPr>
        <w:t>e e</w:t>
      </w:r>
      <w:r>
        <w:rPr>
          <w:rFonts w:ascii="Arial" w:hAnsi="Arial" w:cs="Arial"/>
          <w:spacing w:val="-1"/>
          <w:sz w:val="24"/>
          <w:szCs w:val="24"/>
        </w:rPr>
        <w:t>s</w:t>
      </w:r>
      <w:r>
        <w:rPr>
          <w:rFonts w:ascii="Arial" w:hAnsi="Arial" w:cs="Arial"/>
          <w:sz w:val="24"/>
          <w:szCs w:val="24"/>
        </w:rPr>
        <w:t>t</w:t>
      </w:r>
      <w:r>
        <w:rPr>
          <w:rFonts w:ascii="Arial" w:hAnsi="Arial" w:cs="Arial"/>
          <w:spacing w:val="8"/>
          <w:sz w:val="24"/>
          <w:szCs w:val="24"/>
        </w:rPr>
        <w:t xml:space="preserve"> </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mené</w:t>
      </w:r>
      <w:r>
        <w:rPr>
          <w:rFonts w:ascii="Arial" w:hAnsi="Arial" w:cs="Arial"/>
          <w:spacing w:val="4"/>
          <w:sz w:val="24"/>
          <w:szCs w:val="24"/>
        </w:rPr>
        <w:t xml:space="preserve"> </w:t>
      </w:r>
      <w:r>
        <w:rPr>
          <w:rFonts w:ascii="Arial" w:hAnsi="Arial" w:cs="Arial"/>
          <w:sz w:val="24"/>
          <w:szCs w:val="24"/>
        </w:rPr>
        <w:t>à</w:t>
      </w:r>
      <w:r>
        <w:rPr>
          <w:rFonts w:ascii="Arial" w:hAnsi="Arial" w:cs="Arial"/>
          <w:spacing w:val="7"/>
          <w:sz w:val="24"/>
          <w:szCs w:val="24"/>
        </w:rPr>
        <w:t xml:space="preserve"> </w:t>
      </w:r>
      <w:r>
        <w:rPr>
          <w:rFonts w:ascii="Arial" w:hAnsi="Arial" w:cs="Arial"/>
          <w:spacing w:val="1"/>
          <w:sz w:val="24"/>
          <w:szCs w:val="24"/>
        </w:rPr>
        <w:t>2</w:t>
      </w:r>
      <w:r>
        <w:rPr>
          <w:rFonts w:ascii="Arial" w:hAnsi="Arial" w:cs="Arial"/>
          <w:spacing w:val="-1"/>
          <w:sz w:val="24"/>
          <w:szCs w:val="24"/>
        </w:rPr>
        <w:t>%</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r</w:t>
      </w:r>
      <w:r>
        <w:rPr>
          <w:rFonts w:ascii="Arial" w:hAnsi="Arial" w:cs="Arial"/>
          <w:sz w:val="24"/>
          <w:szCs w:val="24"/>
        </w:rPr>
        <w:t>s</w:t>
      </w:r>
      <w:r>
        <w:rPr>
          <w:rFonts w:ascii="Arial" w:hAnsi="Arial" w:cs="Arial"/>
          <w:spacing w:val="7"/>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l</w:t>
      </w:r>
      <w:r>
        <w:rPr>
          <w:rFonts w:ascii="Arial" w:hAnsi="Arial" w:cs="Arial"/>
          <w:spacing w:val="9"/>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1,</w:t>
      </w:r>
      <w:r>
        <w:rPr>
          <w:rFonts w:ascii="Arial" w:hAnsi="Arial" w:cs="Arial"/>
          <w:spacing w:val="-1"/>
          <w:sz w:val="24"/>
          <w:szCs w:val="24"/>
        </w:rPr>
        <w:t>1</w:t>
      </w:r>
      <w:r>
        <w:rPr>
          <w:rFonts w:ascii="Arial" w:hAnsi="Arial" w:cs="Arial"/>
          <w:spacing w:val="1"/>
          <w:sz w:val="24"/>
          <w:szCs w:val="24"/>
        </w:rPr>
        <w:t>4</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M</w:t>
      </w:r>
      <w:r>
        <w:rPr>
          <w:rFonts w:ascii="Arial" w:hAnsi="Arial" w:cs="Arial"/>
          <w:spacing w:val="1"/>
          <w:sz w:val="24"/>
          <w:szCs w:val="24"/>
        </w:rPr>
        <w:t>ali</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ca</w:t>
      </w:r>
      <w:r>
        <w:rPr>
          <w:rFonts w:ascii="Arial" w:hAnsi="Arial" w:cs="Arial"/>
          <w:spacing w:val="1"/>
          <w:sz w:val="24"/>
          <w:szCs w:val="24"/>
        </w:rPr>
        <w:t>l</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es</w:t>
      </w:r>
      <w:r>
        <w:rPr>
          <w:rFonts w:ascii="Arial" w:hAnsi="Arial" w:cs="Arial"/>
          <w:spacing w:val="3"/>
          <w:sz w:val="24"/>
          <w:szCs w:val="24"/>
        </w:rPr>
        <w:t xml:space="preserve"> </w:t>
      </w:r>
      <w:r>
        <w:rPr>
          <w:rFonts w:ascii="Arial" w:hAnsi="Arial" w:cs="Arial"/>
          <w:sz w:val="24"/>
          <w:szCs w:val="24"/>
        </w:rPr>
        <w:t>en</w:t>
      </w:r>
      <w:r>
        <w:rPr>
          <w:rFonts w:ascii="Arial" w:hAnsi="Arial" w:cs="Arial"/>
          <w:spacing w:val="6"/>
          <w:sz w:val="24"/>
          <w:szCs w:val="24"/>
        </w:rPr>
        <w:t xml:space="preserve"> </w:t>
      </w:r>
      <w:r>
        <w:rPr>
          <w:rFonts w:ascii="Arial" w:hAnsi="Arial" w:cs="Arial"/>
          <w:sz w:val="24"/>
          <w:szCs w:val="24"/>
        </w:rPr>
        <w:t>Côte</w:t>
      </w:r>
      <w:r>
        <w:rPr>
          <w:rFonts w:ascii="Arial" w:hAnsi="Arial" w:cs="Arial"/>
          <w:spacing w:val="4"/>
          <w:sz w:val="24"/>
          <w:szCs w:val="24"/>
        </w:rPr>
        <w:t xml:space="preserve"> </w:t>
      </w:r>
      <w:r>
        <w:rPr>
          <w:rFonts w:ascii="Arial" w:hAnsi="Arial" w:cs="Arial"/>
          <w:spacing w:val="1"/>
          <w:sz w:val="24"/>
          <w:szCs w:val="24"/>
        </w:rPr>
        <w:t>d</w:t>
      </w:r>
      <w:r>
        <w:rPr>
          <w:rFonts w:ascii="Arial" w:hAnsi="Arial" w:cs="Arial"/>
          <w:spacing w:val="-1"/>
          <w:sz w:val="24"/>
          <w:szCs w:val="24"/>
        </w:rPr>
        <w:t>’</w:t>
      </w:r>
      <w:r>
        <w:rPr>
          <w:rFonts w:ascii="Arial" w:hAnsi="Arial" w:cs="Arial"/>
          <w:spacing w:val="1"/>
          <w:sz w:val="24"/>
          <w:szCs w:val="24"/>
        </w:rPr>
        <w:t>Iv</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a</w:t>
      </w:r>
      <w:r>
        <w:rPr>
          <w:rFonts w:ascii="Arial" w:hAnsi="Arial" w:cs="Arial"/>
          <w:sz w:val="24"/>
          <w:szCs w:val="24"/>
        </w:rPr>
        <w:t>tte</w:t>
      </w:r>
      <w:r>
        <w:rPr>
          <w:rFonts w:ascii="Arial" w:hAnsi="Arial" w:cs="Arial"/>
          <w:spacing w:val="1"/>
          <w:sz w:val="24"/>
          <w:szCs w:val="24"/>
        </w:rPr>
        <w:t>i</w:t>
      </w:r>
      <w:r>
        <w:rPr>
          <w:rFonts w:ascii="Arial" w:hAnsi="Arial" w:cs="Arial"/>
          <w:sz w:val="24"/>
          <w:szCs w:val="24"/>
        </w:rPr>
        <w:t>nt</w:t>
      </w:r>
      <w:r>
        <w:rPr>
          <w:rFonts w:ascii="Arial" w:hAnsi="Arial" w:cs="Arial"/>
          <w:spacing w:val="2"/>
          <w:sz w:val="24"/>
          <w:szCs w:val="24"/>
        </w:rPr>
        <w:t xml:space="preserve"> </w:t>
      </w:r>
      <w:r>
        <w:rPr>
          <w:rFonts w:ascii="Arial" w:hAnsi="Arial" w:cs="Arial"/>
          <w:spacing w:val="1"/>
          <w:sz w:val="24"/>
          <w:szCs w:val="24"/>
        </w:rPr>
        <w:t>20</w:t>
      </w:r>
      <w:r>
        <w:rPr>
          <w:rFonts w:ascii="Arial" w:hAnsi="Arial" w:cs="Arial"/>
          <w:spacing w:val="-1"/>
          <w:sz w:val="24"/>
          <w:szCs w:val="24"/>
        </w:rPr>
        <w:t>%</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en</w:t>
      </w:r>
      <w:r>
        <w:rPr>
          <w:rFonts w:ascii="Arial" w:hAnsi="Arial" w:cs="Arial"/>
          <w:spacing w:val="6"/>
          <w:sz w:val="24"/>
          <w:szCs w:val="24"/>
        </w:rPr>
        <w:t xml:space="preserve"> </w:t>
      </w:r>
      <w:r>
        <w:rPr>
          <w:rFonts w:ascii="Arial" w:hAnsi="Arial" w:cs="Arial"/>
          <w:spacing w:val="1"/>
          <w:sz w:val="24"/>
          <w:szCs w:val="24"/>
        </w:rPr>
        <w:t>G</w:t>
      </w:r>
      <w:r>
        <w:rPr>
          <w:rFonts w:ascii="Arial" w:hAnsi="Arial" w:cs="Arial"/>
          <w:sz w:val="24"/>
          <w:szCs w:val="24"/>
        </w:rPr>
        <w:t>u</w:t>
      </w:r>
      <w:r>
        <w:rPr>
          <w:rFonts w:ascii="Arial" w:hAnsi="Arial" w:cs="Arial"/>
          <w:spacing w:val="1"/>
          <w:sz w:val="24"/>
          <w:szCs w:val="24"/>
        </w:rPr>
        <w:t>i</w:t>
      </w:r>
      <w:r>
        <w:rPr>
          <w:rFonts w:ascii="Arial" w:hAnsi="Arial" w:cs="Arial"/>
          <w:sz w:val="24"/>
          <w:szCs w:val="24"/>
        </w:rPr>
        <w:t>née et en Centrafrique</w:t>
      </w:r>
      <w:r>
        <w:rPr>
          <w:rFonts w:ascii="Arial" w:hAnsi="Arial" w:cs="Arial"/>
          <w:spacing w:val="5"/>
          <w:sz w:val="24"/>
          <w:szCs w:val="24"/>
        </w:rPr>
        <w:t xml:space="preserve"> </w:t>
      </w:r>
      <w:r>
        <w:rPr>
          <w:rFonts w:ascii="Arial" w:hAnsi="Arial" w:cs="Arial"/>
          <w:spacing w:val="1"/>
          <w:sz w:val="24"/>
          <w:szCs w:val="24"/>
        </w:rPr>
        <w:t>100</w:t>
      </w:r>
      <w:r>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ont</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tée</w:t>
      </w:r>
      <w:r>
        <w:rPr>
          <w:rFonts w:ascii="Arial" w:hAnsi="Arial" w:cs="Arial"/>
          <w:spacing w:val="-1"/>
          <w:sz w:val="24"/>
          <w:szCs w:val="24"/>
        </w:rPr>
        <w:t>s</w:t>
      </w:r>
      <w:r>
        <w:rPr>
          <w:rFonts w:ascii="Arial" w:hAnsi="Arial" w:cs="Arial"/>
          <w:sz w:val="24"/>
          <w:szCs w:val="24"/>
        </w:rPr>
        <w:t>.</w:t>
      </w:r>
      <w:r>
        <w:rPr>
          <w:rFonts w:ascii="Arial" w:hAnsi="Arial" w:cs="Arial"/>
          <w:spacing w:val="-4"/>
          <w:sz w:val="24"/>
          <w:szCs w:val="24"/>
        </w:rPr>
        <w:t xml:space="preserve"> </w:t>
      </w:r>
      <w:r>
        <w:rPr>
          <w:rFonts w:ascii="Arial" w:hAnsi="Arial" w:cs="Arial"/>
          <w:sz w:val="24"/>
          <w:szCs w:val="24"/>
        </w:rPr>
        <w:t>En</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me</w:t>
      </w:r>
      <w:r>
        <w:rPr>
          <w:rFonts w:ascii="Arial" w:hAnsi="Arial" w:cs="Arial"/>
          <w:spacing w:val="-1"/>
          <w:sz w:val="24"/>
          <w:szCs w:val="24"/>
        </w:rPr>
        <w:t>r</w:t>
      </w:r>
      <w:r>
        <w:rPr>
          <w:rFonts w:ascii="Arial" w:hAnsi="Arial" w:cs="Arial"/>
          <w:sz w:val="24"/>
          <w:szCs w:val="24"/>
        </w:rPr>
        <w:t>oun,</w:t>
      </w:r>
      <w:r>
        <w:rPr>
          <w:rFonts w:ascii="Arial" w:hAnsi="Arial" w:cs="Arial"/>
          <w:spacing w:val="-4"/>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al</w:t>
      </w:r>
      <w:r>
        <w:rPr>
          <w:rFonts w:ascii="Arial" w:hAnsi="Arial" w:cs="Arial"/>
          <w:sz w:val="24"/>
          <w:szCs w:val="24"/>
        </w:rPr>
        <w:t>e</w:t>
      </w:r>
      <w:r>
        <w:rPr>
          <w:rFonts w:ascii="Arial" w:hAnsi="Arial" w:cs="Arial"/>
          <w:spacing w:val="-1"/>
          <w:sz w:val="24"/>
          <w:szCs w:val="24"/>
        </w:rPr>
        <w:t xml:space="preserve"> 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omme</w:t>
      </w:r>
      <w:r>
        <w:rPr>
          <w:rFonts w:ascii="Arial" w:hAnsi="Arial" w:cs="Arial"/>
          <w:spacing w:val="-7"/>
          <w:sz w:val="24"/>
          <w:szCs w:val="24"/>
        </w:rPr>
        <w:t xml:space="preserve"> </w:t>
      </w:r>
      <w:r>
        <w:rPr>
          <w:rFonts w:ascii="Arial" w:hAnsi="Arial" w:cs="Arial"/>
          <w:sz w:val="24"/>
          <w:szCs w:val="24"/>
        </w:rPr>
        <w:t>en</w:t>
      </w:r>
      <w:r>
        <w:rPr>
          <w:rFonts w:ascii="Arial" w:hAnsi="Arial" w:cs="Arial"/>
          <w:spacing w:val="1"/>
          <w:sz w:val="24"/>
          <w:szCs w:val="24"/>
        </w:rPr>
        <w:t>vi</w:t>
      </w:r>
      <w:r>
        <w:rPr>
          <w:rFonts w:ascii="Arial" w:hAnsi="Arial" w:cs="Arial"/>
          <w:spacing w:val="-1"/>
          <w:sz w:val="24"/>
          <w:szCs w:val="24"/>
        </w:rPr>
        <w:t>r</w:t>
      </w:r>
      <w:r>
        <w:rPr>
          <w:rFonts w:ascii="Arial" w:hAnsi="Arial" w:cs="Arial"/>
          <w:sz w:val="24"/>
          <w:szCs w:val="24"/>
        </w:rPr>
        <w:t>on</w:t>
      </w:r>
      <w:r>
        <w:rPr>
          <w:rFonts w:ascii="Arial" w:hAnsi="Arial" w:cs="Arial"/>
          <w:spacing w:val="-1"/>
          <w:sz w:val="24"/>
          <w:szCs w:val="24"/>
        </w:rPr>
        <w:t xml:space="preserve"> </w:t>
      </w:r>
      <w:r>
        <w:rPr>
          <w:rFonts w:ascii="Arial" w:hAnsi="Arial" w:cs="Arial"/>
          <w:spacing w:val="1"/>
          <w:sz w:val="24"/>
          <w:szCs w:val="24"/>
        </w:rPr>
        <w:t>1.5</w:t>
      </w:r>
      <w:r>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1"/>
          <w:sz w:val="24"/>
          <w:szCs w:val="24"/>
        </w:rPr>
        <w:t>al</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w:t>
      </w:r>
    </w:p>
    <w:p w14:paraId="3A9DFCA3" w14:textId="77777777" w:rsidR="008862C7" w:rsidRDefault="008862C7" w:rsidP="008862C7">
      <w:pPr>
        <w:pStyle w:val="Paragraphedeliste"/>
        <w:widowControl w:val="0"/>
        <w:numPr>
          <w:ilvl w:val="0"/>
          <w:numId w:val="19"/>
        </w:numPr>
        <w:autoSpaceDE w:val="0"/>
        <w:autoSpaceDN w:val="0"/>
        <w:adjustRightInd w:val="0"/>
        <w:spacing w:after="120" w:line="360" w:lineRule="auto"/>
        <w:jc w:val="both"/>
        <w:outlineLvl w:val="7"/>
        <w:rPr>
          <w:rFonts w:ascii="Arial" w:hAnsi="Arial" w:cs="Arial"/>
          <w:b/>
          <w:sz w:val="24"/>
          <w:szCs w:val="24"/>
        </w:rPr>
      </w:pPr>
      <w:bookmarkStart w:id="107" w:name="_Toc395107585"/>
      <w:r>
        <w:rPr>
          <w:rFonts w:ascii="Arial" w:hAnsi="Arial" w:cs="Arial"/>
          <w:b/>
          <w:bCs/>
          <w:sz w:val="24"/>
          <w:szCs w:val="24"/>
        </w:rPr>
        <w:t>Principales contraintes à la compétitivité du coton en AOC</w:t>
      </w:r>
      <w:bookmarkEnd w:id="107"/>
      <w:r>
        <w:rPr>
          <w:rFonts w:ascii="Arial" w:hAnsi="Arial" w:cs="Arial"/>
          <w:b/>
          <w:sz w:val="24"/>
          <w:szCs w:val="24"/>
        </w:rPr>
        <w:t xml:space="preserve"> </w:t>
      </w:r>
    </w:p>
    <w:p w14:paraId="59F1B9BA" w14:textId="77777777" w:rsidR="008862C7" w:rsidRDefault="008862C7" w:rsidP="008862C7">
      <w:pPr>
        <w:widowControl w:val="0"/>
        <w:autoSpaceDE w:val="0"/>
        <w:autoSpaceDN w:val="0"/>
        <w:adjustRightInd w:val="0"/>
        <w:spacing w:line="360" w:lineRule="auto"/>
        <w:jc w:val="both"/>
        <w:rPr>
          <w:rFonts w:ascii="Arial" w:hAnsi="Arial" w:cs="Arial"/>
          <w:sz w:val="24"/>
          <w:szCs w:val="24"/>
        </w:rPr>
      </w:pPr>
      <w:r>
        <w:rPr>
          <w:rFonts w:ascii="Arial" w:hAnsi="Arial" w:cs="Arial"/>
          <w:spacing w:val="-2"/>
          <w:sz w:val="24"/>
          <w:szCs w:val="24"/>
        </w:rPr>
        <w:t>Le</w:t>
      </w:r>
      <w:r>
        <w:rPr>
          <w:rFonts w:ascii="Arial" w:hAnsi="Arial" w:cs="Arial"/>
          <w:sz w:val="24"/>
          <w:szCs w:val="24"/>
        </w:rPr>
        <w:t xml:space="preserve"> fac</w:t>
      </w:r>
      <w:r>
        <w:rPr>
          <w:rFonts w:ascii="Arial" w:hAnsi="Arial" w:cs="Arial"/>
          <w:spacing w:val="-1"/>
          <w:sz w:val="24"/>
          <w:szCs w:val="24"/>
        </w:rPr>
        <w:t>t</w:t>
      </w:r>
      <w:r>
        <w:rPr>
          <w:rFonts w:ascii="Arial" w:hAnsi="Arial" w:cs="Arial"/>
          <w:spacing w:val="1"/>
          <w:sz w:val="24"/>
          <w:szCs w:val="24"/>
        </w:rPr>
        <w:t>e</w:t>
      </w:r>
      <w:r>
        <w:rPr>
          <w:rFonts w:ascii="Arial" w:hAnsi="Arial" w:cs="Arial"/>
          <w:spacing w:val="-1"/>
          <w:sz w:val="24"/>
          <w:szCs w:val="24"/>
        </w:rPr>
        <w:t>u</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p</w:t>
      </w:r>
      <w:r>
        <w:rPr>
          <w:rFonts w:ascii="Arial" w:hAnsi="Arial" w:cs="Arial"/>
          <w:spacing w:val="-2"/>
          <w:sz w:val="24"/>
          <w:szCs w:val="24"/>
        </w:rPr>
        <w:t>ri</w:t>
      </w:r>
      <w:r>
        <w:rPr>
          <w:rFonts w:ascii="Arial" w:hAnsi="Arial" w:cs="Arial"/>
          <w:spacing w:val="-1"/>
          <w:sz w:val="24"/>
          <w:szCs w:val="24"/>
        </w:rPr>
        <w:t>n</w:t>
      </w:r>
      <w:r>
        <w:rPr>
          <w:rFonts w:ascii="Arial" w:hAnsi="Arial" w:cs="Arial"/>
          <w:sz w:val="24"/>
          <w:szCs w:val="24"/>
        </w:rPr>
        <w:t>cipal</w:t>
      </w:r>
      <w:r>
        <w:rPr>
          <w:rFonts w:ascii="Arial" w:hAnsi="Arial" w:cs="Arial"/>
          <w:spacing w:val="2"/>
          <w:sz w:val="24"/>
          <w:szCs w:val="24"/>
        </w:rPr>
        <w:t xml:space="preserve"> </w:t>
      </w:r>
      <w:r>
        <w:rPr>
          <w:rFonts w:ascii="Arial" w:hAnsi="Arial" w:cs="Arial"/>
          <w:sz w:val="24"/>
          <w:szCs w:val="24"/>
        </w:rPr>
        <w:t>qui limite la</w:t>
      </w:r>
      <w:r>
        <w:rPr>
          <w:rFonts w:ascii="Arial" w:hAnsi="Arial" w:cs="Arial"/>
          <w:spacing w:val="-1"/>
          <w:sz w:val="24"/>
          <w:szCs w:val="24"/>
        </w:rPr>
        <w:t xml:space="preserve"> </w:t>
      </w:r>
      <w:r>
        <w:rPr>
          <w:rFonts w:ascii="Arial" w:hAnsi="Arial" w:cs="Arial"/>
          <w:sz w:val="24"/>
          <w:szCs w:val="24"/>
        </w:rPr>
        <w:t>compétitivité</w:t>
      </w:r>
      <w:r>
        <w:rPr>
          <w:rFonts w:ascii="Arial" w:hAnsi="Arial" w:cs="Arial"/>
          <w:spacing w:val="3"/>
          <w:sz w:val="24"/>
          <w:szCs w:val="24"/>
        </w:rPr>
        <w:t xml:space="preserve"> </w:t>
      </w:r>
      <w:r>
        <w:rPr>
          <w:rFonts w:ascii="Arial" w:hAnsi="Arial" w:cs="Arial"/>
          <w:spacing w:val="-3"/>
          <w:sz w:val="24"/>
          <w:szCs w:val="24"/>
        </w:rPr>
        <w:t>d</w:t>
      </w:r>
      <w:r>
        <w:rPr>
          <w:rFonts w:ascii="Arial" w:hAnsi="Arial" w:cs="Arial"/>
          <w:sz w:val="24"/>
          <w:szCs w:val="24"/>
        </w:rPr>
        <w:t>u c</w:t>
      </w:r>
      <w:r>
        <w:rPr>
          <w:rFonts w:ascii="Arial" w:hAnsi="Arial" w:cs="Arial"/>
          <w:spacing w:val="1"/>
          <w:sz w:val="24"/>
          <w:szCs w:val="24"/>
        </w:rPr>
        <w:t>o</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n</w:t>
      </w:r>
      <w:r>
        <w:rPr>
          <w:rFonts w:ascii="Arial" w:hAnsi="Arial" w:cs="Arial"/>
          <w:spacing w:val="-2"/>
          <w:sz w:val="24"/>
          <w:szCs w:val="24"/>
        </w:rPr>
        <w:t xml:space="preserve"> </w:t>
      </w:r>
      <w:r>
        <w:rPr>
          <w:rFonts w:ascii="Arial" w:hAnsi="Arial" w:cs="Arial"/>
          <w:sz w:val="24"/>
          <w:szCs w:val="24"/>
        </w:rPr>
        <w:t>en AOC est l</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bv</w:t>
      </w:r>
      <w:r>
        <w:rPr>
          <w:rFonts w:ascii="Arial" w:hAnsi="Arial" w:cs="Arial"/>
          <w:spacing w:val="-1"/>
          <w:sz w:val="24"/>
          <w:szCs w:val="24"/>
        </w:rPr>
        <w:t>en</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 xml:space="preserve">s accordées par les pays du Nord à leurs producteurs de coton. </w:t>
      </w:r>
      <w:r>
        <w:rPr>
          <w:rFonts w:ascii="Arial" w:hAnsi="Arial" w:cs="Arial"/>
          <w:spacing w:val="1"/>
          <w:sz w:val="24"/>
          <w:szCs w:val="24"/>
        </w:rPr>
        <w:t>Elles</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 xml:space="preserve">es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z w:val="24"/>
          <w:szCs w:val="24"/>
        </w:rPr>
        <w:t>un</w:t>
      </w:r>
      <w:r>
        <w:rPr>
          <w:rFonts w:ascii="Arial" w:hAnsi="Arial" w:cs="Arial"/>
          <w:spacing w:val="7"/>
          <w:sz w:val="24"/>
          <w:szCs w:val="24"/>
        </w:rPr>
        <w:t xml:space="preserve"> </w:t>
      </w:r>
      <w:r>
        <w:rPr>
          <w:rFonts w:ascii="Arial" w:hAnsi="Arial" w:cs="Arial"/>
          <w:sz w:val="24"/>
          <w:szCs w:val="24"/>
        </w:rPr>
        <w:t>Et</w:t>
      </w:r>
      <w:r>
        <w:rPr>
          <w:rFonts w:ascii="Arial" w:hAnsi="Arial" w:cs="Arial"/>
          <w:spacing w:val="1"/>
          <w:sz w:val="24"/>
          <w:szCs w:val="24"/>
        </w:rPr>
        <w:t>a</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1"/>
          <w:sz w:val="24"/>
          <w:szCs w:val="24"/>
        </w:rPr>
        <w:t>cc</w:t>
      </w:r>
      <w:r>
        <w:rPr>
          <w:rFonts w:ascii="Arial" w:hAnsi="Arial" w:cs="Arial"/>
          <w:sz w:val="24"/>
          <w:szCs w:val="24"/>
        </w:rPr>
        <w:t>o</w:t>
      </w:r>
      <w:r>
        <w:rPr>
          <w:rFonts w:ascii="Arial" w:hAnsi="Arial" w:cs="Arial"/>
          <w:spacing w:val="-1"/>
          <w:sz w:val="24"/>
          <w:szCs w:val="24"/>
        </w:rPr>
        <w:t>rd</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à</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te</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s</w:t>
      </w:r>
      <w:r>
        <w:rPr>
          <w:rFonts w:ascii="Arial" w:hAnsi="Arial" w:cs="Arial"/>
          <w:spacing w:val="3"/>
          <w:sz w:val="24"/>
          <w:szCs w:val="24"/>
        </w:rPr>
        <w:t xml:space="preserve"> </w:t>
      </w:r>
      <w:r>
        <w:rPr>
          <w:rFonts w:ascii="Arial" w:hAnsi="Arial" w:cs="Arial"/>
          <w:sz w:val="24"/>
          <w:szCs w:val="24"/>
        </w:rPr>
        <w:t>ou 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1"/>
          <w:sz w:val="24"/>
          <w:szCs w:val="24"/>
        </w:rPr>
        <w:t xml:space="preserve"> L</w:t>
      </w:r>
      <w:r>
        <w:rPr>
          <w:rFonts w:ascii="Arial" w:hAnsi="Arial" w:cs="Arial"/>
          <w:sz w:val="24"/>
          <w:szCs w:val="24"/>
        </w:rPr>
        <w:t>o</w:t>
      </w:r>
      <w:r>
        <w:rPr>
          <w:rFonts w:ascii="Arial" w:hAnsi="Arial" w:cs="Arial"/>
          <w:spacing w:val="-1"/>
          <w:sz w:val="24"/>
          <w:szCs w:val="24"/>
        </w:rPr>
        <w:t>rs</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z w:val="24"/>
          <w:szCs w:val="24"/>
        </w:rPr>
        <w:t>un</w:t>
      </w:r>
      <w:r>
        <w:rPr>
          <w:rFonts w:ascii="Arial" w:hAnsi="Arial" w:cs="Arial"/>
          <w:spacing w:val="6"/>
          <w:sz w:val="24"/>
          <w:szCs w:val="24"/>
        </w:rPr>
        <w:t xml:space="preserve"> </w:t>
      </w:r>
      <w:r>
        <w:rPr>
          <w:rFonts w:ascii="Arial" w:hAnsi="Arial" w:cs="Arial"/>
          <w:spacing w:val="1"/>
          <w:sz w:val="24"/>
          <w:szCs w:val="24"/>
        </w:rPr>
        <w:t>g</w:t>
      </w:r>
      <w:r>
        <w:rPr>
          <w:rFonts w:ascii="Arial" w:hAnsi="Arial" w:cs="Arial"/>
          <w:sz w:val="24"/>
          <w:szCs w:val="24"/>
        </w:rPr>
        <w:t>ou</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r</w:t>
      </w:r>
      <w:r>
        <w:rPr>
          <w:rFonts w:ascii="Arial" w:hAnsi="Arial" w:cs="Arial"/>
          <w:sz w:val="24"/>
          <w:szCs w:val="24"/>
        </w:rPr>
        <w:t xml:space="preserve">nement </w:t>
      </w:r>
      <w:r>
        <w:rPr>
          <w:rFonts w:ascii="Arial" w:hAnsi="Arial" w:cs="Arial"/>
          <w:spacing w:val="1"/>
          <w:sz w:val="24"/>
          <w:szCs w:val="24"/>
        </w:rPr>
        <w:t>a</w:t>
      </w:r>
      <w:r>
        <w:rPr>
          <w:rFonts w:ascii="Arial" w:hAnsi="Arial" w:cs="Arial"/>
          <w:spacing w:val="-1"/>
          <w:sz w:val="24"/>
          <w:szCs w:val="24"/>
        </w:rPr>
        <w:t>cc</w:t>
      </w:r>
      <w:r>
        <w:rPr>
          <w:rFonts w:ascii="Arial" w:hAnsi="Arial" w:cs="Arial"/>
          <w:sz w:val="24"/>
          <w:szCs w:val="24"/>
        </w:rPr>
        <w:t>o</w:t>
      </w:r>
      <w:r>
        <w:rPr>
          <w:rFonts w:ascii="Arial" w:hAnsi="Arial" w:cs="Arial"/>
          <w:spacing w:val="2"/>
          <w:sz w:val="24"/>
          <w:szCs w:val="24"/>
        </w:rPr>
        <w:t>r</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une</w:t>
      </w:r>
      <w:r>
        <w:rPr>
          <w:rFonts w:ascii="Arial" w:hAnsi="Arial" w:cs="Arial"/>
          <w:spacing w:val="9"/>
          <w:sz w:val="24"/>
          <w:szCs w:val="24"/>
        </w:rPr>
        <w:t xml:space="preserve"> </w:t>
      </w:r>
      <w:r>
        <w:rPr>
          <w:rFonts w:ascii="Arial" w:hAnsi="Arial" w:cs="Arial"/>
          <w:spacing w:val="-1"/>
          <w:sz w:val="24"/>
          <w:szCs w:val="24"/>
        </w:rPr>
        <w:t>su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v</w:t>
      </w:r>
      <w:r>
        <w:rPr>
          <w:rFonts w:ascii="Arial" w:hAnsi="Arial" w:cs="Arial"/>
          <w:sz w:val="24"/>
          <w:szCs w:val="24"/>
        </w:rPr>
        <w:t>en</w:t>
      </w:r>
      <w:r>
        <w:rPr>
          <w:rFonts w:ascii="Arial" w:hAnsi="Arial" w:cs="Arial"/>
          <w:spacing w:val="-1"/>
          <w:sz w:val="24"/>
          <w:szCs w:val="24"/>
        </w:rPr>
        <w:t>d</w:t>
      </w:r>
      <w:r>
        <w:rPr>
          <w:rFonts w:ascii="Arial" w:hAnsi="Arial" w:cs="Arial"/>
          <w:sz w:val="24"/>
          <w:szCs w:val="24"/>
        </w:rPr>
        <w:t>eu</w:t>
      </w:r>
      <w:r>
        <w:rPr>
          <w:rFonts w:ascii="Arial" w:hAnsi="Arial" w:cs="Arial"/>
          <w:spacing w:val="-1"/>
          <w:sz w:val="24"/>
          <w:szCs w:val="24"/>
        </w:rPr>
        <w:t>r</w:t>
      </w:r>
      <w:r>
        <w:rPr>
          <w:rFonts w:ascii="Arial" w:hAnsi="Arial" w:cs="Arial"/>
          <w:sz w:val="24"/>
          <w:szCs w:val="24"/>
        </w:rPr>
        <w:t>s 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te</w:t>
      </w:r>
      <w:r>
        <w:rPr>
          <w:rFonts w:ascii="Arial" w:hAnsi="Arial" w:cs="Arial"/>
          <w:spacing w:val="-1"/>
          <w:sz w:val="24"/>
          <w:szCs w:val="24"/>
        </w:rPr>
        <w:t>r</w:t>
      </w:r>
      <w:r>
        <w:rPr>
          <w:rFonts w:ascii="Arial" w:hAnsi="Arial" w:cs="Arial"/>
          <w:sz w:val="24"/>
          <w:szCs w:val="24"/>
        </w:rPr>
        <w:t xml:space="preserve">ont </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j</w:t>
      </w:r>
      <w:r>
        <w:rPr>
          <w:rFonts w:ascii="Arial" w:hAnsi="Arial" w:cs="Arial"/>
          <w:sz w:val="24"/>
          <w:szCs w:val="24"/>
        </w:rPr>
        <w:t>u</w:t>
      </w:r>
      <w:r>
        <w:rPr>
          <w:rFonts w:ascii="Arial" w:hAnsi="Arial" w:cs="Arial"/>
          <w:spacing w:val="-1"/>
          <w:sz w:val="24"/>
          <w:szCs w:val="24"/>
        </w:rPr>
        <w:t>s</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pacing w:val="1"/>
          <w:sz w:val="24"/>
          <w:szCs w:val="24"/>
        </w:rPr>
        <w:t>a</w:t>
      </w:r>
      <w:r>
        <w:rPr>
          <w:rFonts w:ascii="Arial" w:hAnsi="Arial" w:cs="Arial"/>
          <w:sz w:val="24"/>
          <w:szCs w:val="24"/>
        </w:rPr>
        <w:t xml:space="preserve">u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i</w:t>
      </w:r>
      <w:r>
        <w:rPr>
          <w:rFonts w:ascii="Arial" w:hAnsi="Arial" w:cs="Arial"/>
          <w:sz w:val="24"/>
          <w:szCs w:val="24"/>
        </w:rPr>
        <w:t xml:space="preserve">nt où </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 xml:space="preserve">x </w:t>
      </w:r>
      <w:r>
        <w:rPr>
          <w:rFonts w:ascii="Arial" w:hAnsi="Arial" w:cs="Arial"/>
          <w:spacing w:val="1"/>
          <w:sz w:val="24"/>
          <w:szCs w:val="24"/>
        </w:rPr>
        <w:t>i</w:t>
      </w:r>
      <w:r>
        <w:rPr>
          <w:rFonts w:ascii="Arial" w:hAnsi="Arial" w:cs="Arial"/>
          <w:sz w:val="24"/>
          <w:szCs w:val="24"/>
        </w:rPr>
        <w:t>nté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 xml:space="preserve">eur </w:t>
      </w:r>
      <w:r>
        <w:rPr>
          <w:rFonts w:ascii="Arial" w:hAnsi="Arial" w:cs="Arial"/>
          <w:spacing w:val="-2"/>
          <w:sz w:val="24"/>
          <w:szCs w:val="24"/>
        </w:rPr>
        <w:t>e</w:t>
      </w:r>
      <w:r>
        <w:rPr>
          <w:rFonts w:ascii="Arial" w:hAnsi="Arial" w:cs="Arial"/>
          <w:spacing w:val="1"/>
          <w:sz w:val="24"/>
          <w:szCs w:val="24"/>
        </w:rPr>
        <w:t>x</w:t>
      </w:r>
      <w:r>
        <w:rPr>
          <w:rFonts w:ascii="Arial" w:hAnsi="Arial" w:cs="Arial"/>
          <w:spacing w:val="-1"/>
          <w:sz w:val="24"/>
          <w:szCs w:val="24"/>
        </w:rPr>
        <w:t>c</w:t>
      </w:r>
      <w:r>
        <w:rPr>
          <w:rFonts w:ascii="Arial" w:hAnsi="Arial" w:cs="Arial"/>
          <w:sz w:val="24"/>
          <w:szCs w:val="24"/>
        </w:rPr>
        <w:t>è</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 xml:space="preserve">x à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er</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u mont</w:t>
      </w:r>
      <w:r>
        <w:rPr>
          <w:rFonts w:ascii="Arial" w:hAnsi="Arial" w:cs="Arial"/>
          <w:spacing w:val="1"/>
          <w:sz w:val="24"/>
          <w:szCs w:val="24"/>
        </w:rPr>
        <w:t>a</w:t>
      </w:r>
      <w:r>
        <w:rPr>
          <w:rFonts w:ascii="Arial" w:hAnsi="Arial" w:cs="Arial"/>
          <w:sz w:val="24"/>
          <w:szCs w:val="24"/>
        </w:rPr>
        <w:t>nt</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 xml:space="preserve">on. </w:t>
      </w:r>
    </w:p>
    <w:p w14:paraId="296EFD79" w14:textId="77777777" w:rsidR="008862C7" w:rsidRDefault="008862C7" w:rsidP="008862C7">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Se</w:t>
      </w:r>
      <w:r>
        <w:rPr>
          <w:rFonts w:ascii="Arial" w:hAnsi="Arial" w:cs="Arial"/>
          <w:spacing w:val="1"/>
          <w:sz w:val="24"/>
          <w:szCs w:val="24"/>
        </w:rPr>
        <w:t>l</w:t>
      </w:r>
      <w:r>
        <w:rPr>
          <w:rFonts w:ascii="Arial" w:hAnsi="Arial" w:cs="Arial"/>
          <w:sz w:val="24"/>
          <w:szCs w:val="24"/>
        </w:rPr>
        <w:t>on</w:t>
      </w:r>
      <w:r>
        <w:rPr>
          <w:rFonts w:ascii="Arial" w:hAnsi="Arial" w:cs="Arial"/>
          <w:spacing w:val="1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4"/>
          <w:sz w:val="24"/>
          <w:szCs w:val="24"/>
        </w:rPr>
        <w:t xml:space="preserve"> </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2"/>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pacing w:val="-1"/>
          <w:sz w:val="24"/>
          <w:szCs w:val="24"/>
        </w:rPr>
        <w:t>M</w:t>
      </w:r>
      <w:r>
        <w:rPr>
          <w:rFonts w:ascii="Arial" w:hAnsi="Arial" w:cs="Arial"/>
          <w:sz w:val="24"/>
          <w:szCs w:val="24"/>
        </w:rPr>
        <w:t xml:space="preserve">C </w:t>
      </w:r>
      <w:r>
        <w:rPr>
          <w:rFonts w:ascii="Arial" w:hAnsi="Arial" w:cs="Arial"/>
          <w:spacing w:val="-1"/>
          <w:sz w:val="24"/>
          <w:szCs w:val="24"/>
        </w:rPr>
        <w:t>(</w:t>
      </w:r>
      <w:r>
        <w:rPr>
          <w:rFonts w:ascii="Arial" w:hAnsi="Arial" w:cs="Arial"/>
          <w:spacing w:val="1"/>
          <w:sz w:val="24"/>
          <w:szCs w:val="24"/>
        </w:rPr>
        <w:t>20</w:t>
      </w:r>
      <w:r>
        <w:rPr>
          <w:rFonts w:ascii="Arial" w:hAnsi="Arial" w:cs="Arial"/>
          <w:spacing w:val="-1"/>
          <w:sz w:val="24"/>
          <w:szCs w:val="24"/>
        </w:rPr>
        <w:t>0</w:t>
      </w:r>
      <w:r>
        <w:rPr>
          <w:rFonts w:ascii="Arial" w:hAnsi="Arial" w:cs="Arial"/>
          <w:spacing w:val="1"/>
          <w:sz w:val="24"/>
          <w:szCs w:val="24"/>
        </w:rPr>
        <w:t>6</w:t>
      </w:r>
      <w:r>
        <w:rPr>
          <w:rFonts w:ascii="Arial" w:hAnsi="Arial" w:cs="Arial"/>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z w:val="24"/>
          <w:szCs w:val="24"/>
        </w:rPr>
        <w:t>r</w:t>
      </w:r>
      <w:r>
        <w:rPr>
          <w:rFonts w:ascii="Arial" w:hAnsi="Arial" w:cs="Arial"/>
          <w:spacing w:val="14"/>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4"/>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1"/>
          <w:sz w:val="24"/>
          <w:szCs w:val="24"/>
        </w:rPr>
        <w:t>rc</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mo</w:t>
      </w:r>
      <w:r>
        <w:rPr>
          <w:rFonts w:ascii="Arial" w:hAnsi="Arial" w:cs="Arial"/>
          <w:spacing w:val="2"/>
          <w:sz w:val="24"/>
          <w:szCs w:val="24"/>
        </w:rPr>
        <w:t>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 « </w:t>
      </w:r>
      <w:r>
        <w:rPr>
          <w:rFonts w:ascii="Arial" w:hAnsi="Arial" w:cs="Arial"/>
          <w:position w:val="-1"/>
          <w:sz w:val="24"/>
          <w:szCs w:val="24"/>
        </w:rPr>
        <w:t>une</w:t>
      </w:r>
      <w:r>
        <w:rPr>
          <w:rFonts w:ascii="Arial" w:hAnsi="Arial" w:cs="Arial"/>
          <w:spacing w:val="12"/>
          <w:position w:val="-1"/>
          <w:sz w:val="24"/>
          <w:szCs w:val="24"/>
        </w:rPr>
        <w:t xml:space="preserve"> </w:t>
      </w:r>
      <w:r>
        <w:rPr>
          <w:rFonts w:ascii="Arial" w:hAnsi="Arial" w:cs="Arial"/>
          <w:spacing w:val="-1"/>
          <w:position w:val="-1"/>
          <w:sz w:val="24"/>
          <w:szCs w:val="24"/>
        </w:rPr>
        <w:t>s</w:t>
      </w:r>
      <w:r>
        <w:rPr>
          <w:rFonts w:ascii="Arial" w:hAnsi="Arial" w:cs="Arial"/>
          <w:position w:val="-1"/>
          <w:sz w:val="24"/>
          <w:szCs w:val="24"/>
        </w:rPr>
        <w:t>u</w:t>
      </w:r>
      <w:r>
        <w:rPr>
          <w:rFonts w:ascii="Arial" w:hAnsi="Arial" w:cs="Arial"/>
          <w:spacing w:val="1"/>
          <w:position w:val="-1"/>
          <w:sz w:val="24"/>
          <w:szCs w:val="24"/>
        </w:rPr>
        <w:t>bv</w:t>
      </w:r>
      <w:r>
        <w:rPr>
          <w:rFonts w:ascii="Arial" w:hAnsi="Arial" w:cs="Arial"/>
          <w:position w:val="-1"/>
          <w:sz w:val="24"/>
          <w:szCs w:val="24"/>
        </w:rPr>
        <w:t>ent</w:t>
      </w:r>
      <w:r>
        <w:rPr>
          <w:rFonts w:ascii="Arial" w:hAnsi="Arial" w:cs="Arial"/>
          <w:spacing w:val="1"/>
          <w:position w:val="-1"/>
          <w:sz w:val="24"/>
          <w:szCs w:val="24"/>
        </w:rPr>
        <w:t>i</w:t>
      </w:r>
      <w:r>
        <w:rPr>
          <w:rFonts w:ascii="Arial" w:hAnsi="Arial" w:cs="Arial"/>
          <w:position w:val="-1"/>
          <w:sz w:val="24"/>
          <w:szCs w:val="24"/>
        </w:rPr>
        <w:t>on</w:t>
      </w:r>
      <w:r>
        <w:rPr>
          <w:rFonts w:ascii="Arial" w:hAnsi="Arial" w:cs="Arial"/>
          <w:spacing w:val="7"/>
          <w:position w:val="-1"/>
          <w:sz w:val="24"/>
          <w:szCs w:val="24"/>
        </w:rPr>
        <w:t xml:space="preserve"> </w:t>
      </w:r>
      <w:r>
        <w:rPr>
          <w:rFonts w:ascii="Arial" w:hAnsi="Arial" w:cs="Arial"/>
          <w:position w:val="-1"/>
          <w:sz w:val="24"/>
          <w:szCs w:val="24"/>
        </w:rPr>
        <w:t>e</w:t>
      </w:r>
      <w:r>
        <w:rPr>
          <w:rFonts w:ascii="Arial" w:hAnsi="Arial" w:cs="Arial"/>
          <w:spacing w:val="1"/>
          <w:position w:val="-1"/>
          <w:sz w:val="24"/>
          <w:szCs w:val="24"/>
        </w:rPr>
        <w:t>xi</w:t>
      </w:r>
      <w:r>
        <w:rPr>
          <w:rFonts w:ascii="Arial" w:hAnsi="Arial" w:cs="Arial"/>
          <w:spacing w:val="-1"/>
          <w:position w:val="-1"/>
          <w:sz w:val="24"/>
          <w:szCs w:val="24"/>
        </w:rPr>
        <w:t>s</w:t>
      </w:r>
      <w:r>
        <w:rPr>
          <w:rFonts w:ascii="Arial" w:hAnsi="Arial" w:cs="Arial"/>
          <w:position w:val="-1"/>
          <w:sz w:val="24"/>
          <w:szCs w:val="24"/>
        </w:rPr>
        <w:t>te</w:t>
      </w:r>
      <w:r>
        <w:rPr>
          <w:rFonts w:ascii="Arial" w:hAnsi="Arial" w:cs="Arial"/>
          <w:spacing w:val="5"/>
          <w:position w:val="-1"/>
          <w:sz w:val="24"/>
          <w:szCs w:val="24"/>
        </w:rPr>
        <w:t xml:space="preserve"> </w:t>
      </w:r>
      <w:r>
        <w:rPr>
          <w:rFonts w:ascii="Arial" w:hAnsi="Arial" w:cs="Arial"/>
          <w:spacing w:val="-1"/>
          <w:position w:val="-1"/>
          <w:sz w:val="24"/>
          <w:szCs w:val="24"/>
        </w:rPr>
        <w:t>s’</w:t>
      </w:r>
      <w:r>
        <w:rPr>
          <w:rFonts w:ascii="Arial" w:hAnsi="Arial" w:cs="Arial"/>
          <w:spacing w:val="1"/>
          <w:position w:val="-1"/>
          <w:sz w:val="24"/>
          <w:szCs w:val="24"/>
        </w:rPr>
        <w:t>i</w:t>
      </w:r>
      <w:r>
        <w:rPr>
          <w:rFonts w:ascii="Arial" w:hAnsi="Arial" w:cs="Arial"/>
          <w:position w:val="-1"/>
          <w:sz w:val="24"/>
          <w:szCs w:val="24"/>
        </w:rPr>
        <w:t>l</w:t>
      </w:r>
      <w:r>
        <w:rPr>
          <w:rFonts w:ascii="Arial" w:hAnsi="Arial" w:cs="Arial"/>
          <w:spacing w:val="13"/>
          <w:position w:val="-1"/>
          <w:sz w:val="24"/>
          <w:szCs w:val="24"/>
        </w:rPr>
        <w:t xml:space="preserve"> </w:t>
      </w:r>
      <w:r>
        <w:rPr>
          <w:rFonts w:ascii="Arial" w:hAnsi="Arial" w:cs="Arial"/>
          <w:position w:val="-1"/>
          <w:sz w:val="24"/>
          <w:szCs w:val="24"/>
        </w:rPr>
        <w:t>y</w:t>
      </w:r>
      <w:r>
        <w:rPr>
          <w:rFonts w:ascii="Arial" w:hAnsi="Arial" w:cs="Arial"/>
          <w:spacing w:val="13"/>
          <w:position w:val="-1"/>
          <w:sz w:val="24"/>
          <w:szCs w:val="24"/>
        </w:rPr>
        <w:t xml:space="preserve"> </w:t>
      </w:r>
      <w:r>
        <w:rPr>
          <w:rFonts w:ascii="Arial" w:hAnsi="Arial" w:cs="Arial"/>
          <w:position w:val="-1"/>
          <w:sz w:val="24"/>
          <w:szCs w:val="24"/>
        </w:rPr>
        <w:t>a</w:t>
      </w:r>
      <w:r>
        <w:rPr>
          <w:rFonts w:ascii="Arial" w:hAnsi="Arial" w:cs="Arial"/>
          <w:spacing w:val="13"/>
          <w:position w:val="-1"/>
          <w:sz w:val="24"/>
          <w:szCs w:val="24"/>
        </w:rPr>
        <w:t xml:space="preserve"> </w:t>
      </w:r>
      <w:r>
        <w:rPr>
          <w:rFonts w:ascii="Arial" w:hAnsi="Arial" w:cs="Arial"/>
          <w:position w:val="-1"/>
          <w:sz w:val="24"/>
          <w:szCs w:val="24"/>
        </w:rPr>
        <w:t>une</w:t>
      </w:r>
      <w:r>
        <w:rPr>
          <w:rFonts w:ascii="Arial" w:hAnsi="Arial" w:cs="Arial"/>
          <w:spacing w:val="12"/>
          <w:position w:val="-1"/>
          <w:sz w:val="24"/>
          <w:szCs w:val="24"/>
        </w:rPr>
        <w:t xml:space="preserve"> </w:t>
      </w:r>
      <w:r>
        <w:rPr>
          <w:rFonts w:ascii="Arial" w:hAnsi="Arial" w:cs="Arial"/>
          <w:spacing w:val="-1"/>
          <w:position w:val="-1"/>
          <w:sz w:val="24"/>
          <w:szCs w:val="24"/>
        </w:rPr>
        <w:t>c</w:t>
      </w:r>
      <w:r>
        <w:rPr>
          <w:rFonts w:ascii="Arial" w:hAnsi="Arial" w:cs="Arial"/>
          <w:position w:val="-1"/>
          <w:sz w:val="24"/>
          <w:szCs w:val="24"/>
        </w:rPr>
        <w:t>ont</w:t>
      </w:r>
      <w:r>
        <w:rPr>
          <w:rFonts w:ascii="Arial" w:hAnsi="Arial" w:cs="Arial"/>
          <w:spacing w:val="-1"/>
          <w:position w:val="-1"/>
          <w:sz w:val="24"/>
          <w:szCs w:val="24"/>
        </w:rPr>
        <w:t>r</w:t>
      </w:r>
      <w:r>
        <w:rPr>
          <w:rFonts w:ascii="Arial" w:hAnsi="Arial" w:cs="Arial"/>
          <w:spacing w:val="1"/>
          <w:position w:val="-1"/>
          <w:sz w:val="24"/>
          <w:szCs w:val="24"/>
        </w:rPr>
        <w:t>ib</w:t>
      </w:r>
      <w:r>
        <w:rPr>
          <w:rFonts w:ascii="Arial" w:hAnsi="Arial" w:cs="Arial"/>
          <w:position w:val="-1"/>
          <w:sz w:val="24"/>
          <w:szCs w:val="24"/>
        </w:rPr>
        <w:t>ut</w:t>
      </w:r>
      <w:r>
        <w:rPr>
          <w:rFonts w:ascii="Arial" w:hAnsi="Arial" w:cs="Arial"/>
          <w:spacing w:val="1"/>
          <w:position w:val="-1"/>
          <w:sz w:val="24"/>
          <w:szCs w:val="24"/>
        </w:rPr>
        <w:t>i</w:t>
      </w:r>
      <w:r>
        <w:rPr>
          <w:rFonts w:ascii="Arial" w:hAnsi="Arial" w:cs="Arial"/>
          <w:position w:val="-1"/>
          <w:sz w:val="24"/>
          <w:szCs w:val="24"/>
        </w:rPr>
        <w:t>on</w:t>
      </w:r>
      <w:r>
        <w:rPr>
          <w:rFonts w:ascii="Arial" w:hAnsi="Arial" w:cs="Arial"/>
          <w:spacing w:val="7"/>
          <w:position w:val="-1"/>
          <w:sz w:val="24"/>
          <w:szCs w:val="24"/>
        </w:rPr>
        <w:t xml:space="preserve"> </w:t>
      </w:r>
      <w:r>
        <w:rPr>
          <w:rFonts w:ascii="Arial" w:hAnsi="Arial" w:cs="Arial"/>
          <w:spacing w:val="-1"/>
          <w:position w:val="-1"/>
          <w:sz w:val="24"/>
          <w:szCs w:val="24"/>
        </w:rPr>
        <w:t>f</w:t>
      </w:r>
      <w:r>
        <w:rPr>
          <w:rFonts w:ascii="Arial" w:hAnsi="Arial" w:cs="Arial"/>
          <w:spacing w:val="1"/>
          <w:position w:val="-1"/>
          <w:sz w:val="24"/>
          <w:szCs w:val="24"/>
        </w:rPr>
        <w:t>i</w:t>
      </w:r>
      <w:r>
        <w:rPr>
          <w:rFonts w:ascii="Arial" w:hAnsi="Arial" w:cs="Arial"/>
          <w:spacing w:val="-1"/>
          <w:position w:val="-1"/>
          <w:sz w:val="24"/>
          <w:szCs w:val="24"/>
        </w:rPr>
        <w:t>n</w:t>
      </w:r>
      <w:r>
        <w:rPr>
          <w:rFonts w:ascii="Arial" w:hAnsi="Arial" w:cs="Arial"/>
          <w:spacing w:val="1"/>
          <w:position w:val="-1"/>
          <w:sz w:val="24"/>
          <w:szCs w:val="24"/>
        </w:rPr>
        <w:t>a</w:t>
      </w:r>
      <w:r>
        <w:rPr>
          <w:rFonts w:ascii="Arial" w:hAnsi="Arial" w:cs="Arial"/>
          <w:position w:val="-1"/>
          <w:sz w:val="24"/>
          <w:szCs w:val="24"/>
        </w:rPr>
        <w:t>n</w:t>
      </w:r>
      <w:r>
        <w:rPr>
          <w:rFonts w:ascii="Arial" w:hAnsi="Arial" w:cs="Arial"/>
          <w:spacing w:val="-1"/>
          <w:position w:val="-1"/>
          <w:sz w:val="24"/>
          <w:szCs w:val="24"/>
        </w:rPr>
        <w:t>c</w:t>
      </w:r>
      <w:r>
        <w:rPr>
          <w:rFonts w:ascii="Arial" w:hAnsi="Arial" w:cs="Arial"/>
          <w:spacing w:val="1"/>
          <w:position w:val="-1"/>
          <w:sz w:val="24"/>
          <w:szCs w:val="24"/>
        </w:rPr>
        <w:t>i</w:t>
      </w:r>
      <w:r>
        <w:rPr>
          <w:rFonts w:ascii="Arial" w:hAnsi="Arial" w:cs="Arial"/>
          <w:position w:val="-1"/>
          <w:sz w:val="24"/>
          <w:szCs w:val="24"/>
        </w:rPr>
        <w:t>è</w:t>
      </w:r>
      <w:r>
        <w:rPr>
          <w:rFonts w:ascii="Arial" w:hAnsi="Arial" w:cs="Arial"/>
          <w:spacing w:val="-1"/>
          <w:position w:val="-1"/>
          <w:sz w:val="24"/>
          <w:szCs w:val="24"/>
        </w:rPr>
        <w:t>r</w:t>
      </w:r>
      <w:r>
        <w:rPr>
          <w:rFonts w:ascii="Arial" w:hAnsi="Arial" w:cs="Arial"/>
          <w:position w:val="-1"/>
          <w:sz w:val="24"/>
          <w:szCs w:val="24"/>
        </w:rPr>
        <w:t>e</w:t>
      </w:r>
      <w:r>
        <w:rPr>
          <w:rFonts w:ascii="Arial" w:hAnsi="Arial" w:cs="Arial"/>
          <w:spacing w:val="8"/>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es</w:t>
      </w:r>
      <w:r>
        <w:rPr>
          <w:rFonts w:ascii="Arial" w:hAnsi="Arial" w:cs="Arial"/>
          <w:spacing w:val="9"/>
          <w:position w:val="-1"/>
          <w:sz w:val="24"/>
          <w:szCs w:val="24"/>
        </w:rPr>
        <w:t xml:space="preserve"> </w:t>
      </w:r>
      <w:r>
        <w:rPr>
          <w:rFonts w:ascii="Arial" w:hAnsi="Arial" w:cs="Arial"/>
          <w:spacing w:val="-1"/>
          <w:position w:val="-1"/>
          <w:sz w:val="24"/>
          <w:szCs w:val="24"/>
        </w:rPr>
        <w:t>p</w:t>
      </w:r>
      <w:r>
        <w:rPr>
          <w:rFonts w:ascii="Arial" w:hAnsi="Arial" w:cs="Arial"/>
          <w:spacing w:val="2"/>
          <w:position w:val="-1"/>
          <w:sz w:val="24"/>
          <w:szCs w:val="24"/>
        </w:rPr>
        <w:t>o</w:t>
      </w:r>
      <w:r>
        <w:rPr>
          <w:rFonts w:ascii="Arial" w:hAnsi="Arial" w:cs="Arial"/>
          <w:position w:val="-1"/>
          <w:sz w:val="24"/>
          <w:szCs w:val="24"/>
        </w:rPr>
        <w:t>u</w:t>
      </w:r>
      <w:r>
        <w:rPr>
          <w:rFonts w:ascii="Arial" w:hAnsi="Arial" w:cs="Arial"/>
          <w:spacing w:val="1"/>
          <w:position w:val="-1"/>
          <w:sz w:val="24"/>
          <w:szCs w:val="24"/>
        </w:rPr>
        <w:t>v</w:t>
      </w:r>
      <w:r>
        <w:rPr>
          <w:rFonts w:ascii="Arial" w:hAnsi="Arial" w:cs="Arial"/>
          <w:position w:val="-1"/>
          <w:sz w:val="24"/>
          <w:szCs w:val="24"/>
        </w:rPr>
        <w:t>o</w:t>
      </w:r>
      <w:r>
        <w:rPr>
          <w:rFonts w:ascii="Arial" w:hAnsi="Arial" w:cs="Arial"/>
          <w:spacing w:val="1"/>
          <w:position w:val="-1"/>
          <w:sz w:val="24"/>
          <w:szCs w:val="24"/>
        </w:rPr>
        <w:t>i</w:t>
      </w:r>
      <w:r>
        <w:rPr>
          <w:rFonts w:ascii="Arial" w:hAnsi="Arial" w:cs="Arial"/>
          <w:spacing w:val="-1"/>
          <w:position w:val="-1"/>
          <w:sz w:val="24"/>
          <w:szCs w:val="24"/>
        </w:rPr>
        <w:t>r</w:t>
      </w:r>
      <w:r>
        <w:rPr>
          <w:rFonts w:ascii="Arial" w:hAnsi="Arial" w:cs="Arial"/>
          <w:position w:val="-1"/>
          <w:sz w:val="24"/>
          <w:szCs w:val="24"/>
        </w:rPr>
        <w:t>s</w:t>
      </w:r>
      <w:r>
        <w:rPr>
          <w:rFonts w:ascii="Arial" w:hAnsi="Arial" w:cs="Arial"/>
          <w:spacing w:val="7"/>
          <w:position w:val="-1"/>
          <w:sz w:val="24"/>
          <w:szCs w:val="24"/>
        </w:rPr>
        <w:t xml:space="preserve"> </w:t>
      </w:r>
      <w:r>
        <w:rPr>
          <w:rFonts w:ascii="Arial" w:hAnsi="Arial" w:cs="Arial"/>
          <w:spacing w:val="-1"/>
          <w:position w:val="-1"/>
          <w:sz w:val="24"/>
          <w:szCs w:val="24"/>
        </w:rPr>
        <w:t>p</w:t>
      </w:r>
      <w:r>
        <w:rPr>
          <w:rFonts w:ascii="Arial" w:hAnsi="Arial" w:cs="Arial"/>
          <w:position w:val="-1"/>
          <w:sz w:val="24"/>
          <w:szCs w:val="24"/>
        </w:rPr>
        <w:t>u</w:t>
      </w:r>
      <w:r>
        <w:rPr>
          <w:rFonts w:ascii="Arial" w:hAnsi="Arial" w:cs="Arial"/>
          <w:spacing w:val="1"/>
          <w:position w:val="-1"/>
          <w:sz w:val="24"/>
          <w:szCs w:val="24"/>
        </w:rPr>
        <w:t>bli</w:t>
      </w:r>
      <w:r>
        <w:rPr>
          <w:rFonts w:ascii="Arial" w:hAnsi="Arial" w:cs="Arial"/>
          <w:spacing w:val="-1"/>
          <w:position w:val="-1"/>
          <w:sz w:val="24"/>
          <w:szCs w:val="24"/>
        </w:rPr>
        <w:t>c</w:t>
      </w:r>
      <w:r>
        <w:rPr>
          <w:rFonts w:ascii="Arial" w:hAnsi="Arial" w:cs="Arial"/>
          <w:position w:val="-1"/>
          <w:sz w:val="24"/>
          <w:szCs w:val="24"/>
        </w:rPr>
        <w:t>s</w:t>
      </w:r>
      <w:r>
        <w:rPr>
          <w:rFonts w:ascii="Arial" w:hAnsi="Arial" w:cs="Arial"/>
          <w:spacing w:val="9"/>
          <w:position w:val="-1"/>
          <w:sz w:val="24"/>
          <w:szCs w:val="24"/>
        </w:rPr>
        <w:t xml:space="preserve"> </w:t>
      </w:r>
      <w:r>
        <w:rPr>
          <w:rFonts w:ascii="Arial" w:hAnsi="Arial" w:cs="Arial"/>
          <w:position w:val="-1"/>
          <w:sz w:val="24"/>
          <w:szCs w:val="24"/>
        </w:rPr>
        <w:t xml:space="preserve">ou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tout</w:t>
      </w:r>
      <w:r>
        <w:rPr>
          <w:rFonts w:ascii="Arial" w:hAnsi="Arial" w:cs="Arial"/>
          <w:spacing w:val="-2"/>
          <w:sz w:val="24"/>
          <w:szCs w:val="24"/>
        </w:rPr>
        <w:t xml:space="preserve"> </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ga</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me</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bli</w:t>
      </w:r>
      <w:r>
        <w:rPr>
          <w:rFonts w:ascii="Arial" w:hAnsi="Arial" w:cs="Arial"/>
          <w:sz w:val="24"/>
          <w:szCs w:val="24"/>
        </w:rPr>
        <w:t>c ».</w:t>
      </w:r>
      <w:r>
        <w:rPr>
          <w:rFonts w:ascii="Arial" w:hAnsi="Arial" w:cs="Arial"/>
          <w:spacing w:val="1"/>
          <w:sz w:val="24"/>
          <w:szCs w:val="24"/>
        </w:rPr>
        <w:t xml:space="preserve"> </w:t>
      </w:r>
      <w:r>
        <w:rPr>
          <w:rFonts w:ascii="Arial" w:hAnsi="Arial" w:cs="Arial"/>
          <w:sz w:val="24"/>
          <w:szCs w:val="24"/>
        </w:rPr>
        <w:t>En</w:t>
      </w:r>
      <w:r>
        <w:rPr>
          <w:rFonts w:ascii="Arial" w:hAnsi="Arial" w:cs="Arial"/>
          <w:spacing w:val="-1"/>
          <w:sz w:val="24"/>
          <w:szCs w:val="24"/>
        </w:rPr>
        <w:t xml:space="preserve"> d’</w:t>
      </w:r>
      <w:r>
        <w:rPr>
          <w:rFonts w:ascii="Arial" w:hAnsi="Arial" w:cs="Arial"/>
          <w:spacing w:val="1"/>
          <w:sz w:val="24"/>
          <w:szCs w:val="24"/>
        </w:rPr>
        <w:t>a</w:t>
      </w:r>
      <w:r>
        <w:rPr>
          <w:rFonts w:ascii="Arial" w:hAnsi="Arial" w:cs="Arial"/>
          <w:sz w:val="24"/>
          <w:szCs w:val="24"/>
        </w:rPr>
        <w:t>ut</w:t>
      </w:r>
      <w:r>
        <w:rPr>
          <w:rFonts w:ascii="Arial" w:hAnsi="Arial" w:cs="Arial"/>
          <w:spacing w:val="-1"/>
          <w:sz w:val="24"/>
          <w:szCs w:val="24"/>
        </w:rPr>
        <w:t>r</w:t>
      </w:r>
      <w:r>
        <w:rPr>
          <w:rFonts w:ascii="Arial" w:hAnsi="Arial" w:cs="Arial"/>
          <w:sz w:val="24"/>
          <w:szCs w:val="24"/>
        </w:rPr>
        <w:t>es</w:t>
      </w:r>
      <w:r>
        <w:rPr>
          <w:rFonts w:ascii="Arial" w:hAnsi="Arial" w:cs="Arial"/>
          <w:spacing w:val="-5"/>
          <w:sz w:val="24"/>
          <w:szCs w:val="24"/>
        </w:rPr>
        <w:t xml:space="preserve"> </w:t>
      </w:r>
      <w:r>
        <w:rPr>
          <w:rFonts w:ascii="Arial" w:hAnsi="Arial" w:cs="Arial"/>
          <w:sz w:val="24"/>
          <w:szCs w:val="24"/>
        </w:rPr>
        <w:t>te</w:t>
      </w:r>
      <w:r>
        <w:rPr>
          <w:rFonts w:ascii="Arial" w:hAnsi="Arial" w:cs="Arial"/>
          <w:spacing w:val="2"/>
          <w:sz w:val="24"/>
          <w:szCs w:val="24"/>
        </w:rPr>
        <w:t>r</w:t>
      </w:r>
      <w:r>
        <w:rPr>
          <w:rFonts w:ascii="Arial" w:hAnsi="Arial" w:cs="Arial"/>
          <w:sz w:val="24"/>
          <w:szCs w:val="24"/>
        </w:rPr>
        <w:t>me</w:t>
      </w:r>
      <w:r>
        <w:rPr>
          <w:rFonts w:ascii="Arial" w:hAnsi="Arial" w:cs="Arial"/>
          <w:spacing w:val="-1"/>
          <w:sz w:val="24"/>
          <w:szCs w:val="24"/>
        </w:rPr>
        <w:t>s</w:t>
      </w:r>
      <w:r>
        <w:rPr>
          <w:rFonts w:ascii="Arial" w:hAnsi="Arial" w:cs="Arial"/>
          <w:sz w:val="24"/>
          <w:szCs w:val="24"/>
        </w:rPr>
        <w:t>,</w:t>
      </w:r>
      <w:r>
        <w:rPr>
          <w:rFonts w:ascii="Arial" w:hAnsi="Arial" w:cs="Arial"/>
          <w:spacing w:val="-4"/>
          <w:sz w:val="24"/>
          <w:szCs w:val="24"/>
        </w:rPr>
        <w:t xml:space="preserve"> </w:t>
      </w:r>
      <w:r>
        <w:rPr>
          <w:rFonts w:ascii="Arial" w:hAnsi="Arial" w:cs="Arial"/>
          <w:sz w:val="24"/>
          <w:szCs w:val="24"/>
        </w:rPr>
        <w:t>on</w:t>
      </w:r>
      <w:r>
        <w:rPr>
          <w:rFonts w:ascii="Arial" w:hAnsi="Arial" w:cs="Arial"/>
          <w:spacing w:val="-1"/>
          <w:sz w:val="24"/>
          <w:szCs w:val="24"/>
        </w:rPr>
        <w:t xml:space="preserve"> 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l</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rs</w:t>
      </w:r>
      <w:r>
        <w:rPr>
          <w:rFonts w:ascii="Arial" w:hAnsi="Arial" w:cs="Arial"/>
          <w:spacing w:val="1"/>
          <w:sz w:val="24"/>
          <w:szCs w:val="24"/>
        </w:rPr>
        <w:t>q</w:t>
      </w:r>
      <w:r>
        <w:rPr>
          <w:rFonts w:ascii="Arial" w:hAnsi="Arial" w:cs="Arial"/>
          <w:sz w:val="24"/>
          <w:szCs w:val="24"/>
        </w:rPr>
        <w:t>ue</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es é</w:t>
      </w:r>
      <w:r>
        <w:rPr>
          <w:rFonts w:ascii="Arial" w:hAnsi="Arial" w:cs="Arial"/>
          <w:spacing w:val="1"/>
          <w:sz w:val="24"/>
          <w:szCs w:val="24"/>
        </w:rPr>
        <w:t>l</w:t>
      </w:r>
      <w:r>
        <w:rPr>
          <w:rFonts w:ascii="Arial" w:hAnsi="Arial" w:cs="Arial"/>
          <w:sz w:val="24"/>
          <w:szCs w:val="24"/>
        </w:rPr>
        <w:t>éments</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iva</w:t>
      </w:r>
      <w:r>
        <w:rPr>
          <w:rFonts w:ascii="Arial" w:hAnsi="Arial" w:cs="Arial"/>
          <w:sz w:val="24"/>
          <w:szCs w:val="24"/>
        </w:rPr>
        <w:t>nts</w:t>
      </w:r>
      <w:r>
        <w:rPr>
          <w:rFonts w:ascii="Arial" w:hAnsi="Arial" w:cs="Arial"/>
          <w:spacing w:val="-4"/>
          <w:sz w:val="24"/>
          <w:szCs w:val="24"/>
        </w:rPr>
        <w:t xml:space="preserve"> </w:t>
      </w:r>
      <w:r>
        <w:rPr>
          <w:rFonts w:ascii="Arial" w:hAnsi="Arial" w:cs="Arial"/>
          <w:spacing w:val="-1"/>
          <w:sz w:val="24"/>
          <w:szCs w:val="24"/>
        </w:rPr>
        <w:t>s</w:t>
      </w:r>
      <w:r>
        <w:rPr>
          <w:rFonts w:ascii="Arial" w:hAnsi="Arial" w:cs="Arial"/>
          <w:spacing w:val="-2"/>
          <w:sz w:val="24"/>
          <w:szCs w:val="24"/>
        </w:rPr>
        <w:t>o</w:t>
      </w:r>
      <w:r>
        <w:rPr>
          <w:rFonts w:ascii="Arial" w:hAnsi="Arial" w:cs="Arial"/>
          <w:sz w:val="24"/>
          <w:szCs w:val="24"/>
        </w:rPr>
        <w:t>nt</w:t>
      </w:r>
      <w:r>
        <w:rPr>
          <w:rFonts w:ascii="Arial" w:hAnsi="Arial" w:cs="Arial"/>
          <w:spacing w:val="-1"/>
          <w:sz w:val="24"/>
          <w:szCs w:val="24"/>
        </w:rPr>
        <w:t xml:space="preserve"> r</w:t>
      </w:r>
      <w:r>
        <w:rPr>
          <w:rFonts w:ascii="Arial" w:hAnsi="Arial" w:cs="Arial"/>
          <w:sz w:val="24"/>
          <w:szCs w:val="24"/>
        </w:rPr>
        <w:t>éun</w:t>
      </w:r>
      <w:r>
        <w:rPr>
          <w:rFonts w:ascii="Arial" w:hAnsi="Arial" w:cs="Arial"/>
          <w:spacing w:val="1"/>
          <w:sz w:val="24"/>
          <w:szCs w:val="24"/>
        </w:rPr>
        <w:t>i</w:t>
      </w:r>
      <w:r>
        <w:rPr>
          <w:rFonts w:ascii="Arial" w:hAnsi="Arial" w:cs="Arial"/>
          <w:sz w:val="24"/>
          <w:szCs w:val="24"/>
        </w:rPr>
        <w:t xml:space="preserve">s : </w:t>
      </w:r>
      <w:r>
        <w:rPr>
          <w:rFonts w:ascii="Arial" w:hAnsi="Arial" w:cs="Arial"/>
          <w:position w:val="-1"/>
          <w:sz w:val="24"/>
          <w:szCs w:val="24"/>
        </w:rPr>
        <w:t xml:space="preserve">une </w:t>
      </w:r>
      <w:r>
        <w:rPr>
          <w:rFonts w:ascii="Arial" w:hAnsi="Arial" w:cs="Arial"/>
          <w:spacing w:val="-1"/>
          <w:position w:val="-1"/>
          <w:sz w:val="24"/>
          <w:szCs w:val="24"/>
        </w:rPr>
        <w:t>c</w:t>
      </w:r>
      <w:r>
        <w:rPr>
          <w:rFonts w:ascii="Arial" w:hAnsi="Arial" w:cs="Arial"/>
          <w:position w:val="-1"/>
          <w:sz w:val="24"/>
          <w:szCs w:val="24"/>
        </w:rPr>
        <w:t>ont</w:t>
      </w:r>
      <w:r>
        <w:rPr>
          <w:rFonts w:ascii="Arial" w:hAnsi="Arial" w:cs="Arial"/>
          <w:spacing w:val="-1"/>
          <w:position w:val="-1"/>
          <w:sz w:val="24"/>
          <w:szCs w:val="24"/>
        </w:rPr>
        <w:t>r</w:t>
      </w:r>
      <w:r>
        <w:rPr>
          <w:rFonts w:ascii="Arial" w:hAnsi="Arial" w:cs="Arial"/>
          <w:spacing w:val="1"/>
          <w:position w:val="-1"/>
          <w:sz w:val="24"/>
          <w:szCs w:val="24"/>
        </w:rPr>
        <w:t>ib</w:t>
      </w:r>
      <w:r>
        <w:rPr>
          <w:rFonts w:ascii="Arial" w:hAnsi="Arial" w:cs="Arial"/>
          <w:position w:val="-1"/>
          <w:sz w:val="24"/>
          <w:szCs w:val="24"/>
        </w:rPr>
        <w:t>ut</w:t>
      </w:r>
      <w:r>
        <w:rPr>
          <w:rFonts w:ascii="Arial" w:hAnsi="Arial" w:cs="Arial"/>
          <w:spacing w:val="1"/>
          <w:position w:val="-1"/>
          <w:sz w:val="24"/>
          <w:szCs w:val="24"/>
        </w:rPr>
        <w:t>i</w:t>
      </w:r>
      <w:r>
        <w:rPr>
          <w:rFonts w:ascii="Arial" w:hAnsi="Arial" w:cs="Arial"/>
          <w:position w:val="-1"/>
          <w:sz w:val="24"/>
          <w:szCs w:val="24"/>
        </w:rPr>
        <w:t>on</w:t>
      </w:r>
      <w:r>
        <w:rPr>
          <w:rFonts w:ascii="Arial" w:hAnsi="Arial" w:cs="Arial"/>
          <w:spacing w:val="-5"/>
          <w:position w:val="-1"/>
          <w:sz w:val="24"/>
          <w:szCs w:val="24"/>
        </w:rPr>
        <w:t xml:space="preserve"> fin</w:t>
      </w:r>
      <w:r>
        <w:rPr>
          <w:rFonts w:ascii="Arial" w:hAnsi="Arial" w:cs="Arial"/>
          <w:spacing w:val="-1"/>
          <w:position w:val="-1"/>
          <w:sz w:val="24"/>
          <w:szCs w:val="24"/>
        </w:rPr>
        <w:t>a</w:t>
      </w:r>
      <w:r>
        <w:rPr>
          <w:rFonts w:ascii="Arial" w:hAnsi="Arial" w:cs="Arial"/>
          <w:position w:val="-1"/>
          <w:sz w:val="24"/>
          <w:szCs w:val="24"/>
        </w:rPr>
        <w:t>n</w:t>
      </w:r>
      <w:r>
        <w:rPr>
          <w:rFonts w:ascii="Arial" w:hAnsi="Arial" w:cs="Arial"/>
          <w:spacing w:val="-1"/>
          <w:position w:val="-1"/>
          <w:sz w:val="24"/>
          <w:szCs w:val="24"/>
        </w:rPr>
        <w:t>c</w:t>
      </w:r>
      <w:r>
        <w:rPr>
          <w:rFonts w:ascii="Arial" w:hAnsi="Arial" w:cs="Arial"/>
          <w:spacing w:val="1"/>
          <w:position w:val="-1"/>
          <w:sz w:val="24"/>
          <w:szCs w:val="24"/>
        </w:rPr>
        <w:t>i</w:t>
      </w:r>
      <w:r>
        <w:rPr>
          <w:rFonts w:ascii="Arial" w:hAnsi="Arial" w:cs="Arial"/>
          <w:position w:val="-1"/>
          <w:sz w:val="24"/>
          <w:szCs w:val="24"/>
        </w:rPr>
        <w:t>è</w:t>
      </w:r>
      <w:r>
        <w:rPr>
          <w:rFonts w:ascii="Arial" w:hAnsi="Arial" w:cs="Arial"/>
          <w:spacing w:val="-1"/>
          <w:position w:val="-1"/>
          <w:sz w:val="24"/>
          <w:szCs w:val="24"/>
        </w:rPr>
        <w:t>r</w:t>
      </w:r>
      <w:r>
        <w:rPr>
          <w:rFonts w:ascii="Arial" w:hAnsi="Arial" w:cs="Arial"/>
          <w:position w:val="-1"/>
          <w:sz w:val="24"/>
          <w:szCs w:val="24"/>
        </w:rPr>
        <w:t>e ;</w:t>
      </w:r>
      <w:r>
        <w:rPr>
          <w:rFonts w:ascii="Arial" w:hAnsi="Arial" w:cs="Arial"/>
          <w:sz w:val="24"/>
          <w:szCs w:val="24"/>
        </w:rPr>
        <w:t xml:space="preserve"> une</w:t>
      </w:r>
      <w:r>
        <w:rPr>
          <w:rFonts w:ascii="Arial" w:hAnsi="Arial" w:cs="Arial"/>
          <w:spacing w:val="12"/>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1"/>
          <w:sz w:val="24"/>
          <w:szCs w:val="24"/>
        </w:rPr>
        <w:t>r</w:t>
      </w:r>
      <w:r>
        <w:rPr>
          <w:rFonts w:ascii="Arial" w:hAnsi="Arial" w:cs="Arial"/>
          <w:spacing w:val="1"/>
          <w:sz w:val="24"/>
          <w:szCs w:val="24"/>
        </w:rPr>
        <w:t>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w:t>
      </w:r>
      <w:r>
        <w:rPr>
          <w:rFonts w:ascii="Arial" w:hAnsi="Arial" w:cs="Arial"/>
          <w:sz w:val="24"/>
          <w:szCs w:val="24"/>
        </w:rPr>
        <w:t>ou</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s</w:t>
      </w:r>
      <w:r>
        <w:rPr>
          <w:rFonts w:ascii="Arial" w:hAnsi="Arial" w:cs="Arial"/>
          <w:spacing w:val="7"/>
          <w:sz w:val="24"/>
          <w:szCs w:val="24"/>
        </w:rPr>
        <w:t xml:space="preserve"> </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bli</w:t>
      </w:r>
      <w:r>
        <w:rPr>
          <w:rFonts w:ascii="Arial" w:hAnsi="Arial" w:cs="Arial"/>
          <w:spacing w:val="-1"/>
          <w:sz w:val="24"/>
          <w:szCs w:val="24"/>
        </w:rPr>
        <w:t>c</w:t>
      </w:r>
      <w:r>
        <w:rPr>
          <w:rFonts w:ascii="Arial" w:hAnsi="Arial" w:cs="Arial"/>
          <w:sz w:val="24"/>
          <w:szCs w:val="24"/>
        </w:rPr>
        <w:t>s</w:t>
      </w:r>
      <w:r>
        <w:rPr>
          <w:rFonts w:ascii="Arial" w:hAnsi="Arial" w:cs="Arial"/>
          <w:spacing w:val="9"/>
          <w:sz w:val="24"/>
          <w:szCs w:val="24"/>
        </w:rPr>
        <w:t xml:space="preserve"> </w:t>
      </w:r>
      <w:r>
        <w:rPr>
          <w:rFonts w:ascii="Arial" w:hAnsi="Arial" w:cs="Arial"/>
          <w:sz w:val="24"/>
          <w:szCs w:val="24"/>
        </w:rPr>
        <w:t>ou</w:t>
      </w:r>
      <w:r>
        <w:rPr>
          <w:rFonts w:ascii="Arial" w:hAnsi="Arial" w:cs="Arial"/>
          <w:spacing w:val="1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tout</w:t>
      </w:r>
      <w:r>
        <w:rPr>
          <w:rFonts w:ascii="Arial" w:hAnsi="Arial" w:cs="Arial"/>
          <w:spacing w:val="10"/>
          <w:sz w:val="24"/>
          <w:szCs w:val="24"/>
        </w:rPr>
        <w:t xml:space="preserve"> </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ga</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me</w:t>
      </w:r>
      <w:r>
        <w:rPr>
          <w:rFonts w:ascii="Arial" w:hAnsi="Arial" w:cs="Arial"/>
          <w:spacing w:val="3"/>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11"/>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0"/>
          <w:sz w:val="24"/>
          <w:szCs w:val="24"/>
        </w:rPr>
        <w:t xml:space="preserve"> </w:t>
      </w:r>
      <w:r>
        <w:rPr>
          <w:rFonts w:ascii="Arial" w:hAnsi="Arial" w:cs="Arial"/>
          <w:spacing w:val="1"/>
          <w:sz w:val="24"/>
          <w:szCs w:val="24"/>
        </w:rPr>
        <w:t>l</w:t>
      </w:r>
      <w:r>
        <w:rPr>
          <w:rFonts w:ascii="Arial" w:hAnsi="Arial" w:cs="Arial"/>
          <w:sz w:val="24"/>
          <w:szCs w:val="24"/>
        </w:rPr>
        <w:t xml:space="preserve">eur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ss</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2"/>
          <w:sz w:val="24"/>
          <w:szCs w:val="24"/>
        </w:rPr>
        <w:t xml:space="preserve"> </w:t>
      </w:r>
      <w:r>
        <w:rPr>
          <w:rFonts w:ascii="Arial" w:hAnsi="Arial" w:cs="Arial"/>
          <w:sz w:val="24"/>
          <w:szCs w:val="24"/>
        </w:rPr>
        <w:t>te</w:t>
      </w:r>
      <w:r>
        <w:rPr>
          <w:rFonts w:ascii="Arial" w:hAnsi="Arial" w:cs="Arial"/>
          <w:spacing w:val="2"/>
          <w:sz w:val="24"/>
          <w:szCs w:val="24"/>
        </w:rPr>
        <w:t>r</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to</w:t>
      </w:r>
      <w:r>
        <w:rPr>
          <w:rFonts w:ascii="Arial" w:hAnsi="Arial" w:cs="Arial"/>
          <w:spacing w:val="-1"/>
          <w:sz w:val="24"/>
          <w:szCs w:val="24"/>
        </w:rPr>
        <w:t>r</w:t>
      </w:r>
      <w:r>
        <w:rPr>
          <w:rFonts w:ascii="Arial" w:hAnsi="Arial" w:cs="Arial"/>
          <w:spacing w:val="1"/>
          <w:sz w:val="24"/>
          <w:szCs w:val="24"/>
        </w:rPr>
        <w:t>ia</w:t>
      </w:r>
      <w:r>
        <w:rPr>
          <w:rFonts w:ascii="Arial" w:hAnsi="Arial" w:cs="Arial"/>
          <w:sz w:val="24"/>
          <w:szCs w:val="24"/>
        </w:rPr>
        <w:t xml:space="preserve">l ; </w:t>
      </w:r>
      <w:r>
        <w:rPr>
          <w:rFonts w:ascii="Arial" w:hAnsi="Arial" w:cs="Arial"/>
          <w:position w:val="-1"/>
          <w:sz w:val="24"/>
          <w:szCs w:val="24"/>
        </w:rPr>
        <w:t xml:space="preserve">une </w:t>
      </w:r>
      <w:r>
        <w:rPr>
          <w:rFonts w:ascii="Arial" w:hAnsi="Arial" w:cs="Arial"/>
          <w:spacing w:val="-1"/>
          <w:position w:val="-1"/>
          <w:sz w:val="24"/>
          <w:szCs w:val="24"/>
        </w:rPr>
        <w:t>c</w:t>
      </w:r>
      <w:r>
        <w:rPr>
          <w:rFonts w:ascii="Arial" w:hAnsi="Arial" w:cs="Arial"/>
          <w:position w:val="-1"/>
          <w:sz w:val="24"/>
          <w:szCs w:val="24"/>
        </w:rPr>
        <w:t>ont</w:t>
      </w:r>
      <w:r>
        <w:rPr>
          <w:rFonts w:ascii="Arial" w:hAnsi="Arial" w:cs="Arial"/>
          <w:spacing w:val="-1"/>
          <w:position w:val="-1"/>
          <w:sz w:val="24"/>
          <w:szCs w:val="24"/>
        </w:rPr>
        <w:t>r</w:t>
      </w:r>
      <w:r>
        <w:rPr>
          <w:rFonts w:ascii="Arial" w:hAnsi="Arial" w:cs="Arial"/>
          <w:spacing w:val="1"/>
          <w:position w:val="-1"/>
          <w:sz w:val="24"/>
          <w:szCs w:val="24"/>
        </w:rPr>
        <w:t>ib</w:t>
      </w:r>
      <w:r>
        <w:rPr>
          <w:rFonts w:ascii="Arial" w:hAnsi="Arial" w:cs="Arial"/>
          <w:position w:val="-1"/>
          <w:sz w:val="24"/>
          <w:szCs w:val="24"/>
        </w:rPr>
        <w:t>ut</w:t>
      </w:r>
      <w:r>
        <w:rPr>
          <w:rFonts w:ascii="Arial" w:hAnsi="Arial" w:cs="Arial"/>
          <w:spacing w:val="1"/>
          <w:position w:val="-1"/>
          <w:sz w:val="24"/>
          <w:szCs w:val="24"/>
        </w:rPr>
        <w:t>i</w:t>
      </w:r>
      <w:r>
        <w:rPr>
          <w:rFonts w:ascii="Arial" w:hAnsi="Arial" w:cs="Arial"/>
          <w:position w:val="-1"/>
          <w:sz w:val="24"/>
          <w:szCs w:val="24"/>
        </w:rPr>
        <w:t>on</w:t>
      </w:r>
      <w:r>
        <w:rPr>
          <w:rFonts w:ascii="Arial" w:hAnsi="Arial" w:cs="Arial"/>
          <w:spacing w:val="-5"/>
          <w:position w:val="-1"/>
          <w:sz w:val="24"/>
          <w:szCs w:val="24"/>
        </w:rPr>
        <w:t xml:space="preserve"> </w:t>
      </w:r>
      <w:r>
        <w:rPr>
          <w:rFonts w:ascii="Arial" w:hAnsi="Arial" w:cs="Arial"/>
          <w:spacing w:val="-1"/>
          <w:position w:val="-1"/>
          <w:sz w:val="24"/>
          <w:szCs w:val="24"/>
        </w:rPr>
        <w:t>c</w:t>
      </w:r>
      <w:r>
        <w:rPr>
          <w:rFonts w:ascii="Arial" w:hAnsi="Arial" w:cs="Arial"/>
          <w:position w:val="-1"/>
          <w:sz w:val="24"/>
          <w:szCs w:val="24"/>
        </w:rPr>
        <w:t>on</w:t>
      </w:r>
      <w:r>
        <w:rPr>
          <w:rFonts w:ascii="Arial" w:hAnsi="Arial" w:cs="Arial"/>
          <w:spacing w:val="-1"/>
          <w:position w:val="-1"/>
          <w:sz w:val="24"/>
          <w:szCs w:val="24"/>
        </w:rPr>
        <w:t>f</w:t>
      </w:r>
      <w:r>
        <w:rPr>
          <w:rFonts w:ascii="Arial" w:hAnsi="Arial" w:cs="Arial"/>
          <w:position w:val="-1"/>
          <w:sz w:val="24"/>
          <w:szCs w:val="24"/>
        </w:rPr>
        <w:t>é</w:t>
      </w:r>
      <w:r>
        <w:rPr>
          <w:rFonts w:ascii="Arial" w:hAnsi="Arial" w:cs="Arial"/>
          <w:spacing w:val="-1"/>
          <w:position w:val="-1"/>
          <w:sz w:val="24"/>
          <w:szCs w:val="24"/>
        </w:rPr>
        <w:t>r</w:t>
      </w:r>
      <w:r>
        <w:rPr>
          <w:rFonts w:ascii="Arial" w:hAnsi="Arial" w:cs="Arial"/>
          <w:spacing w:val="1"/>
          <w:position w:val="-1"/>
          <w:sz w:val="24"/>
          <w:szCs w:val="24"/>
        </w:rPr>
        <w:t>a</w:t>
      </w:r>
      <w:r>
        <w:rPr>
          <w:rFonts w:ascii="Arial" w:hAnsi="Arial" w:cs="Arial"/>
          <w:position w:val="-1"/>
          <w:sz w:val="24"/>
          <w:szCs w:val="24"/>
        </w:rPr>
        <w:t>nt</w:t>
      </w:r>
      <w:r>
        <w:rPr>
          <w:rFonts w:ascii="Arial" w:hAnsi="Arial" w:cs="Arial"/>
          <w:spacing w:val="-4"/>
          <w:position w:val="-1"/>
          <w:sz w:val="24"/>
          <w:szCs w:val="24"/>
        </w:rPr>
        <w:t xml:space="preserve"> </w:t>
      </w:r>
      <w:r>
        <w:rPr>
          <w:rFonts w:ascii="Arial" w:hAnsi="Arial" w:cs="Arial"/>
          <w:position w:val="-1"/>
          <w:sz w:val="24"/>
          <w:szCs w:val="24"/>
        </w:rPr>
        <w:t>un</w:t>
      </w:r>
      <w:r>
        <w:rPr>
          <w:rFonts w:ascii="Arial" w:hAnsi="Arial" w:cs="Arial"/>
          <w:spacing w:val="1"/>
          <w:position w:val="-1"/>
          <w:sz w:val="24"/>
          <w:szCs w:val="24"/>
        </w:rPr>
        <w:t xml:space="preserve"> ava</w:t>
      </w:r>
      <w:r>
        <w:rPr>
          <w:rFonts w:ascii="Arial" w:hAnsi="Arial" w:cs="Arial"/>
          <w:position w:val="-1"/>
          <w:sz w:val="24"/>
          <w:szCs w:val="24"/>
        </w:rPr>
        <w:t>n</w:t>
      </w:r>
      <w:r>
        <w:rPr>
          <w:rFonts w:ascii="Arial" w:hAnsi="Arial" w:cs="Arial"/>
          <w:spacing w:val="-2"/>
          <w:position w:val="-1"/>
          <w:sz w:val="24"/>
          <w:szCs w:val="24"/>
        </w:rPr>
        <w:t>t</w:t>
      </w:r>
      <w:r>
        <w:rPr>
          <w:rFonts w:ascii="Arial" w:hAnsi="Arial" w:cs="Arial"/>
          <w:spacing w:val="1"/>
          <w:position w:val="-1"/>
          <w:sz w:val="24"/>
          <w:szCs w:val="24"/>
        </w:rPr>
        <w:t>ag</w:t>
      </w:r>
      <w:r>
        <w:rPr>
          <w:rFonts w:ascii="Arial" w:hAnsi="Arial" w:cs="Arial"/>
          <w:position w:val="-1"/>
          <w:sz w:val="24"/>
          <w:szCs w:val="24"/>
        </w:rPr>
        <w:t>e.</w:t>
      </w:r>
    </w:p>
    <w:p w14:paraId="21FEC9D3" w14:textId="77777777" w:rsidR="008862C7" w:rsidRDefault="008862C7" w:rsidP="008862C7">
      <w:pPr>
        <w:widowControl w:val="0"/>
        <w:autoSpaceDE w:val="0"/>
        <w:autoSpaceDN w:val="0"/>
        <w:adjustRightInd w:val="0"/>
        <w:spacing w:line="360" w:lineRule="auto"/>
        <w:ind w:right="66"/>
        <w:jc w:val="both"/>
        <w:rPr>
          <w:rFonts w:ascii="Arial" w:hAnsi="Arial" w:cs="Arial"/>
          <w:sz w:val="24"/>
          <w:szCs w:val="24"/>
        </w:rPr>
      </w:pPr>
      <w:r>
        <w:rPr>
          <w:rFonts w:ascii="Arial" w:hAnsi="Arial" w:cs="Arial"/>
          <w:sz w:val="24"/>
          <w:szCs w:val="24"/>
        </w:rPr>
        <w:t>Ce</w:t>
      </w:r>
      <w:r>
        <w:rPr>
          <w:rFonts w:ascii="Arial" w:hAnsi="Arial" w:cs="Arial"/>
          <w:spacing w:val="-1"/>
          <w:sz w:val="24"/>
          <w:szCs w:val="24"/>
        </w:rPr>
        <w:t>p</w:t>
      </w:r>
      <w:r>
        <w:rPr>
          <w:rFonts w:ascii="Arial" w:hAnsi="Arial" w:cs="Arial"/>
          <w:sz w:val="24"/>
          <w:szCs w:val="24"/>
        </w:rPr>
        <w:t>en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nt,</w:t>
      </w:r>
      <w:r>
        <w:rPr>
          <w:rFonts w:ascii="Arial" w:hAnsi="Arial" w:cs="Arial"/>
          <w:spacing w:val="1"/>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eu</w:t>
      </w:r>
      <w:r>
        <w:rPr>
          <w:rFonts w:ascii="Arial" w:hAnsi="Arial" w:cs="Arial"/>
          <w:spacing w:val="-1"/>
          <w:sz w:val="24"/>
          <w:szCs w:val="24"/>
        </w:rPr>
        <w:t>r</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a</w:t>
      </w:r>
      <w:r>
        <w:rPr>
          <w:rFonts w:ascii="Arial" w:hAnsi="Arial" w:cs="Arial"/>
          <w:spacing w:val="-1"/>
          <w:sz w:val="24"/>
          <w:szCs w:val="24"/>
        </w:rPr>
        <w:t>sp</w:t>
      </w:r>
      <w:r>
        <w:rPr>
          <w:rFonts w:ascii="Arial" w:hAnsi="Arial" w:cs="Arial"/>
          <w:sz w:val="24"/>
          <w:szCs w:val="24"/>
        </w:rPr>
        <w:t>e</w:t>
      </w:r>
      <w:r>
        <w:rPr>
          <w:rFonts w:ascii="Arial" w:hAnsi="Arial" w:cs="Arial"/>
          <w:spacing w:val="-1"/>
          <w:sz w:val="24"/>
          <w:szCs w:val="24"/>
        </w:rPr>
        <w:t>c</w:t>
      </w:r>
      <w:r>
        <w:rPr>
          <w:rFonts w:ascii="Arial" w:hAnsi="Arial" w:cs="Arial"/>
          <w:sz w:val="24"/>
          <w:szCs w:val="24"/>
        </w:rPr>
        <w:t>ts</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x</w:t>
      </w:r>
      <w:r>
        <w:rPr>
          <w:rFonts w:ascii="Arial" w:hAnsi="Arial" w:cs="Arial"/>
          <w:sz w:val="24"/>
          <w:szCs w:val="24"/>
        </w:rPr>
        <w:t xml:space="preserve">es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i</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d</w:t>
      </w:r>
      <w:r>
        <w:rPr>
          <w:rFonts w:ascii="Arial" w:hAnsi="Arial" w:cs="Arial"/>
          <w:sz w:val="24"/>
          <w:szCs w:val="24"/>
        </w:rPr>
        <w:t>ent</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a</w:t>
      </w:r>
      <w:r>
        <w:rPr>
          <w:rFonts w:ascii="Arial" w:hAnsi="Arial" w:cs="Arial"/>
          <w:spacing w:val="2"/>
          <w:sz w:val="24"/>
          <w:szCs w:val="24"/>
        </w:rPr>
        <w:t>c</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d</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di</w:t>
      </w:r>
      <w:r>
        <w:rPr>
          <w:rFonts w:ascii="Arial" w:hAnsi="Arial" w:cs="Arial"/>
          <w:spacing w:val="-1"/>
          <w:sz w:val="24"/>
          <w:szCs w:val="24"/>
        </w:rPr>
        <w:t>ff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il</w:t>
      </w:r>
      <w:r>
        <w:rPr>
          <w:rFonts w:ascii="Arial" w:hAnsi="Arial" w:cs="Arial"/>
          <w:sz w:val="24"/>
          <w:szCs w:val="24"/>
        </w:rPr>
        <w:t>ement</w:t>
      </w:r>
      <w:r>
        <w:rPr>
          <w:rFonts w:ascii="Arial" w:hAnsi="Arial" w:cs="Arial"/>
          <w:spacing w:val="1"/>
          <w:sz w:val="24"/>
          <w:szCs w:val="24"/>
        </w:rPr>
        <w:t xml:space="preserve"> a</w:t>
      </w:r>
      <w:r>
        <w:rPr>
          <w:rFonts w:ascii="Arial" w:hAnsi="Arial" w:cs="Arial"/>
          <w:spacing w:val="-1"/>
          <w:sz w:val="24"/>
          <w:szCs w:val="24"/>
        </w:rPr>
        <w:t>pp</w:t>
      </w:r>
      <w:r>
        <w:rPr>
          <w:rFonts w:ascii="Arial" w:hAnsi="Arial" w:cs="Arial"/>
          <w:spacing w:val="1"/>
          <w:sz w:val="24"/>
          <w:szCs w:val="24"/>
        </w:rPr>
        <w:t>li</w:t>
      </w:r>
      <w:r>
        <w:rPr>
          <w:rFonts w:ascii="Arial" w:hAnsi="Arial" w:cs="Arial"/>
          <w:spacing w:val="-1"/>
          <w:sz w:val="24"/>
          <w:szCs w:val="24"/>
        </w:rPr>
        <w:t>ca</w:t>
      </w:r>
      <w:r>
        <w:rPr>
          <w:rFonts w:ascii="Arial" w:hAnsi="Arial" w:cs="Arial"/>
          <w:spacing w:val="1"/>
          <w:sz w:val="24"/>
          <w:szCs w:val="24"/>
        </w:rPr>
        <w:t>b</w:t>
      </w:r>
      <w:r>
        <w:rPr>
          <w:rFonts w:ascii="Arial" w:hAnsi="Arial" w:cs="Arial"/>
          <w:spacing w:val="-1"/>
          <w:sz w:val="24"/>
          <w:szCs w:val="24"/>
        </w:rPr>
        <w:t>l</w:t>
      </w:r>
      <w:r>
        <w:rPr>
          <w:rFonts w:ascii="Arial" w:hAnsi="Arial" w:cs="Arial"/>
          <w:sz w:val="24"/>
          <w:szCs w:val="24"/>
        </w:rPr>
        <w:t>es et</w:t>
      </w:r>
      <w:r>
        <w:rPr>
          <w:rFonts w:ascii="Arial" w:hAnsi="Arial" w:cs="Arial"/>
          <w:spacing w:val="7"/>
          <w:sz w:val="24"/>
          <w:szCs w:val="24"/>
        </w:rPr>
        <w:t xml:space="preserve"> </w:t>
      </w:r>
      <w:r>
        <w:rPr>
          <w:rFonts w:ascii="Arial" w:hAnsi="Arial" w:cs="Arial"/>
          <w:spacing w:val="-1"/>
          <w:sz w:val="24"/>
          <w:szCs w:val="24"/>
        </w:rPr>
        <w:t>c</w:t>
      </w:r>
      <w:r>
        <w:rPr>
          <w:rFonts w:ascii="Arial" w:hAnsi="Arial" w:cs="Arial"/>
          <w:spacing w:val="2"/>
          <w:sz w:val="24"/>
          <w:szCs w:val="24"/>
        </w:rPr>
        <w:t>e</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ai</w:t>
      </w:r>
      <w:r>
        <w:rPr>
          <w:rFonts w:ascii="Arial" w:hAnsi="Arial" w:cs="Arial"/>
          <w:sz w:val="24"/>
          <w:szCs w:val="24"/>
        </w:rPr>
        <w:t>ns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tent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tu</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p>
    <w:p w14:paraId="46916657" w14:textId="77777777" w:rsidR="008862C7" w:rsidRDefault="008862C7" w:rsidP="008862C7">
      <w:pPr>
        <w:widowControl w:val="0"/>
        <w:autoSpaceDE w:val="0"/>
        <w:autoSpaceDN w:val="0"/>
        <w:adjustRightInd w:val="0"/>
        <w:spacing w:line="360" w:lineRule="auto"/>
        <w:ind w:right="66"/>
        <w:jc w:val="both"/>
        <w:rPr>
          <w:rFonts w:ascii="Arial" w:hAnsi="Arial" w:cs="Arial"/>
          <w:sz w:val="24"/>
          <w:szCs w:val="24"/>
        </w:rPr>
      </w:pPr>
      <w:r>
        <w:rPr>
          <w:rFonts w:ascii="Arial" w:hAnsi="Arial" w:cs="Arial"/>
          <w:sz w:val="24"/>
          <w:szCs w:val="24"/>
        </w:rPr>
        <w:t>Se</w:t>
      </w:r>
      <w:r>
        <w:rPr>
          <w:rFonts w:ascii="Arial" w:hAnsi="Arial" w:cs="Arial"/>
          <w:spacing w:val="1"/>
          <w:sz w:val="24"/>
          <w:szCs w:val="24"/>
        </w:rPr>
        <w:t>l</w:t>
      </w:r>
      <w:r>
        <w:rPr>
          <w:rFonts w:ascii="Arial" w:hAnsi="Arial" w:cs="Arial"/>
          <w:sz w:val="24"/>
          <w:szCs w:val="24"/>
        </w:rPr>
        <w:t xml:space="preserve">on </w:t>
      </w:r>
      <w:r>
        <w:rPr>
          <w:rFonts w:ascii="Arial" w:hAnsi="Arial" w:cs="Arial"/>
          <w:spacing w:val="-1"/>
          <w:sz w:val="24"/>
          <w:szCs w:val="24"/>
        </w:rPr>
        <w:t>c</w:t>
      </w:r>
      <w:r>
        <w:rPr>
          <w:rFonts w:ascii="Arial" w:hAnsi="Arial" w:cs="Arial"/>
          <w:sz w:val="24"/>
          <w:szCs w:val="24"/>
        </w:rPr>
        <w:t xml:space="preserve">e </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pp</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 xml:space="preserve">t, </w:t>
      </w:r>
      <w:r>
        <w:rPr>
          <w:rFonts w:ascii="Arial" w:hAnsi="Arial" w:cs="Arial"/>
          <w:spacing w:val="1"/>
          <w:sz w:val="24"/>
          <w:szCs w:val="24"/>
        </w:rPr>
        <w:t>i</w:t>
      </w:r>
      <w:r>
        <w:rPr>
          <w:rFonts w:ascii="Arial" w:hAnsi="Arial" w:cs="Arial"/>
          <w:sz w:val="24"/>
          <w:szCs w:val="24"/>
        </w:rPr>
        <w:t>l e</w:t>
      </w:r>
      <w:r>
        <w:rPr>
          <w:rFonts w:ascii="Arial" w:hAnsi="Arial" w:cs="Arial"/>
          <w:spacing w:val="1"/>
          <w:sz w:val="24"/>
          <w:szCs w:val="24"/>
        </w:rPr>
        <w:t>xi</w:t>
      </w:r>
      <w:r>
        <w:rPr>
          <w:rFonts w:ascii="Arial" w:hAnsi="Arial" w:cs="Arial"/>
          <w:spacing w:val="-1"/>
          <w:sz w:val="24"/>
          <w:szCs w:val="24"/>
        </w:rPr>
        <w:t>s</w:t>
      </w:r>
      <w:r>
        <w:rPr>
          <w:rFonts w:ascii="Arial" w:hAnsi="Arial" w:cs="Arial"/>
          <w:sz w:val="24"/>
          <w:szCs w:val="24"/>
        </w:rPr>
        <w:t>te</w:t>
      </w:r>
      <w:r>
        <w:rPr>
          <w:rFonts w:ascii="Arial" w:hAnsi="Arial" w:cs="Arial"/>
          <w:spacing w:val="21"/>
          <w:sz w:val="24"/>
          <w:szCs w:val="24"/>
        </w:rPr>
        <w:t xml:space="preserve"> </w:t>
      </w:r>
      <w:r>
        <w:rPr>
          <w:rFonts w:ascii="Arial" w:hAnsi="Arial" w:cs="Arial"/>
          <w:spacing w:val="-1"/>
          <w:sz w:val="24"/>
          <w:szCs w:val="24"/>
        </w:rPr>
        <w:t>d</w:t>
      </w:r>
      <w:r>
        <w:rPr>
          <w:rFonts w:ascii="Arial" w:hAnsi="Arial" w:cs="Arial"/>
          <w:sz w:val="24"/>
          <w:szCs w:val="24"/>
        </w:rPr>
        <w:t>eux</w:t>
      </w:r>
      <w:r>
        <w:rPr>
          <w:rFonts w:ascii="Arial" w:hAnsi="Arial" w:cs="Arial"/>
          <w:spacing w:val="22"/>
          <w:sz w:val="24"/>
          <w:szCs w:val="24"/>
        </w:rPr>
        <w:t xml:space="preserve"> </w:t>
      </w:r>
      <w:r>
        <w:rPr>
          <w:rFonts w:ascii="Arial" w:hAnsi="Arial" w:cs="Arial"/>
          <w:sz w:val="24"/>
          <w:szCs w:val="24"/>
        </w:rPr>
        <w:t>t</w:t>
      </w:r>
      <w:r>
        <w:rPr>
          <w:rFonts w:ascii="Arial" w:hAnsi="Arial" w:cs="Arial"/>
          <w:spacing w:val="1"/>
          <w:sz w:val="24"/>
          <w:szCs w:val="24"/>
        </w:rPr>
        <w:t>y</w:t>
      </w:r>
      <w:r>
        <w:rPr>
          <w:rFonts w:ascii="Arial" w:hAnsi="Arial" w:cs="Arial"/>
          <w:spacing w:val="-1"/>
          <w:sz w:val="24"/>
          <w:szCs w:val="24"/>
        </w:rPr>
        <w:t>p</w:t>
      </w:r>
      <w:r>
        <w:rPr>
          <w:rFonts w:ascii="Arial" w:hAnsi="Arial" w:cs="Arial"/>
          <w:sz w:val="24"/>
          <w:szCs w:val="24"/>
        </w:rPr>
        <w:t xml:space="preserve">es </w:t>
      </w:r>
      <w:r>
        <w:rPr>
          <w:rFonts w:ascii="Arial" w:hAnsi="Arial" w:cs="Arial"/>
          <w:spacing w:val="-1"/>
          <w:sz w:val="24"/>
          <w:szCs w:val="24"/>
        </w:rPr>
        <w:t>d</w:t>
      </w:r>
      <w:r>
        <w:rPr>
          <w:rFonts w:ascii="Arial" w:hAnsi="Arial" w:cs="Arial"/>
          <w:sz w:val="24"/>
          <w:szCs w:val="24"/>
        </w:rPr>
        <w:t>e</w:t>
      </w:r>
      <w:r>
        <w:rPr>
          <w:rFonts w:ascii="Arial" w:hAnsi="Arial" w:cs="Arial"/>
          <w:spacing w:val="23"/>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 :</w:t>
      </w:r>
      <w:r>
        <w:rPr>
          <w:rFonts w:ascii="Arial" w:hAnsi="Arial" w:cs="Arial"/>
          <w:spacing w:val="26"/>
          <w:sz w:val="24"/>
          <w:szCs w:val="24"/>
        </w:rPr>
        <w:t xml:space="preserve"> </w:t>
      </w:r>
      <w:r>
        <w:rPr>
          <w:rFonts w:ascii="Arial" w:hAnsi="Arial" w:cs="Arial"/>
          <w:spacing w:val="-1"/>
          <w:sz w:val="24"/>
          <w:szCs w:val="24"/>
        </w:rPr>
        <w:t>d’</w:t>
      </w:r>
      <w:r>
        <w:rPr>
          <w:rFonts w:ascii="Arial" w:hAnsi="Arial" w:cs="Arial"/>
          <w:spacing w:val="2"/>
          <w:sz w:val="24"/>
          <w:szCs w:val="24"/>
        </w:rPr>
        <w:t>u</w:t>
      </w:r>
      <w:r>
        <w:rPr>
          <w:rFonts w:ascii="Arial" w:hAnsi="Arial" w:cs="Arial"/>
          <w:sz w:val="24"/>
          <w:szCs w:val="24"/>
        </w:rPr>
        <w:t>n</w:t>
      </w:r>
      <w:r>
        <w:rPr>
          <w:rFonts w:ascii="Arial" w:hAnsi="Arial" w:cs="Arial"/>
          <w:spacing w:val="23"/>
          <w:sz w:val="24"/>
          <w:szCs w:val="24"/>
        </w:rPr>
        <w:t xml:space="preserve"> </w:t>
      </w:r>
      <w:r>
        <w:rPr>
          <w:rFonts w:ascii="Arial" w:hAnsi="Arial" w:cs="Arial"/>
          <w:spacing w:val="-1"/>
          <w:sz w:val="24"/>
          <w:szCs w:val="24"/>
        </w:rPr>
        <w:t>c</w:t>
      </w:r>
      <w:r>
        <w:rPr>
          <w:rFonts w:ascii="Arial" w:hAnsi="Arial" w:cs="Arial"/>
          <w:sz w:val="24"/>
          <w:szCs w:val="24"/>
        </w:rPr>
        <w:t>ôté</w:t>
      </w:r>
      <w:r>
        <w:rPr>
          <w:rFonts w:ascii="Arial" w:hAnsi="Arial" w:cs="Arial"/>
          <w:spacing w:val="23"/>
          <w:sz w:val="24"/>
          <w:szCs w:val="24"/>
        </w:rPr>
        <w:t xml:space="preserve"> </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te</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vi</w:t>
      </w:r>
      <w:r>
        <w:rPr>
          <w:rFonts w:ascii="Arial" w:hAnsi="Arial" w:cs="Arial"/>
          <w:spacing w:val="-1"/>
          <w:sz w:val="24"/>
          <w:szCs w:val="24"/>
        </w:rPr>
        <w:t>s</w:t>
      </w:r>
      <w:r>
        <w:rPr>
          <w:rFonts w:ascii="Arial" w:hAnsi="Arial" w:cs="Arial"/>
          <w:spacing w:val="1"/>
          <w:sz w:val="24"/>
          <w:szCs w:val="24"/>
        </w:rPr>
        <w:t>i</w:t>
      </w:r>
      <w:r>
        <w:rPr>
          <w:rFonts w:ascii="Arial" w:hAnsi="Arial" w:cs="Arial"/>
          <w:spacing w:val="-1"/>
          <w:sz w:val="24"/>
          <w:szCs w:val="24"/>
        </w:rPr>
        <w:t>b</w:t>
      </w:r>
      <w:r>
        <w:rPr>
          <w:rFonts w:ascii="Arial" w:hAnsi="Arial" w:cs="Arial"/>
          <w:spacing w:val="1"/>
          <w:sz w:val="24"/>
          <w:szCs w:val="24"/>
        </w:rPr>
        <w:t>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2"/>
          <w:sz w:val="24"/>
          <w:szCs w:val="24"/>
        </w:rPr>
        <w:t>y</w:t>
      </w:r>
      <w:r>
        <w:rPr>
          <w:rFonts w:ascii="Arial" w:hAnsi="Arial" w:cs="Arial"/>
          <w:spacing w:val="1"/>
          <w:sz w:val="24"/>
          <w:szCs w:val="24"/>
        </w:rPr>
        <w:t>a</w:t>
      </w:r>
      <w:r>
        <w:rPr>
          <w:rFonts w:ascii="Arial" w:hAnsi="Arial" w:cs="Arial"/>
          <w:sz w:val="24"/>
          <w:szCs w:val="24"/>
        </w:rPr>
        <w:t>nt</w:t>
      </w:r>
      <w:r>
        <w:rPr>
          <w:rFonts w:ascii="Arial" w:hAnsi="Arial" w:cs="Arial"/>
          <w:spacing w:val="2"/>
          <w:sz w:val="24"/>
          <w:szCs w:val="24"/>
        </w:rPr>
        <w:t xml:space="preserve"> </w:t>
      </w:r>
      <w:r>
        <w:rPr>
          <w:rFonts w:ascii="Arial" w:hAnsi="Arial" w:cs="Arial"/>
          <w:sz w:val="24"/>
          <w:szCs w:val="24"/>
        </w:rPr>
        <w:t>un</w:t>
      </w:r>
      <w:r>
        <w:rPr>
          <w:rFonts w:ascii="Arial" w:hAnsi="Arial" w:cs="Arial"/>
          <w:spacing w:val="7"/>
          <w:sz w:val="24"/>
          <w:szCs w:val="24"/>
        </w:rPr>
        <w:t xml:space="preserve"> </w:t>
      </w:r>
      <w:r>
        <w:rPr>
          <w:rFonts w:ascii="Arial" w:hAnsi="Arial" w:cs="Arial"/>
          <w:sz w:val="24"/>
          <w:szCs w:val="24"/>
        </w:rPr>
        <w:t>e</w:t>
      </w:r>
      <w:r>
        <w:rPr>
          <w:rFonts w:ascii="Arial" w:hAnsi="Arial" w:cs="Arial"/>
          <w:spacing w:val="-1"/>
          <w:sz w:val="24"/>
          <w:szCs w:val="24"/>
        </w:rPr>
        <w:t>ff</w:t>
      </w:r>
      <w:r>
        <w:rPr>
          <w:rFonts w:ascii="Arial" w:hAnsi="Arial" w:cs="Arial"/>
          <w:sz w:val="24"/>
          <w:szCs w:val="24"/>
        </w:rPr>
        <w:t>et</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et</w:t>
      </w:r>
      <w:r>
        <w:rPr>
          <w:rFonts w:ascii="Arial" w:hAnsi="Arial" w:cs="Arial"/>
          <w:spacing w:val="5"/>
          <w:sz w:val="24"/>
          <w:szCs w:val="24"/>
        </w:rPr>
        <w:t xml:space="preserve"> </w:t>
      </w:r>
      <w:r>
        <w:rPr>
          <w:rFonts w:ascii="Arial" w:hAnsi="Arial" w:cs="Arial"/>
          <w:spacing w:val="1"/>
          <w:sz w:val="24"/>
          <w:szCs w:val="24"/>
        </w:rPr>
        <w:t>li</w:t>
      </w:r>
      <w:r>
        <w:rPr>
          <w:rFonts w:ascii="Arial" w:hAnsi="Arial" w:cs="Arial"/>
          <w:sz w:val="24"/>
          <w:szCs w:val="24"/>
        </w:rPr>
        <w:t>ées</w:t>
      </w:r>
      <w:r>
        <w:rPr>
          <w:rFonts w:ascii="Arial" w:hAnsi="Arial" w:cs="Arial"/>
          <w:spacing w:val="2"/>
          <w:sz w:val="24"/>
          <w:szCs w:val="24"/>
        </w:rPr>
        <w:t xml:space="preserve"> </w:t>
      </w:r>
      <w:r>
        <w:rPr>
          <w:rFonts w:ascii="Arial" w:hAnsi="Arial" w:cs="Arial"/>
          <w:sz w:val="24"/>
          <w:szCs w:val="24"/>
        </w:rPr>
        <w:t>au système productif et</w:t>
      </w:r>
      <w:r>
        <w:rPr>
          <w:rFonts w:ascii="Arial" w:hAnsi="Arial" w:cs="Arial"/>
          <w:spacing w:val="5"/>
          <w:sz w:val="24"/>
          <w:szCs w:val="24"/>
        </w:rPr>
        <w:t xml:space="preserve"> </w:t>
      </w:r>
      <w:r>
        <w:rPr>
          <w:rFonts w:ascii="Arial" w:hAnsi="Arial" w:cs="Arial"/>
          <w:spacing w:val="-1"/>
          <w:sz w:val="24"/>
          <w:szCs w:val="24"/>
        </w:rPr>
        <w:t>de</w:t>
      </w:r>
      <w:r>
        <w:rPr>
          <w:rFonts w:ascii="Arial" w:hAnsi="Arial" w:cs="Arial"/>
          <w:spacing w:val="7"/>
          <w:sz w:val="24"/>
          <w:szCs w:val="24"/>
        </w:rPr>
        <w:t xml:space="preserve"> l’</w:t>
      </w:r>
      <w:r>
        <w:rPr>
          <w:rFonts w:ascii="Arial" w:hAnsi="Arial" w:cs="Arial"/>
          <w:spacing w:val="1"/>
          <w:sz w:val="24"/>
          <w:szCs w:val="24"/>
        </w:rPr>
        <w:t>a</w:t>
      </w:r>
      <w:r>
        <w:rPr>
          <w:rFonts w:ascii="Arial" w:hAnsi="Arial" w:cs="Arial"/>
          <w:sz w:val="24"/>
          <w:szCs w:val="24"/>
        </w:rPr>
        <w:t>ut</w:t>
      </w:r>
      <w:r>
        <w:rPr>
          <w:rFonts w:ascii="Arial" w:hAnsi="Arial" w:cs="Arial"/>
          <w:spacing w:val="-1"/>
          <w:sz w:val="24"/>
          <w:szCs w:val="24"/>
        </w:rPr>
        <w:t>r</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ôté,</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w:t>
      </w:r>
      <w:r>
        <w:rPr>
          <w:rFonts w:ascii="Arial" w:hAnsi="Arial" w:cs="Arial"/>
          <w:spacing w:val="-2"/>
          <w:sz w:val="24"/>
          <w:szCs w:val="24"/>
        </w:rPr>
        <w:t>n</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tes</w:t>
      </w:r>
      <w:r>
        <w:rPr>
          <w:rFonts w:ascii="Arial" w:hAnsi="Arial" w:cs="Arial"/>
          <w:spacing w:val="5"/>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te</w:t>
      </w:r>
      <w:r>
        <w:rPr>
          <w:rFonts w:ascii="Arial" w:hAnsi="Arial" w:cs="Arial"/>
          <w:spacing w:val="-1"/>
          <w:sz w:val="24"/>
          <w:szCs w:val="24"/>
        </w:rPr>
        <w:t>s</w:t>
      </w:r>
      <w:r>
        <w:rPr>
          <w:rFonts w:ascii="Arial" w:hAnsi="Arial" w:cs="Arial"/>
          <w:sz w:val="24"/>
          <w:szCs w:val="24"/>
        </w:rPr>
        <w:t>,</w:t>
      </w:r>
      <w:r>
        <w:rPr>
          <w:rFonts w:ascii="Arial" w:hAnsi="Arial" w:cs="Arial"/>
          <w:spacing w:val="5"/>
          <w:sz w:val="24"/>
          <w:szCs w:val="24"/>
        </w:rPr>
        <w:t xml:space="preserve"> </w:t>
      </w:r>
      <w:r>
        <w:rPr>
          <w:rFonts w:ascii="Arial" w:hAnsi="Arial" w:cs="Arial"/>
          <w:sz w:val="24"/>
          <w:szCs w:val="24"/>
        </w:rPr>
        <w:t>h</w:t>
      </w:r>
      <w:r>
        <w:rPr>
          <w:rFonts w:ascii="Arial" w:hAnsi="Arial" w:cs="Arial"/>
          <w:spacing w:val="1"/>
          <w:sz w:val="24"/>
          <w:szCs w:val="24"/>
        </w:rPr>
        <w:t>ab</w:t>
      </w:r>
      <w:r>
        <w:rPr>
          <w:rFonts w:ascii="Arial" w:hAnsi="Arial" w:cs="Arial"/>
          <w:spacing w:val="-1"/>
          <w:sz w:val="24"/>
          <w:szCs w:val="24"/>
        </w:rPr>
        <w:t>i</w:t>
      </w:r>
      <w:r>
        <w:rPr>
          <w:rFonts w:ascii="Arial" w:hAnsi="Arial" w:cs="Arial"/>
          <w:sz w:val="24"/>
          <w:szCs w:val="24"/>
        </w:rPr>
        <w:t>tue</w:t>
      </w:r>
      <w:r>
        <w:rPr>
          <w:rFonts w:ascii="Arial" w:hAnsi="Arial" w:cs="Arial"/>
          <w:spacing w:val="1"/>
          <w:sz w:val="24"/>
          <w:szCs w:val="24"/>
        </w:rPr>
        <w:t>ll</w:t>
      </w:r>
      <w:r>
        <w:rPr>
          <w:rFonts w:ascii="Arial" w:hAnsi="Arial" w:cs="Arial"/>
          <w:sz w:val="24"/>
          <w:szCs w:val="24"/>
        </w:rPr>
        <w:t>eme</w:t>
      </w:r>
      <w:r>
        <w:rPr>
          <w:rFonts w:ascii="Arial" w:hAnsi="Arial" w:cs="Arial"/>
          <w:spacing w:val="-2"/>
          <w:sz w:val="24"/>
          <w:szCs w:val="24"/>
        </w:rPr>
        <w:t>n</w:t>
      </w:r>
      <w:r>
        <w:rPr>
          <w:rFonts w:ascii="Arial" w:hAnsi="Arial" w:cs="Arial"/>
          <w:sz w:val="24"/>
          <w:szCs w:val="24"/>
        </w:rPr>
        <w:t xml:space="preserve">t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vi</w:t>
      </w:r>
      <w:r>
        <w:rPr>
          <w:rFonts w:ascii="Arial" w:hAnsi="Arial" w:cs="Arial"/>
          <w:spacing w:val="-1"/>
          <w:sz w:val="24"/>
          <w:szCs w:val="24"/>
        </w:rPr>
        <w:t>si</w:t>
      </w:r>
      <w:r>
        <w:rPr>
          <w:rFonts w:ascii="Arial" w:hAnsi="Arial" w:cs="Arial"/>
          <w:spacing w:val="1"/>
          <w:sz w:val="24"/>
          <w:szCs w:val="24"/>
        </w:rPr>
        <w:t>bl</w:t>
      </w:r>
      <w:r>
        <w:rPr>
          <w:rFonts w:ascii="Arial" w:hAnsi="Arial" w:cs="Arial"/>
          <w:sz w:val="24"/>
          <w:szCs w:val="24"/>
        </w:rPr>
        <w:t>es</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1"/>
          <w:sz w:val="24"/>
          <w:szCs w:val="24"/>
        </w:rPr>
        <w:t>ya</w:t>
      </w:r>
      <w:r>
        <w:rPr>
          <w:rFonts w:ascii="Arial" w:hAnsi="Arial" w:cs="Arial"/>
          <w:sz w:val="24"/>
          <w:szCs w:val="24"/>
        </w:rPr>
        <w:t xml:space="preserve">nt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z w:val="24"/>
          <w:szCs w:val="24"/>
        </w:rPr>
        <w:t>e</w:t>
      </w:r>
      <w:r>
        <w:rPr>
          <w:rFonts w:ascii="Arial" w:hAnsi="Arial" w:cs="Arial"/>
          <w:spacing w:val="-1"/>
          <w:sz w:val="24"/>
          <w:szCs w:val="24"/>
        </w:rPr>
        <w:t>ff</w:t>
      </w:r>
      <w:r>
        <w:rPr>
          <w:rFonts w:ascii="Arial" w:hAnsi="Arial" w:cs="Arial"/>
          <w:sz w:val="24"/>
          <w:szCs w:val="24"/>
        </w:rPr>
        <w:t>ets</w:t>
      </w:r>
      <w:r>
        <w:rPr>
          <w:rFonts w:ascii="Arial" w:hAnsi="Arial" w:cs="Arial"/>
          <w:spacing w:val="2"/>
          <w:sz w:val="24"/>
          <w:szCs w:val="24"/>
        </w:rPr>
        <w:t xml:space="preserve"> </w:t>
      </w:r>
      <w:r>
        <w:rPr>
          <w:rFonts w:ascii="Arial" w:hAnsi="Arial" w:cs="Arial"/>
          <w:sz w:val="24"/>
          <w:szCs w:val="24"/>
        </w:rPr>
        <w:t>mo</w:t>
      </w:r>
      <w:r>
        <w:rPr>
          <w:rFonts w:ascii="Arial" w:hAnsi="Arial" w:cs="Arial"/>
          <w:spacing w:val="1"/>
          <w:sz w:val="24"/>
          <w:szCs w:val="24"/>
        </w:rPr>
        <w:t>i</w:t>
      </w:r>
      <w:r>
        <w:rPr>
          <w:rFonts w:ascii="Arial" w:hAnsi="Arial" w:cs="Arial"/>
          <w:sz w:val="24"/>
          <w:szCs w:val="24"/>
        </w:rPr>
        <w:t>ns</w:t>
      </w:r>
      <w:r>
        <w:rPr>
          <w:rFonts w:ascii="Arial" w:hAnsi="Arial" w:cs="Arial"/>
          <w:spacing w:val="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ts</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oûts</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et</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ivi</w:t>
      </w:r>
      <w:r>
        <w:rPr>
          <w:rFonts w:ascii="Arial" w:hAnsi="Arial" w:cs="Arial"/>
          <w:sz w:val="24"/>
          <w:szCs w:val="24"/>
        </w:rPr>
        <w:t>t</w:t>
      </w:r>
      <w:r>
        <w:rPr>
          <w:rFonts w:ascii="Arial" w:hAnsi="Arial" w:cs="Arial"/>
          <w:spacing w:val="-2"/>
          <w:sz w:val="24"/>
          <w:szCs w:val="24"/>
        </w:rPr>
        <w:t>é</w:t>
      </w:r>
      <w:r>
        <w:rPr>
          <w:rFonts w:ascii="Arial" w:hAnsi="Arial" w:cs="Arial"/>
          <w:sz w:val="24"/>
          <w:szCs w:val="24"/>
        </w:rPr>
        <w:t>.</w:t>
      </w:r>
    </w:p>
    <w:p w14:paraId="530FE468" w14:textId="77777777" w:rsidR="008862C7" w:rsidRDefault="008862C7" w:rsidP="008862C7">
      <w:pPr>
        <w:widowControl w:val="0"/>
        <w:autoSpaceDE w:val="0"/>
        <w:autoSpaceDN w:val="0"/>
        <w:adjustRightInd w:val="0"/>
        <w:spacing w:line="360" w:lineRule="auto"/>
        <w:ind w:right="66"/>
        <w:jc w:val="both"/>
        <w:rPr>
          <w:rFonts w:ascii="Arial" w:hAnsi="Arial" w:cs="Arial"/>
          <w:sz w:val="24"/>
          <w:szCs w:val="24"/>
        </w:rPr>
      </w:pPr>
      <w:r>
        <w:rPr>
          <w:rFonts w:ascii="Arial" w:hAnsi="Arial" w:cs="Arial"/>
          <w:spacing w:val="1"/>
          <w:sz w:val="24"/>
          <w:szCs w:val="24"/>
        </w:rPr>
        <w:t>K</w:t>
      </w:r>
      <w:r>
        <w:rPr>
          <w:rFonts w:ascii="Arial" w:hAnsi="Arial" w:cs="Arial"/>
          <w:spacing w:val="-1"/>
          <w:sz w:val="24"/>
          <w:szCs w:val="24"/>
        </w:rPr>
        <w:t>r</w:t>
      </w:r>
      <w:r>
        <w:rPr>
          <w:rFonts w:ascii="Arial" w:hAnsi="Arial" w:cs="Arial"/>
          <w:sz w:val="24"/>
          <w:szCs w:val="24"/>
        </w:rPr>
        <w:t>u</w:t>
      </w:r>
      <w:r>
        <w:rPr>
          <w:rFonts w:ascii="Arial" w:hAnsi="Arial" w:cs="Arial"/>
          <w:spacing w:val="1"/>
          <w:sz w:val="24"/>
          <w:szCs w:val="24"/>
        </w:rPr>
        <w:t>g</w:t>
      </w:r>
      <w:r>
        <w:rPr>
          <w:rFonts w:ascii="Arial" w:hAnsi="Arial" w:cs="Arial"/>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w:t>
      </w:r>
      <w:r>
        <w:rPr>
          <w:rFonts w:ascii="Arial" w:hAnsi="Arial" w:cs="Arial"/>
          <w:spacing w:val="1"/>
          <w:sz w:val="24"/>
          <w:szCs w:val="24"/>
        </w:rPr>
        <w:t>2</w:t>
      </w:r>
      <w:r>
        <w:rPr>
          <w:rFonts w:ascii="Arial" w:hAnsi="Arial" w:cs="Arial"/>
          <w:spacing w:val="-1"/>
          <w:sz w:val="24"/>
          <w:szCs w:val="24"/>
        </w:rPr>
        <w:t>0</w:t>
      </w:r>
      <w:r>
        <w:rPr>
          <w:rFonts w:ascii="Arial" w:hAnsi="Arial" w:cs="Arial"/>
          <w:spacing w:val="1"/>
          <w:sz w:val="24"/>
          <w:szCs w:val="24"/>
        </w:rPr>
        <w:t>06</w:t>
      </w:r>
      <w:r>
        <w:rPr>
          <w:rFonts w:ascii="Arial" w:hAnsi="Arial" w:cs="Arial"/>
          <w:spacing w:val="-1"/>
          <w:sz w:val="24"/>
          <w:szCs w:val="24"/>
        </w:rPr>
        <w:t>) pr</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tes</w:t>
      </w:r>
      <w:r>
        <w:rPr>
          <w:rFonts w:ascii="Arial" w:hAnsi="Arial" w:cs="Arial"/>
          <w:spacing w:val="3"/>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 xml:space="preserve">tes </w:t>
      </w:r>
      <w:r>
        <w:rPr>
          <w:rFonts w:ascii="Arial" w:hAnsi="Arial" w:cs="Arial"/>
          <w:spacing w:val="-1"/>
          <w:sz w:val="24"/>
          <w:szCs w:val="24"/>
        </w:rPr>
        <w:t>p</w:t>
      </w:r>
      <w:r>
        <w:rPr>
          <w:rFonts w:ascii="Arial" w:hAnsi="Arial" w:cs="Arial"/>
          <w:sz w:val="24"/>
          <w:szCs w:val="24"/>
        </w:rPr>
        <w:t>eu</w:t>
      </w:r>
      <w:r>
        <w:rPr>
          <w:rFonts w:ascii="Arial" w:hAnsi="Arial" w:cs="Arial"/>
          <w:spacing w:val="1"/>
          <w:sz w:val="24"/>
          <w:szCs w:val="24"/>
        </w:rPr>
        <w:t>v</w:t>
      </w:r>
      <w:r>
        <w:rPr>
          <w:rFonts w:ascii="Arial" w:hAnsi="Arial" w:cs="Arial"/>
          <w:sz w:val="24"/>
          <w:szCs w:val="24"/>
        </w:rPr>
        <w:t>ent êt</w:t>
      </w:r>
      <w:r>
        <w:rPr>
          <w:rFonts w:ascii="Arial" w:hAnsi="Arial" w:cs="Arial"/>
          <w:spacing w:val="-1"/>
          <w:sz w:val="24"/>
          <w:szCs w:val="24"/>
        </w:rPr>
        <w:t>r</w:t>
      </w:r>
      <w:r>
        <w:rPr>
          <w:rFonts w:ascii="Arial" w:hAnsi="Arial" w:cs="Arial"/>
          <w:sz w:val="24"/>
          <w:szCs w:val="24"/>
        </w:rPr>
        <w:t>e</w:t>
      </w:r>
      <w:r>
        <w:rPr>
          <w:rFonts w:ascii="Arial" w:hAnsi="Arial" w:cs="Arial"/>
          <w:spacing w:val="48"/>
          <w:sz w:val="24"/>
          <w:szCs w:val="24"/>
        </w:rPr>
        <w:t xml:space="preserve"> </w:t>
      </w:r>
      <w:r>
        <w:rPr>
          <w:rFonts w:ascii="Arial" w:hAnsi="Arial" w:cs="Arial"/>
          <w:spacing w:val="-1"/>
          <w:sz w:val="24"/>
          <w:szCs w:val="24"/>
        </w:rPr>
        <w:t>c</w:t>
      </w:r>
      <w:r>
        <w:rPr>
          <w:rFonts w:ascii="Arial" w:hAnsi="Arial" w:cs="Arial"/>
          <w:spacing w:val="1"/>
          <w:sz w:val="24"/>
          <w:szCs w:val="24"/>
        </w:rPr>
        <w:t>la</w:t>
      </w:r>
      <w:r>
        <w:rPr>
          <w:rFonts w:ascii="Arial" w:hAnsi="Arial" w:cs="Arial"/>
          <w:spacing w:val="-1"/>
          <w:sz w:val="24"/>
          <w:szCs w:val="24"/>
        </w:rPr>
        <w:t>ss</w:t>
      </w:r>
      <w:r>
        <w:rPr>
          <w:rFonts w:ascii="Arial" w:hAnsi="Arial" w:cs="Arial"/>
          <w:spacing w:val="2"/>
          <w:sz w:val="24"/>
          <w:szCs w:val="24"/>
        </w:rPr>
        <w:t>é</w:t>
      </w:r>
      <w:r>
        <w:rPr>
          <w:rFonts w:ascii="Arial" w:hAnsi="Arial" w:cs="Arial"/>
          <w:sz w:val="24"/>
          <w:szCs w:val="24"/>
        </w:rPr>
        <w:t xml:space="preserve">es en </w:t>
      </w:r>
      <w:r>
        <w:rPr>
          <w:rFonts w:ascii="Arial" w:hAnsi="Arial" w:cs="Arial"/>
          <w:spacing w:val="-1"/>
          <w:sz w:val="24"/>
          <w:szCs w:val="24"/>
        </w:rPr>
        <w:t>d</w:t>
      </w:r>
      <w:r>
        <w:rPr>
          <w:rFonts w:ascii="Arial" w:hAnsi="Arial" w:cs="Arial"/>
          <w:sz w:val="24"/>
          <w:szCs w:val="24"/>
        </w:rPr>
        <w:t xml:space="preserve">eux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té</w:t>
      </w:r>
      <w:r>
        <w:rPr>
          <w:rFonts w:ascii="Arial" w:hAnsi="Arial" w:cs="Arial"/>
          <w:spacing w:val="1"/>
          <w:sz w:val="24"/>
          <w:szCs w:val="24"/>
        </w:rPr>
        <w:t>g</w:t>
      </w:r>
      <w:r>
        <w:rPr>
          <w:rFonts w:ascii="Arial" w:hAnsi="Arial" w:cs="Arial"/>
          <w:sz w:val="24"/>
          <w:szCs w:val="24"/>
        </w:rPr>
        <w:t>o</w:t>
      </w:r>
      <w:r>
        <w:rPr>
          <w:rFonts w:ascii="Arial" w:hAnsi="Arial" w:cs="Arial"/>
          <w:spacing w:val="2"/>
          <w:sz w:val="24"/>
          <w:szCs w:val="24"/>
        </w:rPr>
        <w:t>r</w:t>
      </w:r>
      <w:r>
        <w:rPr>
          <w:rFonts w:ascii="Arial" w:hAnsi="Arial" w:cs="Arial"/>
          <w:spacing w:val="1"/>
          <w:sz w:val="24"/>
          <w:szCs w:val="24"/>
        </w:rPr>
        <w:t>i</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c</w:t>
      </w:r>
      <w:r>
        <w:rPr>
          <w:rFonts w:ascii="Arial" w:hAnsi="Arial" w:cs="Arial"/>
          <w:sz w:val="24"/>
          <w:szCs w:val="24"/>
        </w:rPr>
        <w:t>te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à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d</w:t>
      </w:r>
      <w:r>
        <w:rPr>
          <w:rFonts w:ascii="Arial" w:hAnsi="Arial" w:cs="Arial"/>
          <w:spacing w:val="2"/>
          <w:sz w:val="24"/>
          <w:szCs w:val="24"/>
        </w:rPr>
        <w:t>é</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ent</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1"/>
          <w:sz w:val="24"/>
          <w:szCs w:val="24"/>
        </w:rPr>
        <w:t xml:space="preserve">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ai</w:t>
      </w:r>
      <w:r>
        <w:rPr>
          <w:rFonts w:ascii="Arial" w:hAnsi="Arial" w:cs="Arial"/>
          <w:spacing w:val="-1"/>
          <w:sz w:val="24"/>
          <w:szCs w:val="24"/>
        </w:rPr>
        <w:t>d</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1"/>
          <w:sz w:val="24"/>
          <w:szCs w:val="24"/>
        </w:rPr>
        <w:t>cc</w:t>
      </w:r>
      <w:r>
        <w:rPr>
          <w:rFonts w:ascii="Arial" w:hAnsi="Arial" w:cs="Arial"/>
          <w:sz w:val="24"/>
          <w:szCs w:val="24"/>
        </w:rPr>
        <w:t>o</w:t>
      </w:r>
      <w:r>
        <w:rPr>
          <w:rFonts w:ascii="Arial" w:hAnsi="Arial" w:cs="Arial"/>
          <w:spacing w:val="2"/>
          <w:sz w:val="24"/>
          <w:szCs w:val="24"/>
        </w:rPr>
        <w:t>r</w:t>
      </w:r>
      <w:r>
        <w:rPr>
          <w:rFonts w:ascii="Arial" w:hAnsi="Arial" w:cs="Arial"/>
          <w:spacing w:val="-1"/>
          <w:sz w:val="24"/>
          <w:szCs w:val="24"/>
        </w:rPr>
        <w:t>d</w:t>
      </w:r>
      <w:r>
        <w:rPr>
          <w:rFonts w:ascii="Arial" w:hAnsi="Arial" w:cs="Arial"/>
          <w:sz w:val="24"/>
          <w:szCs w:val="24"/>
        </w:rPr>
        <w:t xml:space="preserve">ées </w:t>
      </w:r>
      <w:r>
        <w:rPr>
          <w:rFonts w:ascii="Arial" w:hAnsi="Arial" w:cs="Arial"/>
          <w:spacing w:val="1"/>
          <w:sz w:val="24"/>
          <w:szCs w:val="24"/>
        </w:rPr>
        <w:t>a</w:t>
      </w:r>
      <w:r>
        <w:rPr>
          <w:rFonts w:ascii="Arial" w:hAnsi="Arial" w:cs="Arial"/>
          <w:sz w:val="24"/>
          <w:szCs w:val="24"/>
        </w:rPr>
        <w:t>ux</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un</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 xml:space="preserve">s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g</w:t>
      </w:r>
      <w:r>
        <w:rPr>
          <w:rFonts w:ascii="Arial" w:hAnsi="Arial" w:cs="Arial"/>
          <w:sz w:val="24"/>
          <w:szCs w:val="24"/>
        </w:rPr>
        <w:t>ou</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r</w:t>
      </w:r>
      <w:r>
        <w:rPr>
          <w:rFonts w:ascii="Arial" w:hAnsi="Arial" w:cs="Arial"/>
          <w:sz w:val="24"/>
          <w:szCs w:val="24"/>
        </w:rPr>
        <w:t>nement.</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eur</w:t>
      </w:r>
      <w:r>
        <w:rPr>
          <w:rFonts w:ascii="Arial" w:hAnsi="Arial" w:cs="Arial"/>
          <w:spacing w:val="6"/>
          <w:sz w:val="24"/>
          <w:szCs w:val="24"/>
        </w:rPr>
        <w:t xml:space="preserve"> </w:t>
      </w:r>
      <w:r>
        <w:rPr>
          <w:rFonts w:ascii="Arial" w:hAnsi="Arial" w:cs="Arial"/>
          <w:spacing w:val="1"/>
          <w:sz w:val="24"/>
          <w:szCs w:val="24"/>
        </w:rPr>
        <w:t>b</w:t>
      </w:r>
      <w:r>
        <w:rPr>
          <w:rFonts w:ascii="Arial" w:hAnsi="Arial" w:cs="Arial"/>
          <w:sz w:val="24"/>
          <w:szCs w:val="24"/>
        </w:rPr>
        <w:t>ut</w:t>
      </w:r>
      <w:r>
        <w:rPr>
          <w:rFonts w:ascii="Arial" w:hAnsi="Arial" w:cs="Arial"/>
          <w:spacing w:val="6"/>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ter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à</w:t>
      </w:r>
      <w:r>
        <w:rPr>
          <w:rFonts w:ascii="Arial" w:hAnsi="Arial" w:cs="Arial"/>
          <w:spacing w:val="8"/>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d</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w:t>
      </w:r>
      <w:r>
        <w:rPr>
          <w:rFonts w:ascii="Arial" w:hAnsi="Arial" w:cs="Arial"/>
          <w:spacing w:val="-2"/>
          <w:sz w:val="24"/>
          <w:szCs w:val="24"/>
        </w:rPr>
        <w:t>g</w:t>
      </w:r>
      <w:r>
        <w:rPr>
          <w:rFonts w:ascii="Arial" w:hAnsi="Arial" w:cs="Arial"/>
          <w:sz w:val="24"/>
          <w:szCs w:val="24"/>
        </w:rPr>
        <w:t>e ou</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5"/>
          <w:sz w:val="24"/>
          <w:szCs w:val="24"/>
        </w:rPr>
        <w:t xml:space="preserve"> </w:t>
      </w:r>
      <w:r>
        <w:rPr>
          <w:rFonts w:ascii="Arial" w:hAnsi="Arial" w:cs="Arial"/>
          <w:spacing w:val="-1"/>
          <w:sz w:val="24"/>
          <w:szCs w:val="24"/>
        </w:rPr>
        <w:t>pr</w:t>
      </w:r>
      <w:r>
        <w:rPr>
          <w:rFonts w:ascii="Arial" w:hAnsi="Arial" w:cs="Arial"/>
          <w:sz w:val="24"/>
          <w:szCs w:val="24"/>
        </w:rPr>
        <w:t>oté</w:t>
      </w:r>
      <w:r>
        <w:rPr>
          <w:rFonts w:ascii="Arial" w:hAnsi="Arial" w:cs="Arial"/>
          <w:spacing w:val="1"/>
          <w:sz w:val="24"/>
          <w:szCs w:val="24"/>
        </w:rPr>
        <w:t>g</w:t>
      </w:r>
      <w:r>
        <w:rPr>
          <w:rFonts w:ascii="Arial" w:hAnsi="Arial" w:cs="Arial"/>
          <w:sz w:val="24"/>
          <w:szCs w:val="24"/>
        </w:rPr>
        <w:t>er</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ont</w:t>
      </w:r>
      <w:r>
        <w:rPr>
          <w:rFonts w:ascii="Arial" w:hAnsi="Arial" w:cs="Arial"/>
          <w:spacing w:val="-1"/>
          <w:sz w:val="24"/>
          <w:szCs w:val="24"/>
        </w:rPr>
        <w:t>r</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c</w:t>
      </w:r>
      <w:r>
        <w:rPr>
          <w:rFonts w:ascii="Arial" w:hAnsi="Arial" w:cs="Arial"/>
          <w:sz w:val="24"/>
          <w:szCs w:val="24"/>
        </w:rPr>
        <w:t>u</w:t>
      </w:r>
      <w:r>
        <w:rPr>
          <w:rFonts w:ascii="Arial" w:hAnsi="Arial" w:cs="Arial"/>
          <w:spacing w:val="2"/>
          <w:sz w:val="24"/>
          <w:szCs w:val="24"/>
        </w:rPr>
        <w:t>r</w:t>
      </w:r>
      <w:r>
        <w:rPr>
          <w:rFonts w:ascii="Arial" w:hAnsi="Arial" w:cs="Arial"/>
          <w:spacing w:val="-1"/>
          <w:sz w:val="24"/>
          <w:szCs w:val="24"/>
        </w:rPr>
        <w:t>r</w:t>
      </w:r>
      <w:r>
        <w:rPr>
          <w:rFonts w:ascii="Arial" w:hAnsi="Arial" w:cs="Arial"/>
          <w:sz w:val="24"/>
          <w:szCs w:val="24"/>
        </w:rPr>
        <w:t>en</w:t>
      </w:r>
      <w:r>
        <w:rPr>
          <w:rFonts w:ascii="Arial" w:hAnsi="Arial" w:cs="Arial"/>
          <w:spacing w:val="2"/>
          <w:sz w:val="24"/>
          <w:szCs w:val="24"/>
        </w:rPr>
        <w:t>c</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1"/>
          <w:sz w:val="24"/>
          <w:szCs w:val="24"/>
        </w:rPr>
        <w:t>r</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 xml:space="preserve">e, c’est ce qu’il convient de qualifier selon les termes de List de « protectionnisme éducateur ». </w:t>
      </w:r>
      <w:r>
        <w:rPr>
          <w:rFonts w:ascii="Arial" w:hAnsi="Arial" w:cs="Arial"/>
          <w:spacing w:val="1"/>
          <w:sz w:val="24"/>
          <w:szCs w:val="24"/>
        </w:rPr>
        <w:t>L</w:t>
      </w:r>
      <w:r>
        <w:rPr>
          <w:rFonts w:ascii="Arial" w:hAnsi="Arial" w:cs="Arial"/>
          <w:spacing w:val="-2"/>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à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2"/>
          <w:sz w:val="24"/>
          <w:szCs w:val="24"/>
        </w:rPr>
        <w:t xml:space="preserve"> </w:t>
      </w:r>
      <w:r>
        <w:rPr>
          <w:rFonts w:ascii="Arial" w:hAnsi="Arial" w:cs="Arial"/>
          <w:spacing w:val="1"/>
          <w:sz w:val="24"/>
          <w:szCs w:val="24"/>
        </w:rPr>
        <w:t>q</w:t>
      </w:r>
      <w:r>
        <w:rPr>
          <w:rFonts w:ascii="Arial" w:hAnsi="Arial" w:cs="Arial"/>
          <w:spacing w:val="-2"/>
          <w:sz w:val="24"/>
          <w:szCs w:val="24"/>
        </w:rPr>
        <w:t>u</w:t>
      </w:r>
      <w:r>
        <w:rPr>
          <w:rFonts w:ascii="Arial" w:hAnsi="Arial" w:cs="Arial"/>
          <w:spacing w:val="1"/>
          <w:sz w:val="24"/>
          <w:szCs w:val="24"/>
        </w:rPr>
        <w:t>a</w:t>
      </w:r>
      <w:r>
        <w:rPr>
          <w:rFonts w:ascii="Arial" w:hAnsi="Arial" w:cs="Arial"/>
          <w:sz w:val="24"/>
          <w:szCs w:val="24"/>
        </w:rPr>
        <w:t>nt</w:t>
      </w:r>
      <w:r>
        <w:rPr>
          <w:rFonts w:ascii="Arial" w:hAnsi="Arial" w:cs="Arial"/>
          <w:spacing w:val="38"/>
          <w:sz w:val="24"/>
          <w:szCs w:val="24"/>
        </w:rPr>
        <w:t xml:space="preserve"> </w:t>
      </w:r>
      <w:r>
        <w:rPr>
          <w:rFonts w:ascii="Arial" w:hAnsi="Arial" w:cs="Arial"/>
          <w:sz w:val="24"/>
          <w:szCs w:val="24"/>
        </w:rPr>
        <w:t>à</w:t>
      </w:r>
      <w:r>
        <w:rPr>
          <w:rFonts w:ascii="Arial" w:hAnsi="Arial" w:cs="Arial"/>
          <w:spacing w:val="39"/>
          <w:sz w:val="24"/>
          <w:szCs w:val="24"/>
        </w:rPr>
        <w:t xml:space="preserve"> </w:t>
      </w:r>
      <w:r>
        <w:rPr>
          <w:rFonts w:ascii="Arial" w:hAnsi="Arial" w:cs="Arial"/>
          <w:sz w:val="24"/>
          <w:szCs w:val="24"/>
        </w:rPr>
        <w:t>e</w:t>
      </w:r>
      <w:r>
        <w:rPr>
          <w:rFonts w:ascii="Arial" w:hAnsi="Arial" w:cs="Arial"/>
          <w:spacing w:val="1"/>
          <w:sz w:val="24"/>
          <w:szCs w:val="24"/>
        </w:rPr>
        <w:t>ll</w:t>
      </w:r>
      <w:r>
        <w:rPr>
          <w:rFonts w:ascii="Arial" w:hAnsi="Arial" w:cs="Arial"/>
          <w:sz w:val="24"/>
          <w:szCs w:val="24"/>
        </w:rPr>
        <w:t>es,</w:t>
      </w:r>
      <w:r>
        <w:rPr>
          <w:rFonts w:ascii="Arial" w:hAnsi="Arial" w:cs="Arial"/>
          <w:spacing w:val="38"/>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37"/>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8"/>
          <w:sz w:val="24"/>
          <w:szCs w:val="24"/>
        </w:rPr>
        <w:t xml:space="preserve"> </w:t>
      </w:r>
      <w:r>
        <w:rPr>
          <w:rFonts w:ascii="Arial" w:hAnsi="Arial" w:cs="Arial"/>
          <w:spacing w:val="-1"/>
          <w:sz w:val="24"/>
          <w:szCs w:val="24"/>
        </w:rPr>
        <w:t>s</w:t>
      </w:r>
      <w:r>
        <w:rPr>
          <w:rFonts w:ascii="Arial" w:hAnsi="Arial" w:cs="Arial"/>
          <w:sz w:val="24"/>
          <w:szCs w:val="24"/>
        </w:rPr>
        <w:t>ommes</w:t>
      </w:r>
      <w:r>
        <w:rPr>
          <w:rFonts w:ascii="Arial" w:hAnsi="Arial" w:cs="Arial"/>
          <w:spacing w:val="34"/>
          <w:sz w:val="24"/>
          <w:szCs w:val="24"/>
        </w:rPr>
        <w:t xml:space="preserve"> </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rs</w:t>
      </w:r>
      <w:r>
        <w:rPr>
          <w:rFonts w:ascii="Arial" w:hAnsi="Arial" w:cs="Arial"/>
          <w:sz w:val="24"/>
          <w:szCs w:val="24"/>
        </w:rPr>
        <w:t>ées</w:t>
      </w:r>
      <w:r>
        <w:rPr>
          <w:rFonts w:ascii="Arial" w:hAnsi="Arial" w:cs="Arial"/>
          <w:spacing w:val="36"/>
          <w:sz w:val="24"/>
          <w:szCs w:val="24"/>
        </w:rPr>
        <w:t xml:space="preserve"> </w:t>
      </w:r>
      <w:r>
        <w:rPr>
          <w:rFonts w:ascii="Arial" w:hAnsi="Arial" w:cs="Arial"/>
          <w:sz w:val="24"/>
          <w:szCs w:val="24"/>
        </w:rPr>
        <w:t>à</w:t>
      </w:r>
      <w:r>
        <w:rPr>
          <w:rFonts w:ascii="Arial" w:hAnsi="Arial" w:cs="Arial"/>
          <w:spacing w:val="41"/>
          <w:sz w:val="24"/>
          <w:szCs w:val="24"/>
        </w:rPr>
        <w:t xml:space="preserve"> </w:t>
      </w:r>
      <w:r>
        <w:rPr>
          <w:rFonts w:ascii="Arial" w:hAnsi="Arial" w:cs="Arial"/>
          <w:sz w:val="24"/>
          <w:szCs w:val="24"/>
        </w:rPr>
        <w:t>une</w:t>
      </w:r>
      <w:r>
        <w:rPr>
          <w:rFonts w:ascii="Arial" w:hAnsi="Arial" w:cs="Arial"/>
          <w:spacing w:val="40"/>
          <w:sz w:val="24"/>
          <w:szCs w:val="24"/>
        </w:rPr>
        <w:t xml:space="preserve"> </w:t>
      </w:r>
      <w:r>
        <w:rPr>
          <w:rFonts w:ascii="Arial" w:hAnsi="Arial" w:cs="Arial"/>
          <w:spacing w:val="-1"/>
          <w:sz w:val="24"/>
          <w:szCs w:val="24"/>
        </w:rPr>
        <w:t>f</w:t>
      </w:r>
      <w:r>
        <w:rPr>
          <w:rFonts w:ascii="Arial" w:hAnsi="Arial" w:cs="Arial"/>
          <w:spacing w:val="1"/>
          <w:sz w:val="24"/>
          <w:szCs w:val="24"/>
        </w:rPr>
        <w:t>i</w:t>
      </w:r>
      <w:r>
        <w:rPr>
          <w:rFonts w:ascii="Arial" w:hAnsi="Arial" w:cs="Arial"/>
          <w:spacing w:val="-3"/>
          <w:sz w:val="24"/>
          <w:szCs w:val="24"/>
        </w:rPr>
        <w:t>r</w:t>
      </w:r>
      <w:r>
        <w:rPr>
          <w:rFonts w:ascii="Arial" w:hAnsi="Arial" w:cs="Arial"/>
          <w:sz w:val="24"/>
          <w:szCs w:val="24"/>
        </w:rPr>
        <w:t>me</w:t>
      </w:r>
      <w:r>
        <w:rPr>
          <w:rFonts w:ascii="Arial" w:hAnsi="Arial" w:cs="Arial"/>
          <w:spacing w:val="37"/>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39"/>
          <w:sz w:val="24"/>
          <w:szCs w:val="24"/>
        </w:rPr>
        <w:t xml:space="preserve"> </w:t>
      </w:r>
      <w:r>
        <w:rPr>
          <w:rFonts w:ascii="Arial" w:hAnsi="Arial" w:cs="Arial"/>
          <w:spacing w:val="1"/>
          <w:sz w:val="24"/>
          <w:szCs w:val="24"/>
        </w:rPr>
        <w:t>v</w:t>
      </w:r>
      <w:r>
        <w:rPr>
          <w:rFonts w:ascii="Arial" w:hAnsi="Arial" w:cs="Arial"/>
          <w:sz w:val="24"/>
          <w:szCs w:val="24"/>
        </w:rPr>
        <w:t>end</w:t>
      </w:r>
      <w:r>
        <w:rPr>
          <w:rFonts w:ascii="Arial" w:hAnsi="Arial" w:cs="Arial"/>
          <w:spacing w:val="37"/>
          <w:sz w:val="24"/>
          <w:szCs w:val="24"/>
        </w:rPr>
        <w:t xml:space="preserve"> </w:t>
      </w:r>
      <w:r>
        <w:rPr>
          <w:rFonts w:ascii="Arial" w:hAnsi="Arial" w:cs="Arial"/>
          <w:sz w:val="24"/>
          <w:szCs w:val="24"/>
        </w:rPr>
        <w:t xml:space="preserve">une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bi</w:t>
      </w:r>
      <w:r>
        <w:rPr>
          <w:rFonts w:ascii="Arial" w:hAnsi="Arial" w:cs="Arial"/>
          <w:sz w:val="24"/>
          <w:szCs w:val="24"/>
        </w:rPr>
        <w:t>ens</w:t>
      </w:r>
      <w:r>
        <w:rPr>
          <w:rFonts w:ascii="Arial" w:hAnsi="Arial" w:cs="Arial"/>
          <w:spacing w:val="-3"/>
          <w:sz w:val="24"/>
          <w:szCs w:val="24"/>
        </w:rPr>
        <w:t xml:space="preserve"> </w:t>
      </w:r>
      <w:r>
        <w:rPr>
          <w:rFonts w:ascii="Arial" w:hAnsi="Arial" w:cs="Arial"/>
          <w:sz w:val="24"/>
          <w:szCs w:val="24"/>
        </w:rPr>
        <w:t>à</w:t>
      </w:r>
      <w:r>
        <w:rPr>
          <w:rFonts w:ascii="Arial" w:hAnsi="Arial" w:cs="Arial"/>
          <w:spacing w:val="1"/>
          <w:sz w:val="24"/>
          <w:szCs w:val="24"/>
        </w:rPr>
        <w:t xml:space="preserve"> l</w:t>
      </w:r>
      <w:r>
        <w:rPr>
          <w:rFonts w:ascii="Arial" w:hAnsi="Arial" w:cs="Arial"/>
          <w:spacing w:val="-1"/>
          <w:sz w:val="24"/>
          <w:szCs w:val="24"/>
        </w:rPr>
        <w:t>’</w:t>
      </w:r>
      <w:r>
        <w:rPr>
          <w:rFonts w:ascii="Arial" w:hAnsi="Arial" w:cs="Arial"/>
          <w:spacing w:val="-2"/>
          <w:sz w:val="24"/>
          <w:szCs w:val="24"/>
        </w:rPr>
        <w:t>é</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r</w:t>
      </w:r>
      <w:r>
        <w:rPr>
          <w:rFonts w:ascii="Arial" w:hAnsi="Arial" w:cs="Arial"/>
          <w:sz w:val="24"/>
          <w:szCs w:val="24"/>
        </w:rPr>
        <w:t>.</w:t>
      </w:r>
    </w:p>
    <w:p w14:paraId="23BA4A97" w14:textId="77777777" w:rsidR="008862C7" w:rsidRDefault="008862C7" w:rsidP="008862C7">
      <w:pPr>
        <w:widowControl w:val="0"/>
        <w:autoSpaceDE w:val="0"/>
        <w:autoSpaceDN w:val="0"/>
        <w:adjustRightInd w:val="0"/>
        <w:spacing w:line="360" w:lineRule="auto"/>
        <w:ind w:right="210"/>
        <w:jc w:val="both"/>
        <w:rPr>
          <w:rFonts w:ascii="Arial" w:hAnsi="Arial" w:cs="Arial"/>
          <w:position w:val="-1"/>
          <w:sz w:val="24"/>
          <w:szCs w:val="24"/>
        </w:rPr>
      </w:pP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th</w:t>
      </w:r>
      <w:r>
        <w:rPr>
          <w:rFonts w:ascii="Arial" w:hAnsi="Arial" w:cs="Arial"/>
          <w:spacing w:val="2"/>
          <w:sz w:val="24"/>
          <w:szCs w:val="24"/>
        </w:rPr>
        <w:t>é</w:t>
      </w:r>
      <w:r>
        <w:rPr>
          <w:rFonts w:ascii="Arial" w:hAnsi="Arial" w:cs="Arial"/>
          <w:sz w:val="24"/>
          <w:szCs w:val="24"/>
        </w:rPr>
        <w:t>o</w:t>
      </w:r>
      <w:r>
        <w:rPr>
          <w:rFonts w:ascii="Arial" w:hAnsi="Arial" w:cs="Arial"/>
          <w:spacing w:val="-1"/>
          <w:sz w:val="24"/>
          <w:szCs w:val="24"/>
        </w:rPr>
        <w:t>r</w:t>
      </w:r>
      <w:r>
        <w:rPr>
          <w:rFonts w:ascii="Arial" w:hAnsi="Arial" w:cs="Arial"/>
          <w:spacing w:val="4"/>
          <w:sz w:val="24"/>
          <w:szCs w:val="24"/>
        </w:rPr>
        <w:t>i</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é</w:t>
      </w:r>
      <w:r>
        <w:rPr>
          <w:rFonts w:ascii="Arial" w:hAnsi="Arial" w:cs="Arial"/>
          <w:spacing w:val="-1"/>
          <w:sz w:val="24"/>
          <w:szCs w:val="24"/>
        </w:rPr>
        <w:t>c</w:t>
      </w:r>
      <w:r>
        <w:rPr>
          <w:rFonts w:ascii="Arial" w:hAnsi="Arial" w:cs="Arial"/>
          <w:spacing w:val="2"/>
          <w:sz w:val="24"/>
          <w:szCs w:val="24"/>
        </w:rPr>
        <w:t>o</w:t>
      </w:r>
      <w:r>
        <w:rPr>
          <w:rFonts w:ascii="Arial" w:hAnsi="Arial" w:cs="Arial"/>
          <w:sz w:val="24"/>
          <w:szCs w:val="24"/>
        </w:rPr>
        <w:t>nom</w:t>
      </w:r>
      <w:r>
        <w:rPr>
          <w:rFonts w:ascii="Arial" w:hAnsi="Arial" w:cs="Arial"/>
          <w:spacing w:val="1"/>
          <w:sz w:val="24"/>
          <w:szCs w:val="24"/>
        </w:rPr>
        <w:t>i</w:t>
      </w:r>
      <w:r>
        <w:rPr>
          <w:rFonts w:ascii="Arial" w:hAnsi="Arial" w:cs="Arial"/>
          <w:spacing w:val="3"/>
          <w:sz w:val="24"/>
          <w:szCs w:val="24"/>
        </w:rPr>
        <w:t>q</w:t>
      </w:r>
      <w:r>
        <w:rPr>
          <w:rFonts w:ascii="Arial" w:hAnsi="Arial" w:cs="Arial"/>
          <w:spacing w:val="2"/>
          <w:sz w:val="24"/>
          <w:szCs w:val="24"/>
        </w:rPr>
        <w:t>u</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n</w:t>
      </w:r>
      <w:r>
        <w:rPr>
          <w:rFonts w:ascii="Arial" w:hAnsi="Arial" w:cs="Arial"/>
          <w:spacing w:val="2"/>
          <w:sz w:val="24"/>
          <w:szCs w:val="24"/>
        </w:rPr>
        <w:t>o</w:t>
      </w:r>
      <w:r>
        <w:rPr>
          <w:rFonts w:ascii="Arial" w:hAnsi="Arial" w:cs="Arial"/>
          <w:sz w:val="24"/>
          <w:szCs w:val="24"/>
        </w:rPr>
        <w:t>us</w:t>
      </w:r>
      <w:r>
        <w:rPr>
          <w:rFonts w:ascii="Arial" w:hAnsi="Arial" w:cs="Arial"/>
          <w:spacing w:val="6"/>
          <w:sz w:val="24"/>
          <w:szCs w:val="24"/>
        </w:rPr>
        <w:t xml:space="preserve"> </w:t>
      </w:r>
      <w:r>
        <w:rPr>
          <w:rFonts w:ascii="Arial" w:hAnsi="Arial" w:cs="Arial"/>
          <w:sz w:val="24"/>
          <w:szCs w:val="24"/>
        </w:rPr>
        <w:t>e</w:t>
      </w:r>
      <w:r>
        <w:rPr>
          <w:rFonts w:ascii="Arial" w:hAnsi="Arial" w:cs="Arial"/>
          <w:spacing w:val="2"/>
          <w:sz w:val="24"/>
          <w:szCs w:val="24"/>
        </w:rPr>
        <w:t>n</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i</w:t>
      </w:r>
      <w:r>
        <w:rPr>
          <w:rFonts w:ascii="Arial" w:hAnsi="Arial" w:cs="Arial"/>
          <w:spacing w:val="3"/>
          <w:sz w:val="24"/>
          <w:szCs w:val="24"/>
        </w:rPr>
        <w:t>g</w:t>
      </w:r>
      <w:r>
        <w:rPr>
          <w:rFonts w:ascii="Arial" w:hAnsi="Arial" w:cs="Arial"/>
          <w:sz w:val="24"/>
          <w:szCs w:val="24"/>
        </w:rPr>
        <w:t>ne</w:t>
      </w:r>
      <w:r>
        <w:rPr>
          <w:rFonts w:ascii="Arial" w:hAnsi="Arial" w:cs="Arial"/>
          <w:spacing w:val="1"/>
          <w:sz w:val="24"/>
          <w:szCs w:val="24"/>
        </w:rPr>
        <w:t xml:space="preserve"> q</w:t>
      </w:r>
      <w:r>
        <w:rPr>
          <w:rFonts w:ascii="Arial" w:hAnsi="Arial" w:cs="Arial"/>
          <w:spacing w:val="2"/>
          <w:sz w:val="24"/>
          <w:szCs w:val="24"/>
        </w:rPr>
        <w:t>u</w:t>
      </w:r>
      <w:r>
        <w:rPr>
          <w:rFonts w:ascii="Arial" w:hAnsi="Arial" w:cs="Arial"/>
          <w:sz w:val="24"/>
          <w:szCs w:val="24"/>
        </w:rPr>
        <w:t>e</w:t>
      </w:r>
      <w:r>
        <w:rPr>
          <w:rFonts w:ascii="Arial" w:hAnsi="Arial" w:cs="Arial"/>
          <w:spacing w:val="3"/>
          <w:sz w:val="24"/>
          <w:szCs w:val="24"/>
        </w:rPr>
        <w:t xml:space="preserve"> </w:t>
      </w:r>
      <w:r>
        <w:rPr>
          <w:rFonts w:ascii="Arial" w:hAnsi="Arial" w:cs="Arial"/>
          <w:spacing w:val="4"/>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w:t>
      </w:r>
      <w:r>
        <w:rPr>
          <w:rFonts w:ascii="Arial" w:hAnsi="Arial" w:cs="Arial"/>
          <w:spacing w:val="3"/>
          <w:sz w:val="24"/>
          <w:szCs w:val="24"/>
        </w:rPr>
        <w:t>v</w:t>
      </w:r>
      <w:r>
        <w:rPr>
          <w:rFonts w:ascii="Arial" w:hAnsi="Arial" w:cs="Arial"/>
          <w:sz w:val="24"/>
          <w:szCs w:val="24"/>
        </w:rPr>
        <w:t>e</w:t>
      </w:r>
      <w:r>
        <w:rPr>
          <w:rFonts w:ascii="Arial" w:hAnsi="Arial" w:cs="Arial"/>
          <w:spacing w:val="2"/>
          <w:sz w:val="24"/>
          <w:szCs w:val="24"/>
        </w:rPr>
        <w:t>n</w:t>
      </w:r>
      <w:r>
        <w:rPr>
          <w:rFonts w:ascii="Arial" w:hAnsi="Arial" w:cs="Arial"/>
          <w:sz w:val="24"/>
          <w:szCs w:val="24"/>
        </w:rPr>
        <w:t>t</w:t>
      </w:r>
      <w:r>
        <w:rPr>
          <w:rFonts w:ascii="Arial" w:hAnsi="Arial" w:cs="Arial"/>
          <w:spacing w:val="1"/>
          <w:sz w:val="24"/>
          <w:szCs w:val="24"/>
        </w:rPr>
        <w:t>i</w:t>
      </w:r>
      <w:r>
        <w:rPr>
          <w:rFonts w:ascii="Arial" w:hAnsi="Arial" w:cs="Arial"/>
          <w:sz w:val="24"/>
          <w:szCs w:val="24"/>
        </w:rPr>
        <w:t>o</w:t>
      </w:r>
      <w:r>
        <w:rPr>
          <w:rFonts w:ascii="Arial" w:hAnsi="Arial" w:cs="Arial"/>
          <w:spacing w:val="2"/>
          <w:sz w:val="24"/>
          <w:szCs w:val="24"/>
        </w:rPr>
        <w:t>n</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2"/>
          <w:sz w:val="24"/>
          <w:szCs w:val="24"/>
        </w:rPr>
        <w:t>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 xml:space="preserve">n </w:t>
      </w:r>
      <w:r>
        <w:rPr>
          <w:rFonts w:ascii="Arial" w:hAnsi="Arial" w:cs="Arial"/>
          <w:spacing w:val="2"/>
          <w:sz w:val="24"/>
          <w:szCs w:val="24"/>
        </w:rPr>
        <w:t>e</w:t>
      </w:r>
      <w:r>
        <w:rPr>
          <w:rFonts w:ascii="Arial" w:hAnsi="Arial" w:cs="Arial"/>
          <w:sz w:val="24"/>
          <w:szCs w:val="24"/>
        </w:rPr>
        <w:t>t</w:t>
      </w:r>
      <w:r>
        <w:rPr>
          <w:rFonts w:ascii="Arial" w:hAnsi="Arial" w:cs="Arial"/>
          <w:spacing w:val="8"/>
          <w:sz w:val="24"/>
          <w:szCs w:val="24"/>
        </w:rPr>
        <w:t xml:space="preserve"> </w:t>
      </w:r>
      <w:r>
        <w:rPr>
          <w:rFonts w:ascii="Arial" w:hAnsi="Arial" w:cs="Arial"/>
          <w:spacing w:val="4"/>
          <w:sz w:val="24"/>
          <w:szCs w:val="24"/>
        </w:rPr>
        <w:t>l</w:t>
      </w:r>
      <w:r>
        <w:rPr>
          <w:rFonts w:ascii="Arial" w:hAnsi="Arial" w:cs="Arial"/>
          <w:spacing w:val="2"/>
          <w:sz w:val="24"/>
          <w:szCs w:val="24"/>
        </w:rPr>
        <w:t>e</w:t>
      </w:r>
      <w:r>
        <w:rPr>
          <w:rFonts w:ascii="Arial" w:hAnsi="Arial" w:cs="Arial"/>
          <w:sz w:val="24"/>
          <w:szCs w:val="24"/>
        </w:rPr>
        <w:t>s</w:t>
      </w:r>
      <w:r>
        <w:rPr>
          <w:rFonts w:ascii="Arial" w:hAnsi="Arial" w:cs="Arial"/>
          <w:spacing w:val="8"/>
          <w:sz w:val="24"/>
          <w:szCs w:val="24"/>
        </w:rPr>
        <w:t xml:space="preserve"> </w:t>
      </w:r>
      <w:r>
        <w:rPr>
          <w:rFonts w:ascii="Arial" w:hAnsi="Arial" w:cs="Arial"/>
          <w:spacing w:val="2"/>
          <w:sz w:val="24"/>
          <w:szCs w:val="24"/>
        </w:rPr>
        <w:t>su</w:t>
      </w:r>
      <w:r>
        <w:rPr>
          <w:rFonts w:ascii="Arial" w:hAnsi="Arial" w:cs="Arial"/>
          <w:spacing w:val="3"/>
          <w:sz w:val="24"/>
          <w:szCs w:val="24"/>
        </w:rPr>
        <w:t>bv</w:t>
      </w:r>
      <w:r>
        <w:rPr>
          <w:rFonts w:ascii="Arial" w:hAnsi="Arial" w:cs="Arial"/>
          <w:spacing w:val="2"/>
          <w:sz w:val="24"/>
          <w:szCs w:val="24"/>
        </w:rPr>
        <w:t>e</w:t>
      </w:r>
      <w:r>
        <w:rPr>
          <w:rFonts w:ascii="Arial" w:hAnsi="Arial" w:cs="Arial"/>
          <w:sz w:val="24"/>
          <w:szCs w:val="24"/>
        </w:rPr>
        <w:t>n</w:t>
      </w:r>
      <w:r>
        <w:rPr>
          <w:rFonts w:ascii="Arial" w:hAnsi="Arial" w:cs="Arial"/>
          <w:spacing w:val="3"/>
          <w:sz w:val="24"/>
          <w:szCs w:val="24"/>
        </w:rPr>
        <w:t>t</w:t>
      </w:r>
      <w:r>
        <w:rPr>
          <w:rFonts w:ascii="Arial" w:hAnsi="Arial" w:cs="Arial"/>
          <w:spacing w:val="4"/>
          <w:sz w:val="24"/>
          <w:szCs w:val="24"/>
        </w:rPr>
        <w:t>i</w:t>
      </w:r>
      <w:r>
        <w:rPr>
          <w:rFonts w:ascii="Arial" w:hAnsi="Arial" w:cs="Arial"/>
          <w:sz w:val="24"/>
          <w:szCs w:val="24"/>
        </w:rPr>
        <w:t>o</w:t>
      </w:r>
      <w:r>
        <w:rPr>
          <w:rFonts w:ascii="Arial" w:hAnsi="Arial" w:cs="Arial"/>
          <w:spacing w:val="2"/>
          <w:sz w:val="24"/>
          <w:szCs w:val="24"/>
        </w:rPr>
        <w:t>n</w:t>
      </w:r>
      <w:r>
        <w:rPr>
          <w:rFonts w:ascii="Arial" w:hAnsi="Arial" w:cs="Arial"/>
          <w:sz w:val="24"/>
          <w:szCs w:val="24"/>
        </w:rPr>
        <w:t>s</w:t>
      </w:r>
      <w:r>
        <w:rPr>
          <w:rFonts w:ascii="Arial" w:hAnsi="Arial" w:cs="Arial"/>
          <w:spacing w:val="3"/>
          <w:sz w:val="24"/>
          <w:szCs w:val="24"/>
        </w:rPr>
        <w:t xml:space="preserve"> </w:t>
      </w:r>
      <w:r>
        <w:rPr>
          <w:rFonts w:ascii="Arial" w:hAnsi="Arial" w:cs="Arial"/>
          <w:sz w:val="24"/>
          <w:szCs w:val="24"/>
        </w:rPr>
        <w:t>à</w:t>
      </w:r>
      <w:r>
        <w:rPr>
          <w:rFonts w:ascii="Arial" w:hAnsi="Arial" w:cs="Arial"/>
          <w:spacing w:val="10"/>
          <w:sz w:val="24"/>
          <w:szCs w:val="24"/>
        </w:rPr>
        <w:t xml:space="preserve"> </w:t>
      </w:r>
      <w:r>
        <w:rPr>
          <w:rFonts w:ascii="Arial" w:hAnsi="Arial" w:cs="Arial"/>
          <w:spacing w:val="4"/>
          <w:sz w:val="24"/>
          <w:szCs w:val="24"/>
        </w:rPr>
        <w:t>l</w:t>
      </w:r>
      <w:r>
        <w:rPr>
          <w:rFonts w:ascii="Arial" w:hAnsi="Arial" w:cs="Arial"/>
          <w:spacing w:val="1"/>
          <w:sz w:val="24"/>
          <w:szCs w:val="24"/>
        </w:rPr>
        <w:t>’</w:t>
      </w:r>
      <w:r>
        <w:rPr>
          <w:rFonts w:ascii="Arial" w:hAnsi="Arial" w:cs="Arial"/>
          <w:spacing w:val="2"/>
          <w:sz w:val="24"/>
          <w:szCs w:val="24"/>
        </w:rPr>
        <w:t>e</w:t>
      </w:r>
      <w:r>
        <w:rPr>
          <w:rFonts w:ascii="Arial" w:hAnsi="Arial" w:cs="Arial"/>
          <w:spacing w:val="3"/>
          <w:sz w:val="24"/>
          <w:szCs w:val="24"/>
        </w:rPr>
        <w:t>x</w:t>
      </w:r>
      <w:r>
        <w:rPr>
          <w:rFonts w:ascii="Arial" w:hAnsi="Arial" w:cs="Arial"/>
          <w:spacing w:val="1"/>
          <w:sz w:val="24"/>
          <w:szCs w:val="24"/>
        </w:rPr>
        <w:t>p</w:t>
      </w:r>
      <w:r>
        <w:rPr>
          <w:rFonts w:ascii="Arial" w:hAnsi="Arial" w:cs="Arial"/>
          <w:spacing w:val="2"/>
          <w:sz w:val="24"/>
          <w:szCs w:val="24"/>
        </w:rPr>
        <w:t>or</w:t>
      </w:r>
      <w:r>
        <w:rPr>
          <w:rFonts w:ascii="Arial" w:hAnsi="Arial" w:cs="Arial"/>
          <w:sz w:val="24"/>
          <w:szCs w:val="24"/>
        </w:rPr>
        <w:t>t</w:t>
      </w:r>
      <w:r>
        <w:rPr>
          <w:rFonts w:ascii="Arial" w:hAnsi="Arial" w:cs="Arial"/>
          <w:spacing w:val="3"/>
          <w:sz w:val="24"/>
          <w:szCs w:val="24"/>
        </w:rPr>
        <w:t>a</w:t>
      </w:r>
      <w:r>
        <w:rPr>
          <w:rFonts w:ascii="Arial" w:hAnsi="Arial" w:cs="Arial"/>
          <w:sz w:val="24"/>
          <w:szCs w:val="24"/>
        </w:rPr>
        <w:t>t</w:t>
      </w:r>
      <w:r>
        <w:rPr>
          <w:rFonts w:ascii="Arial" w:hAnsi="Arial" w:cs="Arial"/>
          <w:spacing w:val="4"/>
          <w:sz w:val="24"/>
          <w:szCs w:val="24"/>
        </w:rPr>
        <w:t>i</w:t>
      </w:r>
      <w:r>
        <w:rPr>
          <w:rFonts w:ascii="Arial" w:hAnsi="Arial" w:cs="Arial"/>
          <w:spacing w:val="2"/>
          <w:sz w:val="24"/>
          <w:szCs w:val="24"/>
        </w:rPr>
        <w:t>o</w:t>
      </w:r>
      <w:r>
        <w:rPr>
          <w:rFonts w:ascii="Arial" w:hAnsi="Arial" w:cs="Arial"/>
          <w:sz w:val="24"/>
          <w:szCs w:val="24"/>
        </w:rPr>
        <w:t xml:space="preserve">n </w:t>
      </w:r>
      <w:r>
        <w:rPr>
          <w:rFonts w:ascii="Arial" w:hAnsi="Arial" w:cs="Arial"/>
          <w:spacing w:val="1"/>
          <w:sz w:val="24"/>
          <w:szCs w:val="24"/>
        </w:rPr>
        <w:t>p</w:t>
      </w:r>
      <w:r>
        <w:rPr>
          <w:rFonts w:ascii="Arial" w:hAnsi="Arial" w:cs="Arial"/>
          <w:spacing w:val="2"/>
          <w:sz w:val="24"/>
          <w:szCs w:val="24"/>
        </w:rPr>
        <w:t>eu</w:t>
      </w:r>
      <w:r>
        <w:rPr>
          <w:rFonts w:ascii="Arial" w:hAnsi="Arial" w:cs="Arial"/>
          <w:spacing w:val="1"/>
          <w:sz w:val="24"/>
          <w:szCs w:val="24"/>
        </w:rPr>
        <w:t>v</w:t>
      </w:r>
      <w:r>
        <w:rPr>
          <w:rFonts w:ascii="Arial" w:hAnsi="Arial" w:cs="Arial"/>
          <w:spacing w:val="2"/>
          <w:sz w:val="24"/>
          <w:szCs w:val="24"/>
        </w:rPr>
        <w:t>en</w:t>
      </w:r>
      <w:r>
        <w:rPr>
          <w:rFonts w:ascii="Arial" w:hAnsi="Arial" w:cs="Arial"/>
          <w:sz w:val="24"/>
          <w:szCs w:val="24"/>
        </w:rPr>
        <w:t>t</w:t>
      </w:r>
      <w:r>
        <w:rPr>
          <w:rFonts w:ascii="Arial" w:hAnsi="Arial" w:cs="Arial"/>
          <w:spacing w:val="4"/>
          <w:sz w:val="24"/>
          <w:szCs w:val="24"/>
        </w:rPr>
        <w:t xml:space="preserve"> </w:t>
      </w:r>
      <w:r>
        <w:rPr>
          <w:rFonts w:ascii="Arial" w:hAnsi="Arial" w:cs="Arial"/>
          <w:spacing w:val="3"/>
          <w:sz w:val="24"/>
          <w:szCs w:val="24"/>
        </w:rPr>
        <w:t>t</w:t>
      </w:r>
      <w:r>
        <w:rPr>
          <w:rFonts w:ascii="Arial" w:hAnsi="Arial" w:cs="Arial"/>
          <w:spacing w:val="2"/>
          <w:sz w:val="24"/>
          <w:szCs w:val="24"/>
        </w:rPr>
        <w:t>ou</w:t>
      </w:r>
      <w:r>
        <w:rPr>
          <w:rFonts w:ascii="Arial" w:hAnsi="Arial" w:cs="Arial"/>
          <w:spacing w:val="3"/>
          <w:sz w:val="24"/>
          <w:szCs w:val="24"/>
        </w:rPr>
        <w:t>t</w:t>
      </w:r>
      <w:r>
        <w:rPr>
          <w:rFonts w:ascii="Arial" w:hAnsi="Arial" w:cs="Arial"/>
          <w:spacing w:val="2"/>
          <w:sz w:val="24"/>
          <w:szCs w:val="24"/>
        </w:rPr>
        <w:t>e</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2"/>
          <w:sz w:val="24"/>
          <w:szCs w:val="24"/>
        </w:rPr>
        <w:t>eu</w:t>
      </w:r>
      <w:r>
        <w:rPr>
          <w:rFonts w:ascii="Arial" w:hAnsi="Arial" w:cs="Arial"/>
          <w:sz w:val="24"/>
          <w:szCs w:val="24"/>
        </w:rPr>
        <w:t>x</w:t>
      </w:r>
      <w:r>
        <w:rPr>
          <w:rFonts w:ascii="Arial" w:hAnsi="Arial" w:cs="Arial"/>
          <w:spacing w:val="7"/>
          <w:sz w:val="24"/>
          <w:szCs w:val="24"/>
        </w:rPr>
        <w:t xml:space="preserve"> </w:t>
      </w:r>
      <w:r>
        <w:rPr>
          <w:rFonts w:ascii="Arial" w:hAnsi="Arial" w:cs="Arial"/>
          <w:spacing w:val="3"/>
          <w:sz w:val="24"/>
          <w:szCs w:val="24"/>
        </w:rPr>
        <w:t>a</w:t>
      </w:r>
      <w:r>
        <w:rPr>
          <w:rFonts w:ascii="Arial" w:hAnsi="Arial" w:cs="Arial"/>
          <w:spacing w:val="1"/>
          <w:sz w:val="24"/>
          <w:szCs w:val="24"/>
        </w:rPr>
        <w:t>v</w:t>
      </w:r>
      <w:r>
        <w:rPr>
          <w:rFonts w:ascii="Arial" w:hAnsi="Arial" w:cs="Arial"/>
          <w:spacing w:val="2"/>
          <w:sz w:val="24"/>
          <w:szCs w:val="24"/>
        </w:rPr>
        <w:t>o</w:t>
      </w:r>
      <w:r>
        <w:rPr>
          <w:rFonts w:ascii="Arial" w:hAnsi="Arial" w:cs="Arial"/>
          <w:spacing w:val="4"/>
          <w:sz w:val="24"/>
          <w:szCs w:val="24"/>
        </w:rPr>
        <w:t>i</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2"/>
          <w:sz w:val="24"/>
          <w:szCs w:val="24"/>
        </w:rPr>
        <w:t>ou</w:t>
      </w:r>
      <w:r>
        <w:rPr>
          <w:rFonts w:ascii="Arial" w:hAnsi="Arial" w:cs="Arial"/>
          <w:sz w:val="24"/>
          <w:szCs w:val="24"/>
        </w:rPr>
        <w:t>r</w:t>
      </w:r>
      <w:r>
        <w:rPr>
          <w:rFonts w:ascii="Arial" w:hAnsi="Arial" w:cs="Arial"/>
          <w:spacing w:val="6"/>
          <w:sz w:val="24"/>
          <w:szCs w:val="24"/>
        </w:rPr>
        <w:t xml:space="preserve"> </w:t>
      </w:r>
      <w:r>
        <w:rPr>
          <w:rFonts w:ascii="Arial" w:hAnsi="Arial" w:cs="Arial"/>
          <w:spacing w:val="2"/>
          <w:sz w:val="24"/>
          <w:szCs w:val="24"/>
        </w:rPr>
        <w:t>effe</w:t>
      </w:r>
      <w:r>
        <w:rPr>
          <w:rFonts w:ascii="Arial" w:hAnsi="Arial" w:cs="Arial"/>
          <w:sz w:val="24"/>
          <w:szCs w:val="24"/>
        </w:rPr>
        <w:t xml:space="preserve">t </w:t>
      </w:r>
      <w:r>
        <w:rPr>
          <w:rFonts w:ascii="Arial" w:hAnsi="Arial" w:cs="Arial"/>
          <w:spacing w:val="1"/>
          <w:sz w:val="24"/>
          <w:szCs w:val="24"/>
        </w:rPr>
        <w:t>d’</w:t>
      </w:r>
      <w:r>
        <w:rPr>
          <w:rFonts w:ascii="Arial" w:hAnsi="Arial" w:cs="Arial"/>
          <w:spacing w:val="3"/>
          <w:sz w:val="24"/>
          <w:szCs w:val="24"/>
        </w:rPr>
        <w:t>a</w:t>
      </w:r>
      <w:r>
        <w:rPr>
          <w:rFonts w:ascii="Arial" w:hAnsi="Arial" w:cs="Arial"/>
          <w:spacing w:val="2"/>
          <w:sz w:val="24"/>
          <w:szCs w:val="24"/>
        </w:rPr>
        <w:t>ccro</w:t>
      </w:r>
      <w:r>
        <w:rPr>
          <w:rFonts w:ascii="Arial" w:hAnsi="Arial" w:cs="Arial"/>
          <w:spacing w:val="4"/>
          <w:sz w:val="24"/>
          <w:szCs w:val="24"/>
        </w:rPr>
        <w:t>î</w:t>
      </w:r>
      <w:r>
        <w:rPr>
          <w:rFonts w:ascii="Arial" w:hAnsi="Arial" w:cs="Arial"/>
          <w:spacing w:val="3"/>
          <w:sz w:val="24"/>
          <w:szCs w:val="24"/>
        </w:rPr>
        <w:t>t</w:t>
      </w:r>
      <w:r>
        <w:rPr>
          <w:rFonts w:ascii="Arial" w:hAnsi="Arial" w:cs="Arial"/>
          <w:spacing w:val="2"/>
          <w:sz w:val="24"/>
          <w:szCs w:val="24"/>
        </w:rPr>
        <w:t>r</w:t>
      </w:r>
      <w:r>
        <w:rPr>
          <w:rFonts w:ascii="Arial" w:hAnsi="Arial" w:cs="Arial"/>
          <w:sz w:val="24"/>
          <w:szCs w:val="24"/>
        </w:rPr>
        <w:t>e</w:t>
      </w:r>
      <w:r>
        <w:rPr>
          <w:rFonts w:ascii="Arial" w:hAnsi="Arial" w:cs="Arial"/>
          <w:spacing w:val="64"/>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2"/>
          <w:sz w:val="24"/>
          <w:szCs w:val="24"/>
        </w:rPr>
        <w:t>ro</w:t>
      </w:r>
      <w:r>
        <w:rPr>
          <w:rFonts w:ascii="Arial" w:hAnsi="Arial" w:cs="Arial"/>
          <w:spacing w:val="1"/>
          <w:sz w:val="24"/>
          <w:szCs w:val="24"/>
        </w:rPr>
        <w:t>d</w:t>
      </w:r>
      <w:r>
        <w:rPr>
          <w:rFonts w:ascii="Arial" w:hAnsi="Arial" w:cs="Arial"/>
          <w:spacing w:val="2"/>
          <w:sz w:val="24"/>
          <w:szCs w:val="24"/>
        </w:rPr>
        <w:t>uc</w:t>
      </w:r>
      <w:r>
        <w:rPr>
          <w:rFonts w:ascii="Arial" w:hAnsi="Arial" w:cs="Arial"/>
          <w:spacing w:val="3"/>
          <w:sz w:val="24"/>
          <w:szCs w:val="24"/>
        </w:rPr>
        <w:t>t</w:t>
      </w:r>
      <w:r>
        <w:rPr>
          <w:rFonts w:ascii="Arial" w:hAnsi="Arial" w:cs="Arial"/>
          <w:spacing w:val="4"/>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63"/>
          <w:sz w:val="24"/>
          <w:szCs w:val="24"/>
        </w:rPr>
        <w:t xml:space="preserve"> </w:t>
      </w:r>
      <w:r>
        <w:rPr>
          <w:rFonts w:ascii="Arial" w:hAnsi="Arial" w:cs="Arial"/>
          <w:spacing w:val="4"/>
          <w:sz w:val="24"/>
          <w:szCs w:val="24"/>
        </w:rPr>
        <w:t>i</w:t>
      </w:r>
      <w:r>
        <w:rPr>
          <w:rFonts w:ascii="Arial" w:hAnsi="Arial" w:cs="Arial"/>
          <w:spacing w:val="2"/>
          <w:sz w:val="24"/>
          <w:szCs w:val="24"/>
        </w:rPr>
        <w:t>n</w:t>
      </w:r>
      <w:r>
        <w:rPr>
          <w:rFonts w:ascii="Arial" w:hAnsi="Arial" w:cs="Arial"/>
          <w:spacing w:val="3"/>
          <w:sz w:val="24"/>
          <w:szCs w:val="24"/>
        </w:rPr>
        <w:t>t</w:t>
      </w:r>
      <w:r>
        <w:rPr>
          <w:rFonts w:ascii="Arial" w:hAnsi="Arial" w:cs="Arial"/>
          <w:spacing w:val="2"/>
          <w:sz w:val="24"/>
          <w:szCs w:val="24"/>
        </w:rPr>
        <w:t>é</w:t>
      </w:r>
      <w:r>
        <w:rPr>
          <w:rFonts w:ascii="Arial" w:hAnsi="Arial" w:cs="Arial"/>
          <w:spacing w:val="-1"/>
          <w:sz w:val="24"/>
          <w:szCs w:val="24"/>
        </w:rPr>
        <w:t>r</w:t>
      </w:r>
      <w:r>
        <w:rPr>
          <w:rFonts w:ascii="Arial" w:hAnsi="Arial" w:cs="Arial"/>
          <w:spacing w:val="4"/>
          <w:sz w:val="24"/>
          <w:szCs w:val="24"/>
        </w:rPr>
        <w:t>i</w:t>
      </w:r>
      <w:r>
        <w:rPr>
          <w:rFonts w:ascii="Arial" w:hAnsi="Arial" w:cs="Arial"/>
          <w:spacing w:val="2"/>
          <w:sz w:val="24"/>
          <w:szCs w:val="24"/>
        </w:rPr>
        <w:t>eur</w:t>
      </w:r>
      <w:r>
        <w:rPr>
          <w:rFonts w:ascii="Arial" w:hAnsi="Arial" w:cs="Arial"/>
          <w:sz w:val="24"/>
          <w:szCs w:val="24"/>
        </w:rPr>
        <w:t xml:space="preserve">e </w:t>
      </w:r>
      <w:r>
        <w:rPr>
          <w:rFonts w:ascii="Arial" w:hAnsi="Arial" w:cs="Arial"/>
          <w:spacing w:val="2"/>
          <w:sz w:val="24"/>
          <w:szCs w:val="24"/>
        </w:rPr>
        <w:t>e</w:t>
      </w:r>
      <w:r>
        <w:rPr>
          <w:rFonts w:ascii="Arial" w:hAnsi="Arial" w:cs="Arial"/>
          <w:sz w:val="24"/>
          <w:szCs w:val="24"/>
        </w:rPr>
        <w:t xml:space="preserve">t </w:t>
      </w:r>
      <w:r>
        <w:rPr>
          <w:rFonts w:ascii="Arial" w:hAnsi="Arial" w:cs="Arial"/>
          <w:spacing w:val="1"/>
          <w:sz w:val="24"/>
          <w:szCs w:val="24"/>
        </w:rPr>
        <w:t>l</w:t>
      </w:r>
      <w:r>
        <w:rPr>
          <w:rFonts w:ascii="Arial" w:hAnsi="Arial" w:cs="Arial"/>
          <w:spacing w:val="-2"/>
          <w:sz w:val="24"/>
          <w:szCs w:val="24"/>
        </w:rPr>
        <w:t>e</w:t>
      </w:r>
      <w:r>
        <w:rPr>
          <w:rFonts w:ascii="Arial" w:hAnsi="Arial" w:cs="Arial"/>
          <w:sz w:val="24"/>
          <w:szCs w:val="24"/>
        </w:rPr>
        <w:t>s</w:t>
      </w:r>
      <w:r>
        <w:rPr>
          <w:rFonts w:ascii="Arial" w:hAnsi="Arial" w:cs="Arial"/>
          <w:spacing w:val="65"/>
          <w:sz w:val="24"/>
          <w:szCs w:val="24"/>
        </w:rPr>
        <w:t xml:space="preserve"> </w:t>
      </w:r>
      <w:r>
        <w:rPr>
          <w:rFonts w:ascii="Arial" w:hAnsi="Arial" w:cs="Arial"/>
          <w:sz w:val="24"/>
          <w:szCs w:val="24"/>
        </w:rPr>
        <w:lastRenderedPageBreak/>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w:t>
      </w:r>
      <w:r>
        <w:rPr>
          <w:rFonts w:ascii="Arial" w:hAnsi="Arial" w:cs="Arial"/>
          <w:spacing w:val="58"/>
          <w:sz w:val="24"/>
          <w:szCs w:val="24"/>
        </w:rPr>
        <w:t xml:space="preserve"> </w:t>
      </w:r>
      <w:r>
        <w:rPr>
          <w:rFonts w:ascii="Arial" w:hAnsi="Arial" w:cs="Arial"/>
          <w:sz w:val="24"/>
          <w:szCs w:val="24"/>
        </w:rPr>
        <w:t>m</w:t>
      </w:r>
      <w:r>
        <w:rPr>
          <w:rFonts w:ascii="Arial" w:hAnsi="Arial" w:cs="Arial"/>
          <w:spacing w:val="1"/>
          <w:sz w:val="24"/>
          <w:szCs w:val="24"/>
        </w:rPr>
        <w:t>ai</w:t>
      </w:r>
      <w:r>
        <w:rPr>
          <w:rFonts w:ascii="Arial" w:hAnsi="Arial" w:cs="Arial"/>
          <w:sz w:val="24"/>
          <w:szCs w:val="24"/>
        </w:rPr>
        <w:t>s</w:t>
      </w:r>
      <w:r>
        <w:rPr>
          <w:rFonts w:ascii="Arial" w:hAnsi="Arial" w:cs="Arial"/>
          <w:spacing w:val="63"/>
          <w:sz w:val="24"/>
          <w:szCs w:val="24"/>
        </w:rPr>
        <w:t xml:space="preserve"> </w:t>
      </w:r>
      <w:r>
        <w:rPr>
          <w:rFonts w:ascii="Arial" w:hAnsi="Arial" w:cs="Arial"/>
          <w:sz w:val="24"/>
          <w:szCs w:val="24"/>
        </w:rPr>
        <w:t>e</w:t>
      </w:r>
      <w:r>
        <w:rPr>
          <w:rFonts w:ascii="Arial" w:hAnsi="Arial" w:cs="Arial"/>
          <w:spacing w:val="1"/>
          <w:sz w:val="24"/>
          <w:szCs w:val="24"/>
        </w:rPr>
        <w:t>ll</w:t>
      </w:r>
      <w:r>
        <w:rPr>
          <w:rFonts w:ascii="Arial" w:hAnsi="Arial" w:cs="Arial"/>
          <w:sz w:val="24"/>
          <w:szCs w:val="24"/>
        </w:rPr>
        <w:t>es</w:t>
      </w:r>
      <w:r>
        <w:rPr>
          <w:rFonts w:ascii="Arial" w:hAnsi="Arial" w:cs="Arial"/>
          <w:spacing w:val="6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ff</w:t>
      </w:r>
      <w:r>
        <w:rPr>
          <w:rFonts w:ascii="Arial" w:hAnsi="Arial" w:cs="Arial"/>
          <w:sz w:val="24"/>
          <w:szCs w:val="24"/>
        </w:rPr>
        <w:t>è</w:t>
      </w:r>
      <w:r>
        <w:rPr>
          <w:rFonts w:ascii="Arial" w:hAnsi="Arial" w:cs="Arial"/>
          <w:spacing w:val="-1"/>
          <w:sz w:val="24"/>
          <w:szCs w:val="24"/>
        </w:rPr>
        <w:t>r</w:t>
      </w:r>
      <w:r>
        <w:rPr>
          <w:rFonts w:ascii="Arial" w:hAnsi="Arial" w:cs="Arial"/>
          <w:sz w:val="24"/>
          <w:szCs w:val="24"/>
        </w:rPr>
        <w:t xml:space="preserve">ent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z w:val="24"/>
          <w:szCs w:val="24"/>
        </w:rPr>
        <w:t>nt</w:t>
      </w:r>
      <w:r>
        <w:rPr>
          <w:rFonts w:ascii="Arial" w:hAnsi="Arial" w:cs="Arial"/>
          <w:spacing w:val="1"/>
          <w:sz w:val="24"/>
          <w:szCs w:val="24"/>
        </w:rPr>
        <w:t xml:space="preserve"> </w:t>
      </w:r>
      <w:r>
        <w:rPr>
          <w:rFonts w:ascii="Arial" w:hAnsi="Arial" w:cs="Arial"/>
          <w:sz w:val="24"/>
          <w:szCs w:val="24"/>
        </w:rPr>
        <w:t>à</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eu</w:t>
      </w:r>
      <w:r>
        <w:rPr>
          <w:rFonts w:ascii="Arial" w:hAnsi="Arial" w:cs="Arial"/>
          <w:spacing w:val="-1"/>
          <w:sz w:val="24"/>
          <w:szCs w:val="24"/>
        </w:rPr>
        <w:t>r</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ff</w:t>
      </w:r>
      <w:r>
        <w:rPr>
          <w:rFonts w:ascii="Arial" w:hAnsi="Arial" w:cs="Arial"/>
          <w:sz w:val="24"/>
          <w:szCs w:val="24"/>
        </w:rPr>
        <w:t>ets</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x</w:t>
      </w:r>
      <w:r>
        <w:rPr>
          <w:rFonts w:ascii="Arial" w:hAnsi="Arial" w:cs="Arial"/>
          <w:spacing w:val="3"/>
          <w:sz w:val="24"/>
          <w:szCs w:val="24"/>
        </w:rPr>
        <w:t xml:space="preserve"> </w:t>
      </w:r>
      <w:r>
        <w:rPr>
          <w:rFonts w:ascii="Arial" w:hAnsi="Arial" w:cs="Arial"/>
          <w:spacing w:val="1"/>
          <w:sz w:val="24"/>
          <w:szCs w:val="24"/>
        </w:rPr>
        <w:t>i</w:t>
      </w:r>
      <w:r>
        <w:rPr>
          <w:rFonts w:ascii="Arial" w:hAnsi="Arial" w:cs="Arial"/>
          <w:sz w:val="24"/>
          <w:szCs w:val="24"/>
        </w:rPr>
        <w:t>nté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2"/>
          <w:sz w:val="24"/>
          <w:szCs w:val="24"/>
        </w:rPr>
        <w:t>u</w:t>
      </w:r>
      <w:r>
        <w:rPr>
          <w:rFonts w:ascii="Arial" w:hAnsi="Arial" w:cs="Arial"/>
          <w:spacing w:val="-1"/>
          <w:sz w:val="24"/>
          <w:szCs w:val="24"/>
        </w:rPr>
        <w:t>rs</w:t>
      </w:r>
      <w:r>
        <w:rPr>
          <w:rFonts w:ascii="Arial" w:hAnsi="Arial" w:cs="Arial"/>
          <w:sz w:val="24"/>
          <w:szCs w:val="24"/>
        </w:rPr>
        <w:t>.</w:t>
      </w:r>
      <w:r>
        <w:rPr>
          <w:rFonts w:ascii="Arial" w:hAnsi="Arial" w:cs="Arial"/>
          <w:spacing w:val="1"/>
          <w:sz w:val="24"/>
          <w:szCs w:val="24"/>
        </w:rPr>
        <w:t xml:space="preserve"> 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x</w:t>
      </w:r>
      <w:r>
        <w:rPr>
          <w:rFonts w:ascii="Arial" w:hAnsi="Arial" w:cs="Arial"/>
          <w:spacing w:val="3"/>
          <w:sz w:val="24"/>
          <w:szCs w:val="24"/>
        </w:rPr>
        <w:t xml:space="preserve"> </w:t>
      </w:r>
      <w:r>
        <w:rPr>
          <w:rFonts w:ascii="Arial" w:hAnsi="Arial" w:cs="Arial"/>
          <w:spacing w:val="1"/>
          <w:sz w:val="24"/>
          <w:szCs w:val="24"/>
        </w:rPr>
        <w:t>i</w:t>
      </w:r>
      <w:r>
        <w:rPr>
          <w:rFonts w:ascii="Arial" w:hAnsi="Arial" w:cs="Arial"/>
          <w:sz w:val="24"/>
          <w:szCs w:val="24"/>
        </w:rPr>
        <w:t>nté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s ne</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w:t>
      </w:r>
      <w:r>
        <w:rPr>
          <w:rFonts w:ascii="Arial" w:hAnsi="Arial" w:cs="Arial"/>
          <w:spacing w:val="-1"/>
          <w:sz w:val="24"/>
          <w:szCs w:val="24"/>
        </w:rPr>
        <w:t>f</w:t>
      </w:r>
      <w:r>
        <w:rPr>
          <w:rFonts w:ascii="Arial" w:hAnsi="Arial" w:cs="Arial"/>
          <w:spacing w:val="2"/>
          <w:sz w:val="24"/>
          <w:szCs w:val="24"/>
        </w:rPr>
        <w:t>fe</w:t>
      </w:r>
      <w:r>
        <w:rPr>
          <w:rFonts w:ascii="Arial" w:hAnsi="Arial" w:cs="Arial"/>
          <w:spacing w:val="-1"/>
          <w:sz w:val="24"/>
          <w:szCs w:val="24"/>
        </w:rPr>
        <w:t>c</w:t>
      </w:r>
      <w:r>
        <w:rPr>
          <w:rFonts w:ascii="Arial" w:hAnsi="Arial" w:cs="Arial"/>
          <w:sz w:val="24"/>
          <w:szCs w:val="24"/>
        </w:rPr>
        <w:t>t</w:t>
      </w:r>
      <w:r>
        <w:rPr>
          <w:rFonts w:ascii="Arial" w:hAnsi="Arial" w:cs="Arial"/>
          <w:spacing w:val="2"/>
          <w:sz w:val="24"/>
          <w:szCs w:val="24"/>
        </w:rPr>
        <w:t>é</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3"/>
          <w:sz w:val="24"/>
          <w:szCs w:val="24"/>
        </w:rPr>
        <w:t>a</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l</w:t>
      </w:r>
      <w:r>
        <w:rPr>
          <w:rFonts w:ascii="Arial" w:hAnsi="Arial" w:cs="Arial"/>
          <w:spacing w:val="2"/>
          <w:sz w:val="24"/>
          <w:szCs w:val="24"/>
        </w:rPr>
        <w:t>e</w:t>
      </w:r>
      <w:r>
        <w:rPr>
          <w:rFonts w:ascii="Arial" w:hAnsi="Arial" w:cs="Arial"/>
          <w:sz w:val="24"/>
          <w:szCs w:val="24"/>
        </w:rPr>
        <w:t>s</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w:t>
      </w:r>
      <w:r>
        <w:rPr>
          <w:rFonts w:ascii="Arial" w:hAnsi="Arial" w:cs="Arial"/>
          <w:spacing w:val="3"/>
          <w:sz w:val="24"/>
          <w:szCs w:val="24"/>
        </w:rPr>
        <w:t>v</w:t>
      </w:r>
      <w:r>
        <w:rPr>
          <w:rFonts w:ascii="Arial" w:hAnsi="Arial" w:cs="Arial"/>
          <w:spacing w:val="2"/>
          <w:sz w:val="24"/>
          <w:szCs w:val="24"/>
        </w:rPr>
        <w:t>e</w:t>
      </w:r>
      <w:r>
        <w:rPr>
          <w:rFonts w:ascii="Arial" w:hAnsi="Arial" w:cs="Arial"/>
          <w:sz w:val="24"/>
          <w:szCs w:val="24"/>
        </w:rPr>
        <w:t>nt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 xml:space="preserve">ns </w:t>
      </w:r>
      <w:r>
        <w:rPr>
          <w:rFonts w:ascii="Arial" w:hAnsi="Arial" w:cs="Arial"/>
          <w:spacing w:val="3"/>
          <w:sz w:val="24"/>
          <w:szCs w:val="24"/>
        </w:rPr>
        <w:t>a</w:t>
      </w:r>
      <w:r>
        <w:rPr>
          <w:rFonts w:ascii="Arial" w:hAnsi="Arial" w:cs="Arial"/>
          <w:sz w:val="24"/>
          <w:szCs w:val="24"/>
        </w:rPr>
        <w:t>ux</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2"/>
          <w:sz w:val="24"/>
          <w:szCs w:val="24"/>
        </w:rPr>
        <w:t>c</w:t>
      </w:r>
      <w:r>
        <w:rPr>
          <w:rFonts w:ascii="Arial" w:hAnsi="Arial" w:cs="Arial"/>
          <w:sz w:val="24"/>
          <w:szCs w:val="24"/>
        </w:rPr>
        <w:t>t</w:t>
      </w:r>
      <w:r>
        <w:rPr>
          <w:rFonts w:ascii="Arial" w:hAnsi="Arial" w:cs="Arial"/>
          <w:spacing w:val="2"/>
          <w:sz w:val="24"/>
          <w:szCs w:val="24"/>
        </w:rPr>
        <w:t>eur</w:t>
      </w:r>
      <w:r>
        <w:rPr>
          <w:rFonts w:ascii="Arial" w:hAnsi="Arial" w:cs="Arial"/>
          <w:spacing w:val="-1"/>
          <w:sz w:val="24"/>
          <w:szCs w:val="24"/>
        </w:rPr>
        <w:t>s</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4"/>
          <w:sz w:val="24"/>
          <w:szCs w:val="24"/>
        </w:rPr>
        <w:t>i</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il</w:t>
      </w:r>
      <w:r>
        <w:rPr>
          <w:rFonts w:ascii="Arial" w:hAnsi="Arial" w:cs="Arial"/>
          <w:sz w:val="24"/>
          <w:szCs w:val="24"/>
        </w:rPr>
        <w:t>s</w:t>
      </w:r>
      <w:r>
        <w:rPr>
          <w:rFonts w:ascii="Arial" w:hAnsi="Arial" w:cs="Arial"/>
          <w:spacing w:val="6"/>
          <w:sz w:val="24"/>
          <w:szCs w:val="24"/>
        </w:rPr>
        <w:t xml:space="preserve"> </w:t>
      </w:r>
      <w:r>
        <w:rPr>
          <w:rFonts w:ascii="Arial" w:hAnsi="Arial" w:cs="Arial"/>
          <w:spacing w:val="3"/>
          <w:sz w:val="24"/>
          <w:szCs w:val="24"/>
        </w:rPr>
        <w:t>a</w:t>
      </w:r>
      <w:r>
        <w:rPr>
          <w:rFonts w:ascii="Arial" w:hAnsi="Arial" w:cs="Arial"/>
          <w:sz w:val="24"/>
          <w:szCs w:val="24"/>
        </w:rPr>
        <w:t>u</w:t>
      </w:r>
      <w:r>
        <w:rPr>
          <w:rFonts w:ascii="Arial" w:hAnsi="Arial" w:cs="Arial"/>
          <w:spacing w:val="1"/>
          <w:sz w:val="24"/>
          <w:szCs w:val="24"/>
        </w:rPr>
        <w:t>g</w:t>
      </w:r>
      <w:r>
        <w:rPr>
          <w:rFonts w:ascii="Arial" w:hAnsi="Arial" w:cs="Arial"/>
          <w:spacing w:val="3"/>
          <w:sz w:val="24"/>
          <w:szCs w:val="24"/>
        </w:rPr>
        <w:t>m</w:t>
      </w:r>
      <w:r>
        <w:rPr>
          <w:rFonts w:ascii="Arial" w:hAnsi="Arial" w:cs="Arial"/>
          <w:sz w:val="24"/>
          <w:szCs w:val="24"/>
        </w:rPr>
        <w:t>e</w:t>
      </w:r>
      <w:r>
        <w:rPr>
          <w:rFonts w:ascii="Arial" w:hAnsi="Arial" w:cs="Arial"/>
          <w:spacing w:val="2"/>
          <w:sz w:val="24"/>
          <w:szCs w:val="24"/>
        </w:rPr>
        <w:t>n</w:t>
      </w:r>
      <w:r>
        <w:rPr>
          <w:rFonts w:ascii="Arial" w:hAnsi="Arial" w:cs="Arial"/>
          <w:spacing w:val="3"/>
          <w:sz w:val="24"/>
          <w:szCs w:val="24"/>
        </w:rPr>
        <w:t>t</w:t>
      </w:r>
      <w:r>
        <w:rPr>
          <w:rFonts w:ascii="Arial" w:hAnsi="Arial" w:cs="Arial"/>
          <w:sz w:val="24"/>
          <w:szCs w:val="24"/>
        </w:rPr>
        <w:t xml:space="preserve">ent </w:t>
      </w:r>
      <w:r>
        <w:rPr>
          <w:rFonts w:ascii="Arial" w:hAnsi="Arial" w:cs="Arial"/>
          <w:spacing w:val="-1"/>
          <w:sz w:val="24"/>
          <w:szCs w:val="24"/>
        </w:rPr>
        <w:t>d</w:t>
      </w:r>
      <w:r>
        <w:rPr>
          <w:rFonts w:ascii="Arial" w:hAnsi="Arial" w:cs="Arial"/>
          <w:spacing w:val="3"/>
          <w:sz w:val="24"/>
          <w:szCs w:val="24"/>
        </w:rPr>
        <w:t>a</w:t>
      </w:r>
      <w:r>
        <w:rPr>
          <w:rFonts w:ascii="Arial" w:hAnsi="Arial" w:cs="Arial"/>
          <w:sz w:val="24"/>
          <w:szCs w:val="24"/>
        </w:rPr>
        <w:t>ns</w:t>
      </w:r>
      <w:r>
        <w:rPr>
          <w:rFonts w:ascii="Arial" w:hAnsi="Arial" w:cs="Arial"/>
          <w:spacing w:val="3"/>
          <w:sz w:val="24"/>
          <w:szCs w:val="24"/>
        </w:rPr>
        <w:t xml:space="preserve"> </w:t>
      </w:r>
      <w:r>
        <w:rPr>
          <w:rFonts w:ascii="Arial" w:hAnsi="Arial" w:cs="Arial"/>
          <w:spacing w:val="4"/>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s</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pacing w:val="1"/>
          <w:sz w:val="24"/>
          <w:szCs w:val="24"/>
        </w:rPr>
        <w:t>bv</w:t>
      </w:r>
      <w:r>
        <w:rPr>
          <w:rFonts w:ascii="Arial" w:hAnsi="Arial" w:cs="Arial"/>
          <w:spacing w:val="2"/>
          <w:sz w:val="24"/>
          <w:szCs w:val="24"/>
        </w:rPr>
        <w:t>e</w:t>
      </w:r>
      <w:r>
        <w:rPr>
          <w:rFonts w:ascii="Arial" w:hAnsi="Arial" w:cs="Arial"/>
          <w:sz w:val="24"/>
          <w:szCs w:val="24"/>
        </w:rPr>
        <w:t>nt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ns</w:t>
      </w:r>
      <w:r>
        <w:rPr>
          <w:rFonts w:ascii="Arial" w:hAnsi="Arial" w:cs="Arial"/>
          <w:spacing w:val="4"/>
          <w:sz w:val="24"/>
          <w:szCs w:val="24"/>
        </w:rPr>
        <w:t xml:space="preserve"> </w:t>
      </w:r>
      <w:r>
        <w:rPr>
          <w:rFonts w:ascii="Arial" w:hAnsi="Arial" w:cs="Arial"/>
          <w:sz w:val="24"/>
          <w:szCs w:val="24"/>
        </w:rPr>
        <w:t>à</w:t>
      </w:r>
      <w:r>
        <w:rPr>
          <w:rFonts w:ascii="Arial" w:hAnsi="Arial" w:cs="Arial"/>
          <w:spacing w:val="8"/>
          <w:sz w:val="24"/>
          <w:szCs w:val="24"/>
        </w:rPr>
        <w:t xml:space="preserve"> </w:t>
      </w:r>
      <w:r>
        <w:rPr>
          <w:rFonts w:ascii="Arial" w:hAnsi="Arial" w:cs="Arial"/>
          <w:spacing w:val="4"/>
          <w:sz w:val="24"/>
          <w:szCs w:val="24"/>
        </w:rPr>
        <w:t>l</w:t>
      </w:r>
      <w:r>
        <w:rPr>
          <w:rFonts w:ascii="Arial" w:hAnsi="Arial" w:cs="Arial"/>
          <w:spacing w:val="-1"/>
          <w:sz w:val="24"/>
          <w:szCs w:val="24"/>
        </w:rPr>
        <w:t>’</w:t>
      </w:r>
      <w:r>
        <w:rPr>
          <w:rFonts w:ascii="Arial" w:hAnsi="Arial" w:cs="Arial"/>
          <w:spacing w:val="2"/>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2"/>
          <w:sz w:val="24"/>
          <w:szCs w:val="24"/>
        </w:rPr>
        <w:t>or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 xml:space="preserve">n </w:t>
      </w:r>
      <w:r>
        <w:rPr>
          <w:rFonts w:ascii="Arial" w:hAnsi="Arial" w:cs="Arial"/>
          <w:spacing w:val="2"/>
          <w:sz w:val="24"/>
          <w:szCs w:val="24"/>
        </w:rPr>
        <w:t>s</w:t>
      </w:r>
      <w:r>
        <w:rPr>
          <w:rFonts w:ascii="Arial" w:hAnsi="Arial" w:cs="Arial"/>
          <w:spacing w:val="1"/>
          <w:sz w:val="24"/>
          <w:szCs w:val="24"/>
        </w:rPr>
        <w:t>’</w:t>
      </w:r>
      <w:r>
        <w:rPr>
          <w:rFonts w:ascii="Arial" w:hAnsi="Arial" w:cs="Arial"/>
          <w:spacing w:val="4"/>
          <w:sz w:val="24"/>
          <w:szCs w:val="24"/>
        </w:rPr>
        <w:t>i</w:t>
      </w:r>
      <w:r>
        <w:rPr>
          <w:rFonts w:ascii="Arial" w:hAnsi="Arial" w:cs="Arial"/>
          <w:sz w:val="24"/>
          <w:szCs w:val="24"/>
        </w:rPr>
        <w:t>l</w:t>
      </w:r>
      <w:r>
        <w:rPr>
          <w:rFonts w:ascii="Arial" w:hAnsi="Arial" w:cs="Arial"/>
          <w:spacing w:val="13"/>
          <w:sz w:val="24"/>
          <w:szCs w:val="24"/>
        </w:rPr>
        <w:t xml:space="preserve"> </w:t>
      </w:r>
      <w:r>
        <w:rPr>
          <w:rFonts w:ascii="Arial" w:hAnsi="Arial" w:cs="Arial"/>
          <w:spacing w:val="5"/>
          <w:sz w:val="24"/>
          <w:szCs w:val="24"/>
        </w:rPr>
        <w:t>e</w:t>
      </w:r>
      <w:r>
        <w:rPr>
          <w:rFonts w:ascii="Arial" w:hAnsi="Arial" w:cs="Arial"/>
          <w:spacing w:val="2"/>
          <w:sz w:val="24"/>
          <w:szCs w:val="24"/>
        </w:rPr>
        <w:t>s</w:t>
      </w:r>
      <w:r>
        <w:rPr>
          <w:rFonts w:ascii="Arial" w:hAnsi="Arial" w:cs="Arial"/>
          <w:sz w:val="24"/>
          <w:szCs w:val="24"/>
        </w:rPr>
        <w:t>t</w:t>
      </w:r>
      <w:r>
        <w:rPr>
          <w:rFonts w:ascii="Arial" w:hAnsi="Arial" w:cs="Arial"/>
          <w:spacing w:val="13"/>
          <w:sz w:val="24"/>
          <w:szCs w:val="24"/>
        </w:rPr>
        <w:t xml:space="preserve"> </w:t>
      </w:r>
      <w:r>
        <w:rPr>
          <w:rFonts w:ascii="Arial" w:hAnsi="Arial" w:cs="Arial"/>
          <w:spacing w:val="1"/>
          <w:sz w:val="24"/>
          <w:szCs w:val="24"/>
        </w:rPr>
        <w:t>d</w:t>
      </w:r>
      <w:r>
        <w:rPr>
          <w:rFonts w:ascii="Arial" w:hAnsi="Arial" w:cs="Arial"/>
          <w:spacing w:val="4"/>
          <w:sz w:val="24"/>
          <w:szCs w:val="24"/>
        </w:rPr>
        <w:t>if</w:t>
      </w:r>
      <w:r>
        <w:rPr>
          <w:rFonts w:ascii="Arial" w:hAnsi="Arial" w:cs="Arial"/>
          <w:spacing w:val="2"/>
          <w:sz w:val="24"/>
          <w:szCs w:val="24"/>
        </w:rPr>
        <w:t>f</w:t>
      </w:r>
      <w:r>
        <w:rPr>
          <w:rFonts w:ascii="Arial" w:hAnsi="Arial" w:cs="Arial"/>
          <w:spacing w:val="4"/>
          <w:sz w:val="24"/>
          <w:szCs w:val="24"/>
        </w:rPr>
        <w:t>i</w:t>
      </w:r>
      <w:r>
        <w:rPr>
          <w:rFonts w:ascii="Arial" w:hAnsi="Arial" w:cs="Arial"/>
          <w:spacing w:val="2"/>
          <w:sz w:val="24"/>
          <w:szCs w:val="24"/>
        </w:rPr>
        <w:t>c</w:t>
      </w:r>
      <w:r>
        <w:rPr>
          <w:rFonts w:ascii="Arial" w:hAnsi="Arial" w:cs="Arial"/>
          <w:spacing w:val="4"/>
          <w:sz w:val="24"/>
          <w:szCs w:val="24"/>
        </w:rPr>
        <w:t>il</w:t>
      </w:r>
      <w:r>
        <w:rPr>
          <w:rFonts w:ascii="Arial" w:hAnsi="Arial" w:cs="Arial"/>
          <w:sz w:val="24"/>
          <w:szCs w:val="24"/>
        </w:rPr>
        <w:t>e</w:t>
      </w:r>
      <w:r>
        <w:rPr>
          <w:rFonts w:ascii="Arial" w:hAnsi="Arial" w:cs="Arial"/>
          <w:spacing w:val="9"/>
          <w:sz w:val="24"/>
          <w:szCs w:val="24"/>
        </w:rPr>
        <w:t xml:space="preserve"> </w:t>
      </w:r>
      <w:r>
        <w:rPr>
          <w:rFonts w:ascii="Arial" w:hAnsi="Arial" w:cs="Arial"/>
          <w:spacing w:val="4"/>
          <w:sz w:val="24"/>
          <w:szCs w:val="24"/>
        </w:rPr>
        <w:t>d</w:t>
      </w:r>
      <w:r>
        <w:rPr>
          <w:rFonts w:ascii="Arial" w:hAnsi="Arial" w:cs="Arial"/>
          <w:sz w:val="24"/>
          <w:szCs w:val="24"/>
        </w:rPr>
        <w:t>e</w:t>
      </w:r>
      <w:r>
        <w:rPr>
          <w:rFonts w:ascii="Arial" w:hAnsi="Arial" w:cs="Arial"/>
          <w:spacing w:val="10"/>
          <w:sz w:val="24"/>
          <w:szCs w:val="24"/>
        </w:rPr>
        <w:t xml:space="preserve"> </w:t>
      </w:r>
      <w:r>
        <w:rPr>
          <w:rFonts w:ascii="Arial" w:hAnsi="Arial" w:cs="Arial"/>
          <w:spacing w:val="4"/>
          <w:sz w:val="24"/>
          <w:szCs w:val="24"/>
        </w:rPr>
        <w:t>r</w:t>
      </w:r>
      <w:r>
        <w:rPr>
          <w:rFonts w:ascii="Arial" w:hAnsi="Arial" w:cs="Arial"/>
          <w:spacing w:val="2"/>
          <w:sz w:val="24"/>
          <w:szCs w:val="24"/>
        </w:rPr>
        <w:t>é</w:t>
      </w:r>
      <w:r>
        <w:rPr>
          <w:rFonts w:ascii="Arial" w:hAnsi="Arial" w:cs="Arial"/>
          <w:spacing w:val="4"/>
          <w:sz w:val="24"/>
          <w:szCs w:val="24"/>
        </w:rPr>
        <w:t>i</w:t>
      </w:r>
      <w:r>
        <w:rPr>
          <w:rFonts w:ascii="Arial" w:hAnsi="Arial" w:cs="Arial"/>
          <w:spacing w:val="3"/>
          <w:sz w:val="24"/>
          <w:szCs w:val="24"/>
        </w:rPr>
        <w:t>m</w:t>
      </w:r>
      <w:r>
        <w:rPr>
          <w:rFonts w:ascii="Arial" w:hAnsi="Arial" w:cs="Arial"/>
          <w:spacing w:val="4"/>
          <w:sz w:val="24"/>
          <w:szCs w:val="24"/>
        </w:rPr>
        <w:t>p</w:t>
      </w:r>
      <w:r>
        <w:rPr>
          <w:rFonts w:ascii="Arial" w:hAnsi="Arial" w:cs="Arial"/>
          <w:spacing w:val="2"/>
          <w:sz w:val="24"/>
          <w:szCs w:val="24"/>
        </w:rPr>
        <w:t>or</w:t>
      </w:r>
      <w:r>
        <w:rPr>
          <w:rFonts w:ascii="Arial" w:hAnsi="Arial" w:cs="Arial"/>
          <w:spacing w:val="5"/>
          <w:sz w:val="24"/>
          <w:szCs w:val="24"/>
        </w:rPr>
        <w:t>t</w:t>
      </w:r>
      <w:r>
        <w:rPr>
          <w:rFonts w:ascii="Arial" w:hAnsi="Arial" w:cs="Arial"/>
          <w:spacing w:val="2"/>
          <w:sz w:val="24"/>
          <w:szCs w:val="24"/>
        </w:rPr>
        <w:t>er</w:t>
      </w:r>
      <w:r>
        <w:rPr>
          <w:rFonts w:ascii="Arial" w:hAnsi="Arial" w:cs="Arial"/>
          <w:sz w:val="24"/>
          <w:szCs w:val="24"/>
        </w:rPr>
        <w:t>.</w:t>
      </w:r>
      <w:r>
        <w:rPr>
          <w:rFonts w:ascii="Arial" w:hAnsi="Arial" w:cs="Arial"/>
          <w:spacing w:val="8"/>
          <w:sz w:val="24"/>
          <w:szCs w:val="24"/>
        </w:rPr>
        <w:t xml:space="preserve"> </w:t>
      </w:r>
      <w:r>
        <w:rPr>
          <w:rFonts w:ascii="Arial" w:hAnsi="Arial" w:cs="Arial"/>
          <w:spacing w:val="3"/>
          <w:sz w:val="24"/>
          <w:szCs w:val="24"/>
        </w:rPr>
        <w:t>Da</w:t>
      </w:r>
      <w:r>
        <w:rPr>
          <w:rFonts w:ascii="Arial" w:hAnsi="Arial" w:cs="Arial"/>
          <w:spacing w:val="2"/>
          <w:sz w:val="24"/>
          <w:szCs w:val="24"/>
        </w:rPr>
        <w:t>n</w:t>
      </w:r>
      <w:r>
        <w:rPr>
          <w:rFonts w:ascii="Arial" w:hAnsi="Arial" w:cs="Arial"/>
          <w:sz w:val="24"/>
          <w:szCs w:val="24"/>
        </w:rPr>
        <w:t>s</w:t>
      </w:r>
      <w:r>
        <w:rPr>
          <w:rFonts w:ascii="Arial" w:hAnsi="Arial" w:cs="Arial"/>
          <w:spacing w:val="11"/>
          <w:sz w:val="24"/>
          <w:szCs w:val="24"/>
        </w:rPr>
        <w:t xml:space="preserve"> </w:t>
      </w:r>
      <w:r>
        <w:rPr>
          <w:rFonts w:ascii="Arial" w:hAnsi="Arial" w:cs="Arial"/>
          <w:spacing w:val="4"/>
          <w:sz w:val="24"/>
          <w:szCs w:val="24"/>
        </w:rPr>
        <w:t>l</w:t>
      </w:r>
      <w:r>
        <w:rPr>
          <w:rFonts w:ascii="Arial" w:hAnsi="Arial" w:cs="Arial"/>
          <w:sz w:val="24"/>
          <w:szCs w:val="24"/>
        </w:rPr>
        <w:t>e</w:t>
      </w:r>
      <w:r>
        <w:rPr>
          <w:rFonts w:ascii="Arial" w:hAnsi="Arial" w:cs="Arial"/>
          <w:spacing w:val="14"/>
          <w:sz w:val="24"/>
          <w:szCs w:val="24"/>
        </w:rPr>
        <w:t xml:space="preserve"> </w:t>
      </w:r>
      <w:r>
        <w:rPr>
          <w:rFonts w:ascii="Arial" w:hAnsi="Arial" w:cs="Arial"/>
          <w:spacing w:val="2"/>
          <w:sz w:val="24"/>
          <w:szCs w:val="24"/>
        </w:rPr>
        <w:t>c</w:t>
      </w:r>
      <w:r>
        <w:rPr>
          <w:rFonts w:ascii="Arial" w:hAnsi="Arial" w:cs="Arial"/>
          <w:spacing w:val="3"/>
          <w:sz w:val="24"/>
          <w:szCs w:val="24"/>
        </w:rPr>
        <w:t>a</w:t>
      </w:r>
      <w:r>
        <w:rPr>
          <w:rFonts w:ascii="Arial" w:hAnsi="Arial" w:cs="Arial"/>
          <w:sz w:val="24"/>
          <w:szCs w:val="24"/>
        </w:rPr>
        <w:t>s</w:t>
      </w:r>
      <w:r>
        <w:rPr>
          <w:rFonts w:ascii="Arial" w:hAnsi="Arial" w:cs="Arial"/>
          <w:spacing w:val="14"/>
          <w:sz w:val="24"/>
          <w:szCs w:val="24"/>
        </w:rPr>
        <w:t xml:space="preserve"> </w:t>
      </w:r>
      <w:r>
        <w:rPr>
          <w:rFonts w:ascii="Arial" w:hAnsi="Arial" w:cs="Arial"/>
          <w:spacing w:val="1"/>
          <w:sz w:val="24"/>
          <w:szCs w:val="24"/>
        </w:rPr>
        <w:t>d</w:t>
      </w:r>
      <w:r>
        <w:rPr>
          <w:rFonts w:ascii="Arial" w:hAnsi="Arial" w:cs="Arial"/>
          <w:spacing w:val="5"/>
          <w:sz w:val="24"/>
          <w:szCs w:val="24"/>
        </w:rPr>
        <w:t>e</w:t>
      </w:r>
      <w:r>
        <w:rPr>
          <w:rFonts w:ascii="Arial" w:hAnsi="Arial" w:cs="Arial"/>
          <w:sz w:val="24"/>
          <w:szCs w:val="24"/>
        </w:rPr>
        <w:t xml:space="preserve">s </w:t>
      </w:r>
      <w:r>
        <w:rPr>
          <w:rFonts w:ascii="Arial" w:hAnsi="Arial" w:cs="Arial"/>
          <w:spacing w:val="2"/>
          <w:sz w:val="24"/>
          <w:szCs w:val="24"/>
        </w:rPr>
        <w:t>su</w:t>
      </w:r>
      <w:r>
        <w:rPr>
          <w:rFonts w:ascii="Arial" w:hAnsi="Arial" w:cs="Arial"/>
          <w:spacing w:val="3"/>
          <w:sz w:val="24"/>
          <w:szCs w:val="24"/>
        </w:rPr>
        <w:t>bv</w:t>
      </w:r>
      <w:r>
        <w:rPr>
          <w:rFonts w:ascii="Arial" w:hAnsi="Arial" w:cs="Arial"/>
          <w:spacing w:val="2"/>
          <w:sz w:val="24"/>
          <w:szCs w:val="24"/>
        </w:rPr>
        <w:t>en</w:t>
      </w:r>
      <w:r>
        <w:rPr>
          <w:rFonts w:ascii="Arial" w:hAnsi="Arial" w:cs="Arial"/>
          <w:spacing w:val="3"/>
          <w:sz w:val="24"/>
          <w:szCs w:val="24"/>
        </w:rPr>
        <w:t>t</w:t>
      </w:r>
      <w:r>
        <w:rPr>
          <w:rFonts w:ascii="Arial" w:hAnsi="Arial" w:cs="Arial"/>
          <w:spacing w:val="4"/>
          <w:sz w:val="24"/>
          <w:szCs w:val="24"/>
        </w:rPr>
        <w:t>i</w:t>
      </w:r>
      <w:r>
        <w:rPr>
          <w:rFonts w:ascii="Arial" w:hAnsi="Arial" w:cs="Arial"/>
          <w:spacing w:val="5"/>
          <w:sz w:val="24"/>
          <w:szCs w:val="24"/>
        </w:rPr>
        <w:t>o</w:t>
      </w:r>
      <w:r>
        <w:rPr>
          <w:rFonts w:ascii="Arial" w:hAnsi="Arial" w:cs="Arial"/>
          <w:spacing w:val="2"/>
          <w:sz w:val="24"/>
          <w:szCs w:val="24"/>
        </w:rPr>
        <w:t>n</w:t>
      </w:r>
      <w:r>
        <w:rPr>
          <w:rFonts w:ascii="Arial" w:hAnsi="Arial" w:cs="Arial"/>
          <w:sz w:val="24"/>
          <w:szCs w:val="24"/>
        </w:rPr>
        <w:t>s</w:t>
      </w:r>
      <w:r>
        <w:rPr>
          <w:rFonts w:ascii="Arial" w:hAnsi="Arial" w:cs="Arial"/>
          <w:spacing w:val="45"/>
          <w:sz w:val="24"/>
          <w:szCs w:val="24"/>
        </w:rPr>
        <w:t xml:space="preserve"> </w:t>
      </w:r>
      <w:r>
        <w:rPr>
          <w:rFonts w:ascii="Arial" w:hAnsi="Arial" w:cs="Arial"/>
          <w:sz w:val="24"/>
          <w:szCs w:val="24"/>
        </w:rPr>
        <w:t>à</w:t>
      </w:r>
      <w:r>
        <w:rPr>
          <w:rFonts w:ascii="Arial" w:hAnsi="Arial" w:cs="Arial"/>
          <w:spacing w:val="51"/>
          <w:sz w:val="24"/>
          <w:szCs w:val="24"/>
        </w:rPr>
        <w:t xml:space="preserve"> </w:t>
      </w:r>
      <w:r>
        <w:rPr>
          <w:rFonts w:ascii="Arial" w:hAnsi="Arial" w:cs="Arial"/>
          <w:spacing w:val="6"/>
          <w:sz w:val="24"/>
          <w:szCs w:val="24"/>
        </w:rPr>
        <w:t>l</w:t>
      </w:r>
      <w:r>
        <w:rPr>
          <w:rFonts w:ascii="Arial" w:hAnsi="Arial" w:cs="Arial"/>
          <w:spacing w:val="1"/>
          <w:sz w:val="24"/>
          <w:szCs w:val="24"/>
        </w:rPr>
        <w:t>’</w:t>
      </w:r>
      <w:r>
        <w:rPr>
          <w:rFonts w:ascii="Arial" w:hAnsi="Arial" w:cs="Arial"/>
          <w:spacing w:val="2"/>
          <w:sz w:val="24"/>
          <w:szCs w:val="24"/>
        </w:rPr>
        <w:t>e</w:t>
      </w:r>
      <w:r>
        <w:rPr>
          <w:rFonts w:ascii="Arial" w:hAnsi="Arial" w:cs="Arial"/>
          <w:spacing w:val="6"/>
          <w:sz w:val="24"/>
          <w:szCs w:val="24"/>
        </w:rPr>
        <w:t>x</w:t>
      </w:r>
      <w:r>
        <w:rPr>
          <w:rFonts w:ascii="Arial" w:hAnsi="Arial" w:cs="Arial"/>
          <w:spacing w:val="1"/>
          <w:sz w:val="24"/>
          <w:szCs w:val="24"/>
        </w:rPr>
        <w:t>p</w:t>
      </w:r>
      <w:r>
        <w:rPr>
          <w:rFonts w:ascii="Arial" w:hAnsi="Arial" w:cs="Arial"/>
          <w:spacing w:val="5"/>
          <w:sz w:val="24"/>
          <w:szCs w:val="24"/>
        </w:rPr>
        <w:t>o</w:t>
      </w:r>
      <w:r>
        <w:rPr>
          <w:rFonts w:ascii="Arial" w:hAnsi="Arial" w:cs="Arial"/>
          <w:spacing w:val="2"/>
          <w:sz w:val="24"/>
          <w:szCs w:val="24"/>
        </w:rPr>
        <w:t>r</w:t>
      </w:r>
      <w:r>
        <w:rPr>
          <w:rFonts w:ascii="Arial" w:hAnsi="Arial" w:cs="Arial"/>
          <w:spacing w:val="3"/>
          <w:sz w:val="24"/>
          <w:szCs w:val="24"/>
        </w:rPr>
        <w:t>tat</w:t>
      </w:r>
      <w:r>
        <w:rPr>
          <w:rFonts w:ascii="Arial" w:hAnsi="Arial" w:cs="Arial"/>
          <w:spacing w:val="4"/>
          <w:sz w:val="24"/>
          <w:szCs w:val="24"/>
        </w:rPr>
        <w:t>i</w:t>
      </w:r>
      <w:r>
        <w:rPr>
          <w:rFonts w:ascii="Arial" w:hAnsi="Arial" w:cs="Arial"/>
          <w:spacing w:val="2"/>
          <w:sz w:val="24"/>
          <w:szCs w:val="24"/>
        </w:rPr>
        <w:t>on</w:t>
      </w:r>
      <w:r>
        <w:rPr>
          <w:rFonts w:ascii="Arial" w:hAnsi="Arial" w:cs="Arial"/>
          <w:sz w:val="24"/>
          <w:szCs w:val="24"/>
        </w:rPr>
        <w:t>,</w:t>
      </w:r>
      <w:r>
        <w:rPr>
          <w:rFonts w:ascii="Arial" w:hAnsi="Arial" w:cs="Arial"/>
          <w:spacing w:val="42"/>
          <w:sz w:val="24"/>
          <w:szCs w:val="24"/>
        </w:rPr>
        <w:t xml:space="preserve"> </w:t>
      </w:r>
      <w:r>
        <w:rPr>
          <w:rFonts w:ascii="Arial" w:hAnsi="Arial" w:cs="Arial"/>
          <w:spacing w:val="4"/>
          <w:sz w:val="24"/>
          <w:szCs w:val="24"/>
        </w:rPr>
        <w:t>l</w:t>
      </w:r>
      <w:r>
        <w:rPr>
          <w:rFonts w:ascii="Arial" w:hAnsi="Arial" w:cs="Arial"/>
          <w:sz w:val="24"/>
          <w:szCs w:val="24"/>
        </w:rPr>
        <w:t>e</w:t>
      </w:r>
      <w:r>
        <w:rPr>
          <w:rFonts w:ascii="Arial" w:hAnsi="Arial" w:cs="Arial"/>
          <w:spacing w:val="52"/>
          <w:sz w:val="24"/>
          <w:szCs w:val="24"/>
        </w:rPr>
        <w:t xml:space="preserve"> </w:t>
      </w:r>
      <w:r>
        <w:rPr>
          <w:rFonts w:ascii="Arial" w:hAnsi="Arial" w:cs="Arial"/>
          <w:spacing w:val="2"/>
          <w:sz w:val="24"/>
          <w:szCs w:val="24"/>
        </w:rPr>
        <w:t>co</w:t>
      </w:r>
      <w:r>
        <w:rPr>
          <w:rFonts w:ascii="Arial" w:hAnsi="Arial" w:cs="Arial"/>
          <w:spacing w:val="5"/>
          <w:sz w:val="24"/>
          <w:szCs w:val="24"/>
        </w:rPr>
        <w:t>û</w:t>
      </w:r>
      <w:r>
        <w:rPr>
          <w:rFonts w:ascii="Arial" w:hAnsi="Arial" w:cs="Arial"/>
          <w:sz w:val="24"/>
          <w:szCs w:val="24"/>
        </w:rPr>
        <w:t>t</w:t>
      </w:r>
      <w:r>
        <w:rPr>
          <w:rFonts w:ascii="Arial" w:hAnsi="Arial" w:cs="Arial"/>
          <w:spacing w:val="49"/>
          <w:sz w:val="24"/>
          <w:szCs w:val="24"/>
        </w:rPr>
        <w:t xml:space="preserve"> </w:t>
      </w:r>
      <w:r>
        <w:rPr>
          <w:rFonts w:ascii="Arial" w:hAnsi="Arial" w:cs="Arial"/>
          <w:spacing w:val="4"/>
          <w:sz w:val="24"/>
          <w:szCs w:val="24"/>
        </w:rPr>
        <w:t>p</w:t>
      </w:r>
      <w:r>
        <w:rPr>
          <w:rFonts w:ascii="Arial" w:hAnsi="Arial" w:cs="Arial"/>
          <w:spacing w:val="2"/>
          <w:sz w:val="24"/>
          <w:szCs w:val="24"/>
        </w:rPr>
        <w:t>o</w:t>
      </w:r>
      <w:r>
        <w:rPr>
          <w:rFonts w:ascii="Arial" w:hAnsi="Arial" w:cs="Arial"/>
          <w:spacing w:val="5"/>
          <w:sz w:val="24"/>
          <w:szCs w:val="24"/>
        </w:rPr>
        <w:t>u</w:t>
      </w:r>
      <w:r>
        <w:rPr>
          <w:rFonts w:ascii="Arial" w:hAnsi="Arial" w:cs="Arial"/>
          <w:sz w:val="24"/>
          <w:szCs w:val="24"/>
        </w:rPr>
        <w:t>r</w:t>
      </w:r>
      <w:r>
        <w:rPr>
          <w:rFonts w:ascii="Arial" w:hAnsi="Arial" w:cs="Arial"/>
          <w:spacing w:val="50"/>
          <w:sz w:val="24"/>
          <w:szCs w:val="24"/>
        </w:rPr>
        <w:t xml:space="preserve"> </w:t>
      </w:r>
      <w:r>
        <w:rPr>
          <w:rFonts w:ascii="Arial" w:hAnsi="Arial" w:cs="Arial"/>
          <w:spacing w:val="4"/>
          <w:sz w:val="24"/>
          <w:szCs w:val="24"/>
        </w:rPr>
        <w:t>l</w:t>
      </w:r>
      <w:r>
        <w:rPr>
          <w:rFonts w:ascii="Arial" w:hAnsi="Arial" w:cs="Arial"/>
          <w:sz w:val="24"/>
          <w:szCs w:val="24"/>
        </w:rPr>
        <w:t>e</w:t>
      </w:r>
      <w:r>
        <w:rPr>
          <w:rFonts w:ascii="Arial" w:hAnsi="Arial" w:cs="Arial"/>
          <w:spacing w:val="50"/>
          <w:sz w:val="24"/>
          <w:szCs w:val="24"/>
        </w:rPr>
        <w:t xml:space="preserve"> </w:t>
      </w:r>
      <w:r>
        <w:rPr>
          <w:rFonts w:ascii="Arial" w:hAnsi="Arial" w:cs="Arial"/>
          <w:spacing w:val="2"/>
          <w:sz w:val="24"/>
          <w:szCs w:val="24"/>
        </w:rPr>
        <w:t>con</w:t>
      </w:r>
      <w:r>
        <w:rPr>
          <w:rFonts w:ascii="Arial" w:hAnsi="Arial" w:cs="Arial"/>
          <w:spacing w:val="5"/>
          <w:sz w:val="24"/>
          <w:szCs w:val="24"/>
        </w:rPr>
        <w:t>t</w:t>
      </w:r>
      <w:r>
        <w:rPr>
          <w:rFonts w:ascii="Arial" w:hAnsi="Arial" w:cs="Arial"/>
          <w:spacing w:val="2"/>
          <w:sz w:val="24"/>
          <w:szCs w:val="24"/>
        </w:rPr>
        <w:t>r</w:t>
      </w:r>
      <w:r>
        <w:rPr>
          <w:rFonts w:ascii="Arial" w:hAnsi="Arial" w:cs="Arial"/>
          <w:spacing w:val="3"/>
          <w:sz w:val="24"/>
          <w:szCs w:val="24"/>
        </w:rPr>
        <w:t>ib</w:t>
      </w:r>
      <w:r>
        <w:rPr>
          <w:rFonts w:ascii="Arial" w:hAnsi="Arial" w:cs="Arial"/>
          <w:spacing w:val="2"/>
          <w:sz w:val="24"/>
          <w:szCs w:val="24"/>
        </w:rPr>
        <w:t>u</w:t>
      </w:r>
      <w:r>
        <w:rPr>
          <w:rFonts w:ascii="Arial" w:hAnsi="Arial" w:cs="Arial"/>
          <w:spacing w:val="3"/>
          <w:sz w:val="24"/>
          <w:szCs w:val="24"/>
        </w:rPr>
        <w:t>ab</w:t>
      </w:r>
      <w:r>
        <w:rPr>
          <w:rFonts w:ascii="Arial" w:hAnsi="Arial" w:cs="Arial"/>
          <w:spacing w:val="4"/>
          <w:sz w:val="24"/>
          <w:szCs w:val="24"/>
        </w:rPr>
        <w:t>l</w:t>
      </w:r>
      <w:r>
        <w:rPr>
          <w:rFonts w:ascii="Arial" w:hAnsi="Arial" w:cs="Arial"/>
          <w:sz w:val="24"/>
          <w:szCs w:val="24"/>
        </w:rPr>
        <w:t>e</w:t>
      </w:r>
      <w:r>
        <w:rPr>
          <w:rFonts w:ascii="Arial" w:hAnsi="Arial" w:cs="Arial"/>
          <w:spacing w:val="44"/>
          <w:sz w:val="24"/>
          <w:szCs w:val="24"/>
        </w:rPr>
        <w:t xml:space="preserve"> </w:t>
      </w:r>
      <w:r>
        <w:rPr>
          <w:rFonts w:ascii="Arial" w:hAnsi="Arial" w:cs="Arial"/>
          <w:spacing w:val="5"/>
          <w:sz w:val="24"/>
          <w:szCs w:val="24"/>
        </w:rPr>
        <w:t>e</w:t>
      </w:r>
      <w:r>
        <w:rPr>
          <w:rFonts w:ascii="Arial" w:hAnsi="Arial" w:cs="Arial"/>
          <w:spacing w:val="2"/>
          <w:sz w:val="24"/>
          <w:szCs w:val="24"/>
        </w:rPr>
        <w:t>s</w:t>
      </w:r>
      <w:r>
        <w:rPr>
          <w:rFonts w:ascii="Arial" w:hAnsi="Arial" w:cs="Arial"/>
          <w:sz w:val="24"/>
          <w:szCs w:val="24"/>
        </w:rPr>
        <w:t>t</w:t>
      </w:r>
      <w:r>
        <w:rPr>
          <w:rFonts w:ascii="Arial" w:hAnsi="Arial" w:cs="Arial"/>
          <w:spacing w:val="51"/>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us</w:t>
      </w:r>
      <w:r>
        <w:rPr>
          <w:rFonts w:ascii="Arial" w:hAnsi="Arial" w:cs="Arial"/>
          <w:spacing w:val="44"/>
          <w:sz w:val="24"/>
          <w:szCs w:val="24"/>
        </w:rPr>
        <w:t xml:space="preserve"> </w:t>
      </w:r>
      <w:r>
        <w:rPr>
          <w:rFonts w:ascii="Arial" w:hAnsi="Arial" w:cs="Arial"/>
          <w:spacing w:val="-1"/>
          <w:sz w:val="24"/>
          <w:szCs w:val="24"/>
        </w:rPr>
        <w:t>f</w:t>
      </w:r>
      <w:r>
        <w:rPr>
          <w:rFonts w:ascii="Arial" w:hAnsi="Arial" w:cs="Arial"/>
          <w:spacing w:val="1"/>
          <w:sz w:val="24"/>
          <w:szCs w:val="24"/>
        </w:rPr>
        <w:t>aibl</w:t>
      </w:r>
      <w:r>
        <w:rPr>
          <w:rFonts w:ascii="Arial" w:hAnsi="Arial" w:cs="Arial"/>
          <w:sz w:val="24"/>
          <w:szCs w:val="24"/>
        </w:rPr>
        <w:t>e</w:t>
      </w:r>
      <w:r>
        <w:rPr>
          <w:rFonts w:ascii="Arial" w:hAnsi="Arial" w:cs="Arial"/>
          <w:spacing w:val="40"/>
          <w:sz w:val="24"/>
          <w:szCs w:val="24"/>
        </w:rPr>
        <w:t xml:space="preserve"> </w:t>
      </w:r>
      <w:r>
        <w:rPr>
          <w:rFonts w:ascii="Arial" w:hAnsi="Arial" w:cs="Arial"/>
          <w:spacing w:val="1"/>
          <w:sz w:val="24"/>
          <w:szCs w:val="24"/>
        </w:rPr>
        <w:t>q</w:t>
      </w:r>
      <w:r>
        <w:rPr>
          <w:rFonts w:ascii="Arial" w:hAnsi="Arial" w:cs="Arial"/>
          <w:spacing w:val="-2"/>
          <w:sz w:val="24"/>
          <w:szCs w:val="24"/>
        </w:rPr>
        <w:t>u</w:t>
      </w:r>
      <w:r>
        <w:rPr>
          <w:rFonts w:ascii="Arial" w:hAnsi="Arial" w:cs="Arial"/>
          <w:sz w:val="24"/>
          <w:szCs w:val="24"/>
        </w:rPr>
        <w:t xml:space="preserve">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16"/>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2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19"/>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w:t>
      </w:r>
      <w:r>
        <w:rPr>
          <w:rFonts w:ascii="Arial" w:hAnsi="Arial" w:cs="Arial"/>
          <w:spacing w:val="13"/>
          <w:sz w:val="24"/>
          <w:szCs w:val="24"/>
        </w:rPr>
        <w:t xml:space="preserve"> </w:t>
      </w:r>
      <w:r>
        <w:rPr>
          <w:rFonts w:ascii="Arial" w:hAnsi="Arial" w:cs="Arial"/>
          <w:sz w:val="24"/>
          <w:szCs w:val="24"/>
        </w:rPr>
        <w:t>à</w:t>
      </w:r>
      <w:r>
        <w:rPr>
          <w:rFonts w:ascii="Arial" w:hAnsi="Arial" w:cs="Arial"/>
          <w:spacing w:val="20"/>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0"/>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5"/>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18"/>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ume</w:t>
      </w:r>
      <w:r>
        <w:rPr>
          <w:rFonts w:ascii="Arial" w:hAnsi="Arial" w:cs="Arial"/>
          <w:spacing w:val="1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0"/>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position w:val="-1"/>
          <w:sz w:val="24"/>
          <w:szCs w:val="24"/>
        </w:rPr>
        <w:t>Intérieure</w:t>
      </w:r>
      <w:r>
        <w:rPr>
          <w:rFonts w:ascii="Arial" w:hAnsi="Arial" w:cs="Arial"/>
          <w:spacing w:val="-4"/>
          <w:position w:val="-1"/>
          <w:sz w:val="24"/>
          <w:szCs w:val="24"/>
        </w:rPr>
        <w:t xml:space="preserve"> </w:t>
      </w:r>
      <w:r>
        <w:rPr>
          <w:rFonts w:ascii="Arial" w:hAnsi="Arial" w:cs="Arial"/>
          <w:spacing w:val="-3"/>
          <w:position w:val="-1"/>
          <w:sz w:val="24"/>
          <w:szCs w:val="24"/>
        </w:rPr>
        <w:t>s</w:t>
      </w:r>
      <w:r>
        <w:rPr>
          <w:rFonts w:ascii="Arial" w:hAnsi="Arial" w:cs="Arial"/>
          <w:spacing w:val="-2"/>
          <w:position w:val="-1"/>
          <w:sz w:val="24"/>
          <w:szCs w:val="24"/>
        </w:rPr>
        <w:t>u</w:t>
      </w:r>
      <w:r>
        <w:rPr>
          <w:rFonts w:ascii="Arial" w:hAnsi="Arial" w:cs="Arial"/>
          <w:spacing w:val="-1"/>
          <w:position w:val="-1"/>
          <w:sz w:val="24"/>
          <w:szCs w:val="24"/>
        </w:rPr>
        <w:t>b</w:t>
      </w:r>
      <w:r>
        <w:rPr>
          <w:rFonts w:ascii="Arial" w:hAnsi="Arial" w:cs="Arial"/>
          <w:spacing w:val="-2"/>
          <w:position w:val="-1"/>
          <w:sz w:val="24"/>
          <w:szCs w:val="24"/>
        </w:rPr>
        <w:t>vent</w:t>
      </w:r>
      <w:r>
        <w:rPr>
          <w:rFonts w:ascii="Arial" w:hAnsi="Arial" w:cs="Arial"/>
          <w:spacing w:val="-1"/>
          <w:position w:val="-1"/>
          <w:sz w:val="24"/>
          <w:szCs w:val="24"/>
        </w:rPr>
        <w:t>i</w:t>
      </w:r>
      <w:r>
        <w:rPr>
          <w:rFonts w:ascii="Arial" w:hAnsi="Arial" w:cs="Arial"/>
          <w:spacing w:val="-2"/>
          <w:position w:val="-1"/>
          <w:sz w:val="24"/>
          <w:szCs w:val="24"/>
        </w:rPr>
        <w:t>o</w:t>
      </w:r>
      <w:r>
        <w:rPr>
          <w:rFonts w:ascii="Arial" w:hAnsi="Arial" w:cs="Arial"/>
          <w:position w:val="-1"/>
          <w:sz w:val="24"/>
          <w:szCs w:val="24"/>
        </w:rPr>
        <w:t>n</w:t>
      </w:r>
      <w:r>
        <w:rPr>
          <w:rFonts w:ascii="Arial" w:hAnsi="Arial" w:cs="Arial"/>
          <w:spacing w:val="-2"/>
          <w:position w:val="-1"/>
          <w:sz w:val="24"/>
          <w:szCs w:val="24"/>
        </w:rPr>
        <w:t>né</w:t>
      </w:r>
      <w:r>
        <w:rPr>
          <w:rFonts w:ascii="Arial" w:hAnsi="Arial" w:cs="Arial"/>
          <w:position w:val="-1"/>
          <w:sz w:val="24"/>
          <w:szCs w:val="24"/>
        </w:rPr>
        <w:t>e</w:t>
      </w:r>
      <w:r>
        <w:rPr>
          <w:rFonts w:ascii="Arial" w:hAnsi="Arial" w:cs="Arial"/>
          <w:spacing w:val="-12"/>
          <w:position w:val="-1"/>
          <w:sz w:val="24"/>
          <w:szCs w:val="24"/>
        </w:rPr>
        <w:t xml:space="preserve"> </w:t>
      </w:r>
      <w:r>
        <w:rPr>
          <w:rFonts w:ascii="Arial" w:hAnsi="Arial" w:cs="Arial"/>
          <w:spacing w:val="-2"/>
          <w:position w:val="-1"/>
          <w:sz w:val="24"/>
          <w:szCs w:val="24"/>
        </w:rPr>
        <w:t>e</w:t>
      </w:r>
      <w:r>
        <w:rPr>
          <w:rFonts w:ascii="Arial" w:hAnsi="Arial" w:cs="Arial"/>
          <w:spacing w:val="-3"/>
          <w:position w:val="-1"/>
          <w:sz w:val="24"/>
          <w:szCs w:val="24"/>
        </w:rPr>
        <w:t>s</w:t>
      </w:r>
      <w:r>
        <w:rPr>
          <w:rFonts w:ascii="Arial" w:hAnsi="Arial" w:cs="Arial"/>
          <w:position w:val="-1"/>
          <w:sz w:val="24"/>
          <w:szCs w:val="24"/>
        </w:rPr>
        <w:t>t</w:t>
      </w:r>
      <w:r>
        <w:rPr>
          <w:rFonts w:ascii="Arial" w:hAnsi="Arial" w:cs="Arial"/>
          <w:spacing w:val="-6"/>
          <w:position w:val="-1"/>
          <w:sz w:val="24"/>
          <w:szCs w:val="24"/>
        </w:rPr>
        <w:t xml:space="preserve"> </w:t>
      </w:r>
      <w:r>
        <w:rPr>
          <w:rFonts w:ascii="Arial" w:hAnsi="Arial" w:cs="Arial"/>
          <w:spacing w:val="-2"/>
          <w:position w:val="-1"/>
          <w:sz w:val="24"/>
          <w:szCs w:val="24"/>
        </w:rPr>
        <w:t>mo</w:t>
      </w:r>
      <w:r>
        <w:rPr>
          <w:rFonts w:ascii="Arial" w:hAnsi="Arial" w:cs="Arial"/>
          <w:spacing w:val="-1"/>
          <w:position w:val="-1"/>
          <w:sz w:val="24"/>
          <w:szCs w:val="24"/>
        </w:rPr>
        <w:t>i</w:t>
      </w:r>
      <w:r>
        <w:rPr>
          <w:rFonts w:ascii="Arial" w:hAnsi="Arial" w:cs="Arial"/>
          <w:position w:val="-1"/>
          <w:sz w:val="24"/>
          <w:szCs w:val="24"/>
        </w:rPr>
        <w:t>n</w:t>
      </w:r>
      <w:r>
        <w:rPr>
          <w:rFonts w:ascii="Arial" w:hAnsi="Arial" w:cs="Arial"/>
          <w:spacing w:val="-1"/>
          <w:position w:val="-1"/>
          <w:sz w:val="24"/>
          <w:szCs w:val="24"/>
        </w:rPr>
        <w:t>d</w:t>
      </w:r>
      <w:r>
        <w:rPr>
          <w:rFonts w:ascii="Arial" w:hAnsi="Arial" w:cs="Arial"/>
          <w:spacing w:val="-3"/>
          <w:position w:val="-1"/>
          <w:sz w:val="24"/>
          <w:szCs w:val="24"/>
        </w:rPr>
        <w:t>r</w:t>
      </w:r>
      <w:r>
        <w:rPr>
          <w:rFonts w:ascii="Arial" w:hAnsi="Arial" w:cs="Arial"/>
          <w:spacing w:val="-2"/>
          <w:position w:val="-1"/>
          <w:sz w:val="24"/>
          <w:szCs w:val="24"/>
        </w:rPr>
        <w:t>e (Djimasra, 2010)</w:t>
      </w:r>
      <w:r>
        <w:rPr>
          <w:rFonts w:ascii="Arial" w:hAnsi="Arial" w:cs="Arial"/>
          <w:position w:val="-1"/>
          <w:sz w:val="24"/>
          <w:szCs w:val="24"/>
        </w:rPr>
        <w:t>.</w:t>
      </w:r>
    </w:p>
    <w:p w14:paraId="3CCC5068" w14:textId="77777777" w:rsidR="008862C7" w:rsidRDefault="008862C7" w:rsidP="008862C7">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Le second facteur qui limite la compétitivité du coton en AOC est la tendance générale à la baisse des cours du coton sur le marché mondial. </w:t>
      </w:r>
      <w:r>
        <w:rPr>
          <w:rFonts w:ascii="Arial" w:hAnsi="Arial" w:cs="Arial"/>
          <w:spacing w:val="1"/>
          <w:sz w:val="24"/>
          <w:szCs w:val="24"/>
        </w:rPr>
        <w:t>L</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fi</w:t>
      </w:r>
      <w:r>
        <w:rPr>
          <w:rFonts w:ascii="Arial" w:hAnsi="Arial" w:cs="Arial"/>
          <w:spacing w:val="1"/>
          <w:sz w:val="24"/>
          <w:szCs w:val="24"/>
        </w:rPr>
        <w:t>li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1"/>
          <w:sz w:val="24"/>
          <w:szCs w:val="24"/>
        </w:rPr>
        <w:t xml:space="preserve"> l</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fr</w:t>
      </w:r>
      <w:r>
        <w:rPr>
          <w:rFonts w:ascii="Arial" w:hAnsi="Arial" w:cs="Arial"/>
          <w:spacing w:val="1"/>
          <w:sz w:val="24"/>
          <w:szCs w:val="24"/>
        </w:rPr>
        <w:t>iq</w:t>
      </w:r>
      <w:r>
        <w:rPr>
          <w:rFonts w:ascii="Arial" w:hAnsi="Arial" w:cs="Arial"/>
          <w:sz w:val="24"/>
          <w:szCs w:val="24"/>
        </w:rPr>
        <w:t xml:space="preserve">ue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z w:val="24"/>
          <w:szCs w:val="24"/>
        </w:rPr>
        <w:t>ue</w:t>
      </w:r>
      <w:r>
        <w:rPr>
          <w:rFonts w:ascii="Arial" w:hAnsi="Arial" w:cs="Arial"/>
          <w:spacing w:val="-1"/>
          <w:sz w:val="24"/>
          <w:szCs w:val="24"/>
        </w:rPr>
        <w:t>s</w:t>
      </w:r>
      <w:r>
        <w:rPr>
          <w:rFonts w:ascii="Arial" w:hAnsi="Arial" w:cs="Arial"/>
          <w:sz w:val="24"/>
          <w:szCs w:val="24"/>
        </w:rPr>
        <w:t>t</w:t>
      </w:r>
      <w:r>
        <w:rPr>
          <w:rFonts w:ascii="Arial" w:hAnsi="Arial" w:cs="Arial"/>
          <w:spacing w:val="2"/>
          <w:sz w:val="24"/>
          <w:szCs w:val="24"/>
        </w:rPr>
        <w:t xml:space="preserve"> </w:t>
      </w:r>
      <w:r>
        <w:rPr>
          <w:rFonts w:ascii="Arial" w:hAnsi="Arial" w:cs="Arial"/>
          <w:sz w:val="24"/>
          <w:szCs w:val="24"/>
        </w:rPr>
        <w:t>et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4"/>
          <w:sz w:val="24"/>
          <w:szCs w:val="24"/>
        </w:rPr>
        <w:t xml:space="preserve"> </w:t>
      </w:r>
      <w:r>
        <w:rPr>
          <w:rFonts w:ascii="Arial" w:hAnsi="Arial" w:cs="Arial"/>
          <w:sz w:val="24"/>
          <w:szCs w:val="24"/>
        </w:rPr>
        <w:t>Cent</w:t>
      </w:r>
      <w:r>
        <w:rPr>
          <w:rFonts w:ascii="Arial" w:hAnsi="Arial" w:cs="Arial"/>
          <w:spacing w:val="-1"/>
          <w:sz w:val="24"/>
          <w:szCs w:val="24"/>
        </w:rPr>
        <w:t>r</w:t>
      </w:r>
      <w:r>
        <w:rPr>
          <w:rFonts w:ascii="Arial" w:hAnsi="Arial" w:cs="Arial"/>
          <w:sz w:val="24"/>
          <w:szCs w:val="24"/>
        </w:rPr>
        <w:t>e e</w:t>
      </w:r>
      <w:r>
        <w:rPr>
          <w:rFonts w:ascii="Arial" w:hAnsi="Arial" w:cs="Arial"/>
          <w:spacing w:val="-1"/>
          <w:sz w:val="24"/>
          <w:szCs w:val="24"/>
        </w:rPr>
        <w:t>s</w:t>
      </w:r>
      <w:r>
        <w:rPr>
          <w:rFonts w:ascii="Arial" w:hAnsi="Arial" w:cs="Arial"/>
          <w:sz w:val="24"/>
          <w:szCs w:val="24"/>
        </w:rPr>
        <w:t>t te</w:t>
      </w:r>
      <w:r>
        <w:rPr>
          <w:rFonts w:ascii="Arial" w:hAnsi="Arial" w:cs="Arial"/>
          <w:spacing w:val="-1"/>
          <w:sz w:val="24"/>
          <w:szCs w:val="24"/>
        </w:rPr>
        <w:t>rr</w:t>
      </w:r>
      <w:r>
        <w:rPr>
          <w:rFonts w:ascii="Arial" w:hAnsi="Arial" w:cs="Arial"/>
          <w:spacing w:val="1"/>
          <w:sz w:val="24"/>
          <w:szCs w:val="24"/>
        </w:rPr>
        <w:t>ibl</w:t>
      </w:r>
      <w:r>
        <w:rPr>
          <w:rFonts w:ascii="Arial" w:hAnsi="Arial" w:cs="Arial"/>
          <w:sz w:val="24"/>
          <w:szCs w:val="24"/>
        </w:rPr>
        <w:t xml:space="preserve">ement </w:t>
      </w:r>
      <w:r>
        <w:rPr>
          <w:rFonts w:ascii="Arial" w:hAnsi="Arial" w:cs="Arial"/>
          <w:spacing w:val="-1"/>
          <w:sz w:val="24"/>
          <w:szCs w:val="24"/>
        </w:rPr>
        <w:t>fr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 xml:space="preserve">ée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j</w:t>
      </w:r>
      <w:r>
        <w:rPr>
          <w:rFonts w:ascii="Arial" w:hAnsi="Arial" w:cs="Arial"/>
          <w:sz w:val="24"/>
          <w:szCs w:val="24"/>
        </w:rPr>
        <w:t>ou</w:t>
      </w:r>
      <w:r>
        <w:rPr>
          <w:rFonts w:ascii="Arial" w:hAnsi="Arial" w:cs="Arial"/>
          <w:spacing w:val="-1"/>
          <w:sz w:val="24"/>
          <w:szCs w:val="24"/>
        </w:rPr>
        <w:t>rd’</w:t>
      </w:r>
      <w:r>
        <w:rPr>
          <w:rFonts w:ascii="Arial" w:hAnsi="Arial" w:cs="Arial"/>
          <w:sz w:val="24"/>
          <w:szCs w:val="24"/>
        </w:rPr>
        <w:t xml:space="preserve">hui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z w:val="24"/>
          <w:szCs w:val="24"/>
        </w:rPr>
        <w:t>u</w:t>
      </w:r>
      <w:r>
        <w:rPr>
          <w:rFonts w:ascii="Arial" w:hAnsi="Arial" w:cs="Arial"/>
          <w:spacing w:val="2"/>
          <w:sz w:val="24"/>
          <w:szCs w:val="24"/>
        </w:rPr>
        <w:t>n</w:t>
      </w:r>
      <w:r>
        <w:rPr>
          <w:rFonts w:ascii="Arial" w:hAnsi="Arial" w:cs="Arial"/>
          <w:sz w:val="24"/>
          <w:szCs w:val="24"/>
        </w:rPr>
        <w:t xml:space="preserve">e </w:t>
      </w:r>
      <w:r>
        <w:rPr>
          <w:rFonts w:ascii="Arial" w:hAnsi="Arial" w:cs="Arial"/>
          <w:spacing w:val="-1"/>
          <w:sz w:val="24"/>
          <w:szCs w:val="24"/>
        </w:rPr>
        <w:t>cr</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s</w:t>
      </w:r>
      <w:r>
        <w:rPr>
          <w:rFonts w:ascii="Arial" w:hAnsi="Arial" w:cs="Arial"/>
          <w:sz w:val="24"/>
          <w:szCs w:val="24"/>
        </w:rPr>
        <w:t>é</w:t>
      </w:r>
      <w:r>
        <w:rPr>
          <w:rFonts w:ascii="Arial" w:hAnsi="Arial" w:cs="Arial"/>
          <w:spacing w:val="1"/>
          <w:sz w:val="24"/>
          <w:szCs w:val="24"/>
        </w:rPr>
        <w:t>v</w:t>
      </w:r>
      <w:r>
        <w:rPr>
          <w:rFonts w:ascii="Arial" w:hAnsi="Arial" w:cs="Arial"/>
          <w:sz w:val="24"/>
          <w:szCs w:val="24"/>
        </w:rPr>
        <w:t>è</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q</w:t>
      </w:r>
      <w:r>
        <w:rPr>
          <w:rFonts w:ascii="Arial" w:hAnsi="Arial" w:cs="Arial"/>
          <w:sz w:val="24"/>
          <w:szCs w:val="24"/>
        </w:rPr>
        <w:t xml:space="preserve">ui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1"/>
          <w:sz w:val="24"/>
          <w:szCs w:val="24"/>
        </w:rPr>
        <w:t>liq</w:t>
      </w:r>
      <w:r>
        <w:rPr>
          <w:rFonts w:ascii="Arial" w:hAnsi="Arial" w:cs="Arial"/>
          <w:sz w:val="24"/>
          <w:szCs w:val="24"/>
        </w:rPr>
        <w:t>ue</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 n</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3"/>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p</w:t>
      </w:r>
      <w:r>
        <w:rPr>
          <w:rFonts w:ascii="Arial" w:hAnsi="Arial" w:cs="Arial"/>
          <w:sz w:val="24"/>
          <w:szCs w:val="24"/>
        </w:rPr>
        <w:t>t</w:t>
      </w:r>
      <w:r>
        <w:rPr>
          <w:rFonts w:ascii="Arial" w:hAnsi="Arial" w:cs="Arial"/>
          <w:spacing w:val="1"/>
          <w:sz w:val="24"/>
          <w:szCs w:val="24"/>
        </w:rPr>
        <w:t>i</w:t>
      </w:r>
      <w:r>
        <w:rPr>
          <w:rFonts w:ascii="Arial" w:hAnsi="Arial" w:cs="Arial"/>
          <w:sz w:val="24"/>
          <w:szCs w:val="24"/>
        </w:rPr>
        <w:t>onn</w:t>
      </w:r>
      <w:r>
        <w:rPr>
          <w:rFonts w:ascii="Arial" w:hAnsi="Arial" w:cs="Arial"/>
          <w:spacing w:val="-2"/>
          <w:sz w:val="24"/>
          <w:szCs w:val="24"/>
        </w:rPr>
        <w:t>e</w:t>
      </w:r>
      <w:r>
        <w:rPr>
          <w:rFonts w:ascii="Arial" w:hAnsi="Arial" w:cs="Arial"/>
          <w:spacing w:val="1"/>
          <w:sz w:val="24"/>
          <w:szCs w:val="24"/>
        </w:rPr>
        <w:t>ll</w:t>
      </w:r>
      <w:r>
        <w:rPr>
          <w:rFonts w:ascii="Arial" w:hAnsi="Arial" w:cs="Arial"/>
          <w:spacing w:val="-2"/>
          <w:sz w:val="24"/>
          <w:szCs w:val="24"/>
        </w:rPr>
        <w:t>e</w:t>
      </w:r>
      <w:r>
        <w:rPr>
          <w:rFonts w:ascii="Arial" w:hAnsi="Arial" w:cs="Arial"/>
          <w:sz w:val="24"/>
          <w:szCs w:val="24"/>
        </w:rPr>
        <w:t>ment</w:t>
      </w:r>
      <w:r>
        <w:rPr>
          <w:rFonts w:ascii="Arial" w:hAnsi="Arial" w:cs="Arial"/>
          <w:spacing w:val="-13"/>
          <w:sz w:val="24"/>
          <w:szCs w:val="24"/>
        </w:rPr>
        <w:t xml:space="preserve"> </w:t>
      </w:r>
      <w:r>
        <w:rPr>
          <w:rFonts w:ascii="Arial" w:hAnsi="Arial" w:cs="Arial"/>
          <w:spacing w:val="1"/>
          <w:sz w:val="24"/>
          <w:szCs w:val="24"/>
        </w:rPr>
        <w:t>ba</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ou</w:t>
      </w:r>
      <w:r>
        <w:rPr>
          <w:rFonts w:ascii="Arial" w:hAnsi="Arial" w:cs="Arial"/>
          <w:spacing w:val="-1"/>
          <w:sz w:val="24"/>
          <w:szCs w:val="24"/>
        </w:rPr>
        <w:t>r</w:t>
      </w:r>
      <w:r>
        <w:rPr>
          <w:rFonts w:ascii="Arial" w:hAnsi="Arial" w:cs="Arial"/>
          <w:sz w:val="24"/>
          <w:szCs w:val="24"/>
        </w:rPr>
        <w:t>s</w:t>
      </w:r>
      <w:r>
        <w:rPr>
          <w:rFonts w:ascii="Arial" w:hAnsi="Arial" w:cs="Arial"/>
          <w:spacing w:val="-1"/>
          <w:sz w:val="24"/>
          <w:szCs w:val="24"/>
        </w:rPr>
        <w:t xml:space="preserve"> s</w:t>
      </w:r>
      <w:r>
        <w:rPr>
          <w:rFonts w:ascii="Arial" w:hAnsi="Arial" w:cs="Arial"/>
          <w:spacing w:val="2"/>
          <w:sz w:val="24"/>
          <w:szCs w:val="24"/>
        </w:rPr>
        <w:t>u</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e 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4"/>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1"/>
          <w:sz w:val="24"/>
          <w:szCs w:val="24"/>
        </w:rPr>
        <w:t>r</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1"/>
          <w:sz w:val="24"/>
          <w:szCs w:val="24"/>
        </w:rPr>
        <w:t>al</w:t>
      </w:r>
      <w:r>
        <w:rPr>
          <w:rFonts w:ascii="Arial" w:hAnsi="Arial" w:cs="Arial"/>
          <w:sz w:val="24"/>
          <w:szCs w:val="24"/>
        </w:rPr>
        <w:t>.</w:t>
      </w:r>
      <w:r>
        <w:rPr>
          <w:rFonts w:ascii="Arial" w:hAnsi="Arial" w:cs="Arial"/>
          <w:spacing w:val="-6"/>
          <w:sz w:val="24"/>
          <w:szCs w:val="24"/>
        </w:rPr>
        <w:t xml:space="preserve"> </w:t>
      </w:r>
      <w:r>
        <w:rPr>
          <w:rFonts w:ascii="Arial" w:hAnsi="Arial" w:cs="Arial"/>
          <w:sz w:val="24"/>
          <w:szCs w:val="24"/>
        </w:rPr>
        <w:t>Au</w:t>
      </w:r>
      <w:r>
        <w:rPr>
          <w:rFonts w:ascii="Arial" w:hAnsi="Arial" w:cs="Arial"/>
          <w:spacing w:val="-1"/>
          <w:sz w:val="24"/>
          <w:szCs w:val="24"/>
        </w:rPr>
        <w:t xml:space="preserve"> c</w:t>
      </w:r>
      <w:r>
        <w:rPr>
          <w:rFonts w:ascii="Arial" w:hAnsi="Arial" w:cs="Arial"/>
          <w:sz w:val="24"/>
          <w:szCs w:val="24"/>
        </w:rPr>
        <w:t>ou</w:t>
      </w:r>
      <w:r>
        <w:rPr>
          <w:rFonts w:ascii="Arial" w:hAnsi="Arial" w:cs="Arial"/>
          <w:spacing w:val="-1"/>
          <w:sz w:val="24"/>
          <w:szCs w:val="24"/>
        </w:rPr>
        <w:t>r</w:t>
      </w:r>
      <w:r>
        <w:rPr>
          <w:rFonts w:ascii="Arial" w:hAnsi="Arial" w:cs="Arial"/>
          <w:sz w:val="24"/>
          <w:szCs w:val="24"/>
        </w:rPr>
        <w:t>s</w:t>
      </w:r>
      <w:r>
        <w:rPr>
          <w:rFonts w:ascii="Arial" w:hAnsi="Arial" w:cs="Arial"/>
          <w:spacing w:val="-1"/>
          <w:sz w:val="24"/>
          <w:szCs w:val="24"/>
        </w:rPr>
        <w:t xml:space="preserve"> 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ag</w:t>
      </w:r>
      <w:r>
        <w:rPr>
          <w:rFonts w:ascii="Arial" w:hAnsi="Arial" w:cs="Arial"/>
          <w:sz w:val="24"/>
          <w:szCs w:val="24"/>
        </w:rPr>
        <w:t>ne</w:t>
      </w:r>
      <w:r>
        <w:rPr>
          <w:rFonts w:ascii="Arial" w:hAnsi="Arial" w:cs="Arial"/>
          <w:spacing w:val="-3"/>
          <w:sz w:val="24"/>
          <w:szCs w:val="24"/>
        </w:rPr>
        <w:t xml:space="preserve"> </w:t>
      </w:r>
      <w:r>
        <w:rPr>
          <w:rFonts w:ascii="Arial" w:hAnsi="Arial" w:cs="Arial"/>
          <w:spacing w:val="-1"/>
          <w:sz w:val="24"/>
          <w:szCs w:val="24"/>
        </w:rPr>
        <w:t>2</w:t>
      </w:r>
      <w:r>
        <w:rPr>
          <w:rFonts w:ascii="Arial" w:hAnsi="Arial" w:cs="Arial"/>
          <w:spacing w:val="1"/>
          <w:sz w:val="24"/>
          <w:szCs w:val="24"/>
        </w:rPr>
        <w:t>00</w:t>
      </w:r>
      <w:r>
        <w:rPr>
          <w:rFonts w:ascii="Arial" w:hAnsi="Arial" w:cs="Arial"/>
          <w:spacing w:val="-1"/>
          <w:sz w:val="24"/>
          <w:szCs w:val="24"/>
        </w:rPr>
        <w:t>1</w:t>
      </w:r>
      <w:r>
        <w:rPr>
          <w:rFonts w:ascii="Arial" w:hAnsi="Arial" w:cs="Arial"/>
          <w:spacing w:val="1"/>
          <w:sz w:val="24"/>
          <w:szCs w:val="24"/>
        </w:rPr>
        <w:t>/0</w:t>
      </w:r>
      <w:r>
        <w:rPr>
          <w:rFonts w:ascii="Arial" w:hAnsi="Arial" w:cs="Arial"/>
          <w:spacing w:val="-1"/>
          <w:sz w:val="24"/>
          <w:szCs w:val="24"/>
        </w:rPr>
        <w:t>2</w:t>
      </w:r>
      <w:r>
        <w:rPr>
          <w:rFonts w:ascii="Arial" w:hAnsi="Arial" w:cs="Arial"/>
          <w:sz w:val="24"/>
          <w:szCs w:val="24"/>
        </w:rPr>
        <w:t>,</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ou</w:t>
      </w:r>
      <w:r>
        <w:rPr>
          <w:rFonts w:ascii="Arial" w:hAnsi="Arial" w:cs="Arial"/>
          <w:spacing w:val="-1"/>
          <w:sz w:val="24"/>
          <w:szCs w:val="24"/>
        </w:rPr>
        <w:t>r</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4"/>
          <w:sz w:val="24"/>
          <w:szCs w:val="24"/>
        </w:rPr>
        <w:t xml:space="preserve"> </w:t>
      </w:r>
      <w:r>
        <w:rPr>
          <w:rFonts w:ascii="Arial" w:hAnsi="Arial" w:cs="Arial"/>
          <w:sz w:val="24"/>
          <w:szCs w:val="24"/>
        </w:rPr>
        <w:t>e</w:t>
      </w:r>
      <w:r>
        <w:rPr>
          <w:rFonts w:ascii="Arial" w:hAnsi="Arial" w:cs="Arial"/>
          <w:spacing w:val="2"/>
          <w:sz w:val="24"/>
          <w:szCs w:val="24"/>
        </w:rPr>
        <w:t>f</w:t>
      </w:r>
      <w:r>
        <w:rPr>
          <w:rFonts w:ascii="Arial" w:hAnsi="Arial" w:cs="Arial"/>
          <w:spacing w:val="-1"/>
          <w:sz w:val="24"/>
          <w:szCs w:val="24"/>
        </w:rPr>
        <w:t>f</w:t>
      </w:r>
      <w:r>
        <w:rPr>
          <w:rFonts w:ascii="Arial" w:hAnsi="Arial" w:cs="Arial"/>
          <w:spacing w:val="2"/>
          <w:sz w:val="24"/>
          <w:szCs w:val="24"/>
        </w:rPr>
        <w:t>o</w:t>
      </w:r>
      <w:r>
        <w:rPr>
          <w:rFonts w:ascii="Arial" w:hAnsi="Arial" w:cs="Arial"/>
          <w:sz w:val="24"/>
          <w:szCs w:val="24"/>
        </w:rPr>
        <w:t>n</w:t>
      </w:r>
      <w:r>
        <w:rPr>
          <w:rFonts w:ascii="Arial" w:hAnsi="Arial" w:cs="Arial"/>
          <w:spacing w:val="-1"/>
          <w:sz w:val="24"/>
          <w:szCs w:val="24"/>
        </w:rPr>
        <w:t>dr</w:t>
      </w:r>
      <w:r>
        <w:rPr>
          <w:rFonts w:ascii="Arial" w:hAnsi="Arial" w:cs="Arial"/>
          <w:sz w:val="24"/>
          <w:szCs w:val="24"/>
        </w:rPr>
        <w:t xml:space="preserve">és </w:t>
      </w:r>
      <w:r>
        <w:rPr>
          <w:rFonts w:ascii="Arial" w:hAnsi="Arial" w:cs="Arial"/>
          <w:spacing w:val="-1"/>
          <w:sz w:val="24"/>
          <w:szCs w:val="24"/>
        </w:rPr>
        <w:t>p</w:t>
      </w:r>
      <w:r>
        <w:rPr>
          <w:rFonts w:ascii="Arial" w:hAnsi="Arial" w:cs="Arial"/>
          <w:sz w:val="24"/>
          <w:szCs w:val="24"/>
        </w:rPr>
        <w:t>our</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tte</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dr</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un</w:t>
      </w:r>
      <w:r>
        <w:rPr>
          <w:rFonts w:ascii="Arial" w:hAnsi="Arial" w:cs="Arial"/>
          <w:spacing w:val="5"/>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la</w:t>
      </w:r>
      <w:r>
        <w:rPr>
          <w:rFonts w:ascii="Arial" w:hAnsi="Arial" w:cs="Arial"/>
          <w:sz w:val="24"/>
          <w:szCs w:val="24"/>
        </w:rPr>
        <w:t>n</w:t>
      </w:r>
      <w:r>
        <w:rPr>
          <w:rFonts w:ascii="Arial" w:hAnsi="Arial" w:cs="Arial"/>
          <w:spacing w:val="-1"/>
          <w:sz w:val="24"/>
          <w:szCs w:val="24"/>
        </w:rPr>
        <w:t>c</w:t>
      </w:r>
      <w:r>
        <w:rPr>
          <w:rFonts w:ascii="Arial" w:hAnsi="Arial" w:cs="Arial"/>
          <w:sz w:val="24"/>
          <w:szCs w:val="24"/>
        </w:rPr>
        <w:t xml:space="preserve">hé, </w:t>
      </w:r>
      <w:r>
        <w:rPr>
          <w:rFonts w:ascii="Arial" w:hAnsi="Arial" w:cs="Arial"/>
          <w:spacing w:val="1"/>
          <w:sz w:val="24"/>
          <w:szCs w:val="24"/>
        </w:rPr>
        <w:t>ja</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i</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tt</w:t>
      </w:r>
      <w:r>
        <w:rPr>
          <w:rFonts w:ascii="Arial" w:hAnsi="Arial" w:cs="Arial"/>
          <w:spacing w:val="-2"/>
          <w:sz w:val="24"/>
          <w:szCs w:val="24"/>
        </w:rPr>
        <w:t>e</w:t>
      </w:r>
      <w:r>
        <w:rPr>
          <w:rFonts w:ascii="Arial" w:hAnsi="Arial" w:cs="Arial"/>
          <w:spacing w:val="1"/>
          <w:sz w:val="24"/>
          <w:szCs w:val="24"/>
        </w:rPr>
        <w:t>i</w:t>
      </w:r>
      <w:r>
        <w:rPr>
          <w:rFonts w:ascii="Arial" w:hAnsi="Arial" w:cs="Arial"/>
          <w:sz w:val="24"/>
          <w:szCs w:val="24"/>
        </w:rPr>
        <w:t>nt</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pr</w:t>
      </w:r>
      <w:r>
        <w:rPr>
          <w:rFonts w:ascii="Arial" w:hAnsi="Arial" w:cs="Arial"/>
          <w:sz w:val="24"/>
          <w:szCs w:val="24"/>
        </w:rPr>
        <w:t>ès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3</w:t>
      </w:r>
      <w:r>
        <w:rPr>
          <w:rFonts w:ascii="Arial" w:hAnsi="Arial" w:cs="Arial"/>
          <w:sz w:val="24"/>
          <w:szCs w:val="24"/>
        </w:rPr>
        <w:t>0</w:t>
      </w:r>
      <w:r>
        <w:rPr>
          <w:rFonts w:ascii="Arial" w:hAnsi="Arial" w:cs="Arial"/>
          <w:spacing w:val="-1"/>
          <w:sz w:val="24"/>
          <w:szCs w:val="24"/>
        </w:rPr>
        <w:t xml:space="preserve"> </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41,8</w:t>
      </w:r>
      <w:r>
        <w:rPr>
          <w:rFonts w:ascii="Arial" w:hAnsi="Arial" w:cs="Arial"/>
          <w:sz w:val="24"/>
          <w:szCs w:val="24"/>
        </w:rPr>
        <w:t>1</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ent</w:t>
      </w:r>
      <w:r>
        <w:rPr>
          <w:rFonts w:ascii="Arial" w:hAnsi="Arial" w:cs="Arial"/>
          <w:spacing w:val="-1"/>
          <w:sz w:val="24"/>
          <w:szCs w:val="24"/>
        </w:rPr>
        <w:t>s</w:t>
      </w:r>
      <w:r>
        <w:rPr>
          <w:rFonts w:ascii="Arial" w:hAnsi="Arial" w:cs="Arial"/>
          <w:spacing w:val="1"/>
          <w:sz w:val="24"/>
          <w:szCs w:val="24"/>
        </w:rPr>
        <w:t>/liv</w:t>
      </w:r>
      <w:r>
        <w:rPr>
          <w:rFonts w:ascii="Arial" w:hAnsi="Arial" w:cs="Arial"/>
          <w:spacing w:val="-1"/>
          <w:sz w:val="24"/>
          <w:szCs w:val="24"/>
        </w:rPr>
        <w:t>r</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r</w:t>
      </w:r>
      <w:r>
        <w:rPr>
          <w:rFonts w:ascii="Arial" w:hAnsi="Arial" w:cs="Arial"/>
          <w:sz w:val="24"/>
          <w:szCs w:val="24"/>
        </w:rPr>
        <w:t>e</w:t>
      </w:r>
      <w:r>
        <w:rPr>
          <w:rFonts w:ascii="Arial" w:hAnsi="Arial" w:cs="Arial"/>
          <w:spacing w:val="-1"/>
          <w:sz w:val="24"/>
          <w:szCs w:val="24"/>
        </w:rPr>
        <w:t>c</w:t>
      </w:r>
      <w:r>
        <w:rPr>
          <w:rFonts w:ascii="Arial" w:hAnsi="Arial" w:cs="Arial"/>
          <w:sz w:val="24"/>
          <w:szCs w:val="24"/>
        </w:rPr>
        <w:t>ettes</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 ont</w:t>
      </w:r>
      <w:r>
        <w:rPr>
          <w:rFonts w:ascii="Arial" w:hAnsi="Arial" w:cs="Arial"/>
          <w:spacing w:val="7"/>
          <w:sz w:val="24"/>
          <w:szCs w:val="24"/>
        </w:rPr>
        <w:t xml:space="preserve">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z w:val="24"/>
          <w:szCs w:val="24"/>
        </w:rPr>
        <w:t xml:space="preserve">tement </w:t>
      </w:r>
      <w:r>
        <w:rPr>
          <w:rFonts w:ascii="Arial" w:hAnsi="Arial" w:cs="Arial"/>
          <w:spacing w:val="2"/>
          <w:sz w:val="24"/>
          <w:szCs w:val="24"/>
        </w:rPr>
        <w:t>c</w:t>
      </w:r>
      <w:r>
        <w:rPr>
          <w:rFonts w:ascii="Arial" w:hAnsi="Arial" w:cs="Arial"/>
          <w:sz w:val="24"/>
          <w:szCs w:val="24"/>
        </w:rPr>
        <w:t>huté</w:t>
      </w:r>
      <w:r>
        <w:rPr>
          <w:rFonts w:ascii="Arial" w:hAnsi="Arial" w:cs="Arial"/>
          <w:spacing w:val="9"/>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z w:val="24"/>
          <w:szCs w:val="24"/>
        </w:rPr>
        <w:t>nt une</w:t>
      </w:r>
      <w:r>
        <w:rPr>
          <w:rFonts w:ascii="Arial" w:hAnsi="Arial" w:cs="Arial"/>
          <w:spacing w:val="7"/>
          <w:sz w:val="24"/>
          <w:szCs w:val="24"/>
        </w:rPr>
        <w:t xml:space="preserve"> </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av</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cr</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u</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Et</w:t>
      </w:r>
      <w:r>
        <w:rPr>
          <w:rFonts w:ascii="Arial" w:hAnsi="Arial" w:cs="Arial"/>
          <w:spacing w:val="1"/>
          <w:sz w:val="24"/>
          <w:szCs w:val="24"/>
        </w:rPr>
        <w:t>a</w:t>
      </w:r>
      <w:r>
        <w:rPr>
          <w:rFonts w:ascii="Arial" w:hAnsi="Arial" w:cs="Arial"/>
          <w:sz w:val="24"/>
          <w:szCs w:val="24"/>
        </w:rPr>
        <w:t>ts</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gi</w:t>
      </w:r>
      <w:r>
        <w:rPr>
          <w:rFonts w:ascii="Arial" w:hAnsi="Arial" w:cs="Arial"/>
          <w:sz w:val="24"/>
          <w:szCs w:val="24"/>
        </w:rPr>
        <w:t xml:space="preserve">on </w:t>
      </w:r>
      <w:r>
        <w:rPr>
          <w:rFonts w:ascii="Arial" w:hAnsi="Arial" w:cs="Arial"/>
          <w:spacing w:val="1"/>
          <w:sz w:val="24"/>
          <w:szCs w:val="24"/>
        </w:rPr>
        <w:t>q</w:t>
      </w:r>
      <w:r>
        <w:rPr>
          <w:rFonts w:ascii="Arial" w:hAnsi="Arial" w:cs="Arial"/>
          <w:sz w:val="24"/>
          <w:szCs w:val="24"/>
        </w:rPr>
        <w:t>ui</w:t>
      </w:r>
      <w:r>
        <w:rPr>
          <w:rFonts w:ascii="Arial" w:hAnsi="Arial" w:cs="Arial"/>
          <w:spacing w:val="19"/>
          <w:sz w:val="24"/>
          <w:szCs w:val="24"/>
        </w:rPr>
        <w:t xml:space="preserve"> </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rd</w:t>
      </w:r>
      <w:r>
        <w:rPr>
          <w:rFonts w:ascii="Arial" w:hAnsi="Arial" w:cs="Arial"/>
          <w:sz w:val="24"/>
          <w:szCs w:val="24"/>
        </w:rPr>
        <w:t xml:space="preserve">ent </w:t>
      </w:r>
      <w:r>
        <w:rPr>
          <w:rFonts w:ascii="Arial" w:hAnsi="Arial" w:cs="Arial"/>
          <w:spacing w:val="1"/>
          <w:sz w:val="24"/>
          <w:szCs w:val="24"/>
        </w:rPr>
        <w:t>l</w:t>
      </w:r>
      <w:r>
        <w:rPr>
          <w:rFonts w:ascii="Arial" w:hAnsi="Arial" w:cs="Arial"/>
          <w:sz w:val="24"/>
          <w:szCs w:val="24"/>
        </w:rPr>
        <w:t>eu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v</w:t>
      </w:r>
      <w:r>
        <w:rPr>
          <w:rFonts w:ascii="Arial" w:hAnsi="Arial" w:cs="Arial"/>
          <w:sz w:val="24"/>
          <w:szCs w:val="24"/>
        </w:rPr>
        <w:t>enus</w:t>
      </w:r>
      <w:r>
        <w:rPr>
          <w:rFonts w:ascii="Arial" w:hAnsi="Arial" w:cs="Arial"/>
          <w:spacing w:val="14"/>
          <w:sz w:val="24"/>
          <w:szCs w:val="24"/>
        </w:rPr>
        <w:t xml:space="preserve"> </w:t>
      </w:r>
      <w:r>
        <w:rPr>
          <w:rFonts w:ascii="Arial" w:hAnsi="Arial" w:cs="Arial"/>
          <w:sz w:val="24"/>
          <w:szCs w:val="24"/>
        </w:rPr>
        <w:t>en monn</w:t>
      </w:r>
      <w:r>
        <w:rPr>
          <w:rFonts w:ascii="Arial" w:hAnsi="Arial" w:cs="Arial"/>
          <w:spacing w:val="1"/>
          <w:sz w:val="24"/>
          <w:szCs w:val="24"/>
        </w:rPr>
        <w:t>ai</w:t>
      </w:r>
      <w:r>
        <w:rPr>
          <w:rFonts w:ascii="Arial" w:hAnsi="Arial" w:cs="Arial"/>
          <w:sz w:val="24"/>
          <w:szCs w:val="24"/>
        </w:rPr>
        <w:t xml:space="preserve">es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z w:val="24"/>
          <w:szCs w:val="24"/>
        </w:rPr>
        <w:t>te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19"/>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pr</w:t>
      </w:r>
      <w:r>
        <w:rPr>
          <w:rFonts w:ascii="Arial" w:hAnsi="Arial" w:cs="Arial"/>
          <w:sz w:val="24"/>
          <w:szCs w:val="24"/>
        </w:rPr>
        <w:t xml:space="preserve">omet </w:t>
      </w:r>
      <w:r>
        <w:rPr>
          <w:rFonts w:ascii="Arial" w:hAnsi="Arial" w:cs="Arial"/>
          <w:spacing w:val="1"/>
          <w:sz w:val="24"/>
          <w:szCs w:val="24"/>
        </w:rPr>
        <w:t>l</w:t>
      </w:r>
      <w:r>
        <w:rPr>
          <w:rFonts w:ascii="Arial" w:hAnsi="Arial" w:cs="Arial"/>
          <w:sz w:val="24"/>
          <w:szCs w:val="24"/>
        </w:rPr>
        <w:t xml:space="preserve">a </w:t>
      </w:r>
      <w:r>
        <w:rPr>
          <w:rFonts w:ascii="Arial" w:hAnsi="Arial" w:cs="Arial"/>
          <w:spacing w:val="-1"/>
          <w:position w:val="-1"/>
          <w:sz w:val="24"/>
          <w:szCs w:val="24"/>
        </w:rPr>
        <w:t>r</w:t>
      </w:r>
      <w:r>
        <w:rPr>
          <w:rFonts w:ascii="Arial" w:hAnsi="Arial" w:cs="Arial"/>
          <w:position w:val="-1"/>
          <w:sz w:val="24"/>
          <w:szCs w:val="24"/>
        </w:rPr>
        <w:t>ent</w:t>
      </w:r>
      <w:r>
        <w:rPr>
          <w:rFonts w:ascii="Arial" w:hAnsi="Arial" w:cs="Arial"/>
          <w:spacing w:val="1"/>
          <w:position w:val="-1"/>
          <w:sz w:val="24"/>
          <w:szCs w:val="24"/>
        </w:rPr>
        <w:t>abi</w:t>
      </w:r>
      <w:r>
        <w:rPr>
          <w:rFonts w:ascii="Arial" w:hAnsi="Arial" w:cs="Arial"/>
          <w:spacing w:val="-1"/>
          <w:position w:val="-1"/>
          <w:sz w:val="24"/>
          <w:szCs w:val="24"/>
        </w:rPr>
        <w:t>l</w:t>
      </w:r>
      <w:r>
        <w:rPr>
          <w:rFonts w:ascii="Arial" w:hAnsi="Arial" w:cs="Arial"/>
          <w:spacing w:val="1"/>
          <w:position w:val="-1"/>
          <w:sz w:val="24"/>
          <w:szCs w:val="24"/>
        </w:rPr>
        <w:t>i</w:t>
      </w:r>
      <w:r>
        <w:rPr>
          <w:rFonts w:ascii="Arial" w:hAnsi="Arial" w:cs="Arial"/>
          <w:position w:val="-1"/>
          <w:sz w:val="24"/>
          <w:szCs w:val="24"/>
        </w:rPr>
        <w:t>té</w:t>
      </w:r>
      <w:r>
        <w:rPr>
          <w:rFonts w:ascii="Arial" w:hAnsi="Arial" w:cs="Arial"/>
          <w:spacing w:val="-6"/>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2"/>
          <w:position w:val="-1"/>
          <w:sz w:val="24"/>
          <w:szCs w:val="24"/>
        </w:rPr>
        <w:t xml:space="preserve"> </w:t>
      </w:r>
      <w:r>
        <w:rPr>
          <w:rFonts w:ascii="Arial" w:hAnsi="Arial" w:cs="Arial"/>
          <w:spacing w:val="-1"/>
          <w:position w:val="-1"/>
          <w:sz w:val="24"/>
          <w:szCs w:val="24"/>
        </w:rPr>
        <w:t>l</w:t>
      </w:r>
      <w:r>
        <w:rPr>
          <w:rFonts w:ascii="Arial" w:hAnsi="Arial" w:cs="Arial"/>
          <w:position w:val="-1"/>
          <w:sz w:val="24"/>
          <w:szCs w:val="24"/>
        </w:rPr>
        <w:t>a</w:t>
      </w:r>
      <w:r>
        <w:rPr>
          <w:rFonts w:ascii="Arial" w:hAnsi="Arial" w:cs="Arial"/>
          <w:spacing w:val="1"/>
          <w:position w:val="-1"/>
          <w:sz w:val="24"/>
          <w:szCs w:val="24"/>
        </w:rPr>
        <w:t xml:space="preserve"> </w:t>
      </w:r>
      <w:r>
        <w:rPr>
          <w:rFonts w:ascii="Arial" w:hAnsi="Arial" w:cs="Arial"/>
          <w:spacing w:val="-1"/>
          <w:position w:val="-1"/>
          <w:sz w:val="24"/>
          <w:szCs w:val="24"/>
        </w:rPr>
        <w:t>fi</w:t>
      </w:r>
      <w:r>
        <w:rPr>
          <w:rFonts w:ascii="Arial" w:hAnsi="Arial" w:cs="Arial"/>
          <w:spacing w:val="1"/>
          <w:position w:val="-1"/>
          <w:sz w:val="24"/>
          <w:szCs w:val="24"/>
        </w:rPr>
        <w:t>li</w:t>
      </w:r>
      <w:r>
        <w:rPr>
          <w:rFonts w:ascii="Arial" w:hAnsi="Arial" w:cs="Arial"/>
          <w:position w:val="-1"/>
          <w:sz w:val="24"/>
          <w:szCs w:val="24"/>
        </w:rPr>
        <w:t>è</w:t>
      </w:r>
      <w:r>
        <w:rPr>
          <w:rFonts w:ascii="Arial" w:hAnsi="Arial" w:cs="Arial"/>
          <w:spacing w:val="-3"/>
          <w:position w:val="-1"/>
          <w:sz w:val="24"/>
          <w:szCs w:val="24"/>
        </w:rPr>
        <w:t>r</w:t>
      </w:r>
      <w:r>
        <w:rPr>
          <w:rFonts w:ascii="Arial" w:hAnsi="Arial" w:cs="Arial"/>
          <w:position w:val="-1"/>
          <w:sz w:val="24"/>
          <w:szCs w:val="24"/>
        </w:rPr>
        <w:t>e</w:t>
      </w:r>
      <w:r>
        <w:rPr>
          <w:rFonts w:ascii="Arial" w:hAnsi="Arial" w:cs="Arial"/>
          <w:spacing w:val="-2"/>
          <w:position w:val="-1"/>
          <w:sz w:val="24"/>
          <w:szCs w:val="24"/>
        </w:rPr>
        <w:t xml:space="preserve"> </w:t>
      </w:r>
      <w:r>
        <w:rPr>
          <w:rFonts w:ascii="Arial" w:hAnsi="Arial" w:cs="Arial"/>
          <w:position w:val="-1"/>
          <w:sz w:val="24"/>
          <w:szCs w:val="24"/>
        </w:rPr>
        <w:t>et</w:t>
      </w:r>
      <w:r>
        <w:rPr>
          <w:rFonts w:ascii="Arial" w:hAnsi="Arial" w:cs="Arial"/>
          <w:spacing w:val="-1"/>
          <w:position w:val="-1"/>
          <w:sz w:val="24"/>
          <w:szCs w:val="24"/>
        </w:rPr>
        <w:t xml:space="preserve"> </w:t>
      </w:r>
      <w:r>
        <w:rPr>
          <w:rFonts w:ascii="Arial" w:hAnsi="Arial" w:cs="Arial"/>
          <w:spacing w:val="1"/>
          <w:position w:val="-1"/>
          <w:sz w:val="24"/>
          <w:szCs w:val="24"/>
        </w:rPr>
        <w:t>l</w:t>
      </w:r>
      <w:r>
        <w:rPr>
          <w:rFonts w:ascii="Arial" w:hAnsi="Arial" w:cs="Arial"/>
          <w:position w:val="-1"/>
          <w:sz w:val="24"/>
          <w:szCs w:val="24"/>
        </w:rPr>
        <w:t>es</w:t>
      </w:r>
      <w:r>
        <w:rPr>
          <w:rFonts w:ascii="Arial" w:hAnsi="Arial" w:cs="Arial"/>
          <w:spacing w:val="-1"/>
          <w:position w:val="-1"/>
          <w:sz w:val="24"/>
          <w:szCs w:val="24"/>
        </w:rPr>
        <w:t xml:space="preserve"> r</w:t>
      </w:r>
      <w:r>
        <w:rPr>
          <w:rFonts w:ascii="Arial" w:hAnsi="Arial" w:cs="Arial"/>
          <w:position w:val="-1"/>
          <w:sz w:val="24"/>
          <w:szCs w:val="24"/>
        </w:rPr>
        <w:t>e</w:t>
      </w:r>
      <w:r>
        <w:rPr>
          <w:rFonts w:ascii="Arial" w:hAnsi="Arial" w:cs="Arial"/>
          <w:spacing w:val="1"/>
          <w:position w:val="-1"/>
          <w:sz w:val="24"/>
          <w:szCs w:val="24"/>
        </w:rPr>
        <w:t>v</w:t>
      </w:r>
      <w:r>
        <w:rPr>
          <w:rFonts w:ascii="Arial" w:hAnsi="Arial" w:cs="Arial"/>
          <w:position w:val="-1"/>
          <w:sz w:val="24"/>
          <w:szCs w:val="24"/>
        </w:rPr>
        <w:t>enus</w:t>
      </w:r>
      <w:r>
        <w:rPr>
          <w:rFonts w:ascii="Arial" w:hAnsi="Arial" w:cs="Arial"/>
          <w:spacing w:val="-4"/>
          <w:position w:val="-1"/>
          <w:sz w:val="24"/>
          <w:szCs w:val="24"/>
        </w:rPr>
        <w:t xml:space="preserve"> </w:t>
      </w:r>
      <w:r>
        <w:rPr>
          <w:rFonts w:ascii="Arial" w:hAnsi="Arial" w:cs="Arial"/>
          <w:position w:val="-1"/>
          <w:sz w:val="24"/>
          <w:szCs w:val="24"/>
        </w:rPr>
        <w:t>mon</w:t>
      </w:r>
      <w:r>
        <w:rPr>
          <w:rFonts w:ascii="Arial" w:hAnsi="Arial" w:cs="Arial"/>
          <w:spacing w:val="-2"/>
          <w:position w:val="-1"/>
          <w:sz w:val="24"/>
          <w:szCs w:val="24"/>
        </w:rPr>
        <w:t>é</w:t>
      </w:r>
      <w:r>
        <w:rPr>
          <w:rFonts w:ascii="Arial" w:hAnsi="Arial" w:cs="Arial"/>
          <w:position w:val="-1"/>
          <w:sz w:val="24"/>
          <w:szCs w:val="24"/>
        </w:rPr>
        <w:t>t</w:t>
      </w:r>
      <w:r>
        <w:rPr>
          <w:rFonts w:ascii="Arial" w:hAnsi="Arial" w:cs="Arial"/>
          <w:spacing w:val="1"/>
          <w:position w:val="-1"/>
          <w:sz w:val="24"/>
          <w:szCs w:val="24"/>
        </w:rPr>
        <w:t>ai</w:t>
      </w:r>
      <w:r>
        <w:rPr>
          <w:rFonts w:ascii="Arial" w:hAnsi="Arial" w:cs="Arial"/>
          <w:spacing w:val="-1"/>
          <w:position w:val="-1"/>
          <w:sz w:val="24"/>
          <w:szCs w:val="24"/>
        </w:rPr>
        <w:t>r</w:t>
      </w:r>
      <w:r>
        <w:rPr>
          <w:rFonts w:ascii="Arial" w:hAnsi="Arial" w:cs="Arial"/>
          <w:position w:val="-1"/>
          <w:sz w:val="24"/>
          <w:szCs w:val="24"/>
        </w:rPr>
        <w:t>es</w:t>
      </w:r>
      <w:r>
        <w:rPr>
          <w:rFonts w:ascii="Arial" w:hAnsi="Arial" w:cs="Arial"/>
          <w:spacing w:val="-8"/>
          <w:position w:val="-1"/>
          <w:sz w:val="24"/>
          <w:szCs w:val="24"/>
        </w:rPr>
        <w:t xml:space="preserve"> </w:t>
      </w:r>
      <w:r>
        <w:rPr>
          <w:rFonts w:ascii="Arial" w:hAnsi="Arial" w:cs="Arial"/>
          <w:spacing w:val="-1"/>
          <w:position w:val="-1"/>
          <w:sz w:val="24"/>
          <w:szCs w:val="24"/>
        </w:rPr>
        <w:t>d</w:t>
      </w:r>
      <w:r>
        <w:rPr>
          <w:rFonts w:ascii="Arial" w:hAnsi="Arial" w:cs="Arial"/>
          <w:position w:val="-1"/>
          <w:sz w:val="24"/>
          <w:szCs w:val="24"/>
        </w:rPr>
        <w:t>es</w:t>
      </w:r>
      <w:r>
        <w:rPr>
          <w:rFonts w:ascii="Arial" w:hAnsi="Arial" w:cs="Arial"/>
          <w:spacing w:val="-3"/>
          <w:position w:val="-1"/>
          <w:sz w:val="24"/>
          <w:szCs w:val="24"/>
        </w:rPr>
        <w:t xml:space="preserve"> </w:t>
      </w:r>
      <w:r>
        <w:rPr>
          <w:rFonts w:ascii="Arial" w:hAnsi="Arial" w:cs="Arial"/>
          <w:spacing w:val="-1"/>
          <w:position w:val="-1"/>
          <w:sz w:val="24"/>
          <w:szCs w:val="24"/>
        </w:rPr>
        <w:t>p</w:t>
      </w:r>
      <w:r>
        <w:rPr>
          <w:rFonts w:ascii="Arial" w:hAnsi="Arial" w:cs="Arial"/>
          <w:position w:val="-1"/>
          <w:sz w:val="24"/>
          <w:szCs w:val="24"/>
        </w:rPr>
        <w:t>et</w:t>
      </w:r>
      <w:r>
        <w:rPr>
          <w:rFonts w:ascii="Arial" w:hAnsi="Arial" w:cs="Arial"/>
          <w:spacing w:val="1"/>
          <w:position w:val="-1"/>
          <w:sz w:val="24"/>
          <w:szCs w:val="24"/>
        </w:rPr>
        <w:t>i</w:t>
      </w:r>
      <w:r>
        <w:rPr>
          <w:rFonts w:ascii="Arial" w:hAnsi="Arial" w:cs="Arial"/>
          <w:position w:val="-1"/>
          <w:sz w:val="24"/>
          <w:szCs w:val="24"/>
        </w:rPr>
        <w:t>ts</w:t>
      </w:r>
      <w:r>
        <w:rPr>
          <w:rFonts w:ascii="Arial" w:hAnsi="Arial" w:cs="Arial"/>
          <w:spacing w:val="-4"/>
          <w:position w:val="-1"/>
          <w:sz w:val="24"/>
          <w:szCs w:val="24"/>
        </w:rPr>
        <w:t xml:space="preserve"> </w:t>
      </w:r>
      <w:r>
        <w:rPr>
          <w:rFonts w:ascii="Arial" w:hAnsi="Arial" w:cs="Arial"/>
          <w:spacing w:val="-1"/>
          <w:position w:val="-1"/>
          <w:sz w:val="24"/>
          <w:szCs w:val="24"/>
        </w:rPr>
        <w:t>pr</w:t>
      </w:r>
      <w:r>
        <w:rPr>
          <w:rFonts w:ascii="Arial" w:hAnsi="Arial" w:cs="Arial"/>
          <w:position w:val="-1"/>
          <w:sz w:val="24"/>
          <w:szCs w:val="24"/>
        </w:rPr>
        <w:t>o</w:t>
      </w:r>
      <w:r>
        <w:rPr>
          <w:rFonts w:ascii="Arial" w:hAnsi="Arial" w:cs="Arial"/>
          <w:spacing w:val="1"/>
          <w:position w:val="-1"/>
          <w:sz w:val="24"/>
          <w:szCs w:val="24"/>
        </w:rPr>
        <w:t>d</w:t>
      </w:r>
      <w:r>
        <w:rPr>
          <w:rFonts w:ascii="Arial" w:hAnsi="Arial" w:cs="Arial"/>
          <w:position w:val="-1"/>
          <w:sz w:val="24"/>
          <w:szCs w:val="24"/>
        </w:rPr>
        <w:t>u</w:t>
      </w:r>
      <w:r>
        <w:rPr>
          <w:rFonts w:ascii="Arial" w:hAnsi="Arial" w:cs="Arial"/>
          <w:spacing w:val="-1"/>
          <w:position w:val="-1"/>
          <w:sz w:val="24"/>
          <w:szCs w:val="24"/>
        </w:rPr>
        <w:t>c</w:t>
      </w:r>
      <w:r>
        <w:rPr>
          <w:rFonts w:ascii="Arial" w:hAnsi="Arial" w:cs="Arial"/>
          <w:position w:val="-1"/>
          <w:sz w:val="24"/>
          <w:szCs w:val="24"/>
        </w:rPr>
        <w:t>teu</w:t>
      </w:r>
      <w:r>
        <w:rPr>
          <w:rFonts w:ascii="Arial" w:hAnsi="Arial" w:cs="Arial"/>
          <w:spacing w:val="-1"/>
          <w:position w:val="-1"/>
          <w:sz w:val="24"/>
          <w:szCs w:val="24"/>
        </w:rPr>
        <w:t>rs</w:t>
      </w:r>
      <w:r>
        <w:rPr>
          <w:rFonts w:ascii="Arial" w:hAnsi="Arial" w:cs="Arial"/>
          <w:position w:val="-1"/>
          <w:sz w:val="24"/>
          <w:szCs w:val="24"/>
        </w:rPr>
        <w:t>.</w:t>
      </w:r>
    </w:p>
    <w:p w14:paraId="05357F8D"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D’une manière générale, l’évolution à long terme des prix du coton est assez semblable à celle des autres produits agricoles et est caractérisée par une baisse tendancielle (Berti </w:t>
      </w:r>
      <w:r>
        <w:rPr>
          <w:rFonts w:ascii="Arial" w:hAnsi="Arial" w:cs="Arial"/>
          <w:i/>
          <w:iCs/>
          <w:sz w:val="24"/>
          <w:szCs w:val="24"/>
        </w:rPr>
        <w:t xml:space="preserve">et al., </w:t>
      </w:r>
      <w:r>
        <w:rPr>
          <w:rFonts w:ascii="Arial" w:hAnsi="Arial" w:cs="Arial"/>
          <w:sz w:val="24"/>
          <w:szCs w:val="24"/>
        </w:rPr>
        <w:t>2006). Cependant, la tendance à la baisse (- 0,24% par an sur les 40 dernières années), est environ deux fois plus rapide que pour l’ensemble des matières premières agricoles. Au cours de ces dix dernières années, la baisse des prix du coton s’est accélérée, se situant en moyenne autour de 55 cts/lb, contre 75 cts/lb précédemment. Après une période de baisse tendancielle depuis 1980/81, les prix mondiaux de coton fibre ont connu une légère reprise à partir de 1986/87 pour atteindre 82,90 cts/lb</w:t>
      </w:r>
      <w:r>
        <w:rPr>
          <w:rStyle w:val="Appelnotedebasdep"/>
          <w:rFonts w:ascii="Arial" w:hAnsi="Arial" w:cs="Arial"/>
          <w:sz w:val="24"/>
          <w:szCs w:val="24"/>
        </w:rPr>
        <w:footnoteReference w:id="22"/>
      </w:r>
      <w:r>
        <w:rPr>
          <w:rFonts w:ascii="Arial" w:hAnsi="Arial" w:cs="Arial"/>
          <w:sz w:val="24"/>
          <w:szCs w:val="24"/>
        </w:rPr>
        <w:t xml:space="preserve"> en 1990/91.</w:t>
      </w:r>
    </w:p>
    <w:p w14:paraId="706AE88F" w14:textId="77777777" w:rsidR="008862C7" w:rsidRDefault="008862C7" w:rsidP="008862C7">
      <w:pPr>
        <w:autoSpaceDE w:val="0"/>
        <w:autoSpaceDN w:val="0"/>
        <w:adjustRightInd w:val="0"/>
        <w:spacing w:line="360" w:lineRule="auto"/>
        <w:jc w:val="both"/>
        <w:rPr>
          <w:rFonts w:ascii="Arial" w:hAnsi="Arial" w:cs="Arial"/>
        </w:rPr>
      </w:pPr>
      <w:r>
        <w:rPr>
          <w:rFonts w:ascii="Arial" w:hAnsi="Arial" w:cs="Arial"/>
          <w:sz w:val="24"/>
          <w:szCs w:val="24"/>
        </w:rPr>
        <w:t xml:space="preserve">Après cette reprise, les cours ont connu de nouveau une baisse pour tomber à 57,70 cts/lb en 1992/93. La vive reprise des cours à partir de 1993/94, à la veille de la dévaluation du FCFA en janvier 1994, due à la raréfaction de l’offre et à une perception plus pessimiste du niveau des stocks mondiaux par les opérateurs (Macrae, 1995), s’est confirmée en 1994/95 avec un prix de </w:t>
      </w:r>
      <w:r>
        <w:rPr>
          <w:rFonts w:ascii="Arial" w:hAnsi="Arial" w:cs="Arial"/>
          <w:sz w:val="24"/>
          <w:szCs w:val="24"/>
        </w:rPr>
        <w:lastRenderedPageBreak/>
        <w:t>92,75 cts/lb, mais qui reste inférieur au record de 1980/81 (94,20 cts/lb). Depuis cette campagne, les cours du coton sont en baisse continue à l’image de plusieurs autres matières premières</w:t>
      </w:r>
      <w:r>
        <w:rPr>
          <w:rFonts w:ascii="Arial" w:hAnsi="Arial" w:cs="Arial"/>
        </w:rPr>
        <w:t>.</w:t>
      </w:r>
    </w:p>
    <w:p w14:paraId="5068B9D3" w14:textId="77777777" w:rsidR="008862C7" w:rsidRDefault="008862C7" w:rsidP="008862C7">
      <w:pPr>
        <w:autoSpaceDE w:val="0"/>
        <w:autoSpaceDN w:val="0"/>
        <w:adjustRightInd w:val="0"/>
        <w:spacing w:after="0" w:line="360" w:lineRule="auto"/>
        <w:jc w:val="both"/>
        <w:rPr>
          <w:rFonts w:ascii="Arial" w:hAnsi="Arial" w:cs="Arial"/>
          <w:b/>
          <w:bCs/>
        </w:rPr>
      </w:pPr>
      <w:r>
        <w:rPr>
          <w:rFonts w:ascii="Arial" w:hAnsi="Arial" w:cs="Arial"/>
          <w:b/>
          <w:bCs/>
          <w:sz w:val="24"/>
          <w:szCs w:val="24"/>
        </w:rPr>
        <w:t xml:space="preserve">Graphique 2.2 : </w:t>
      </w:r>
      <w:r>
        <w:rPr>
          <w:rFonts w:ascii="Arial" w:hAnsi="Arial" w:cs="Arial"/>
          <w:bCs/>
          <w:sz w:val="24"/>
          <w:szCs w:val="24"/>
        </w:rPr>
        <w:t>Evolution des prix du coton selon l’Indice A Cotton Outlook  trimestriel (FCFA/livre et US cents/livre)</w:t>
      </w:r>
      <w:r>
        <w:rPr>
          <w:rFonts w:ascii="Arial" w:hAnsi="Arial" w:cs="Arial"/>
          <w:b/>
          <w:bCs/>
        </w:rPr>
        <w:t xml:space="preserve"> </w:t>
      </w:r>
    </w:p>
    <w:p w14:paraId="5CADA180" w14:textId="77777777" w:rsidR="008862C7" w:rsidRDefault="00E72C3F" w:rsidP="008862C7">
      <w:pPr>
        <w:autoSpaceDE w:val="0"/>
        <w:autoSpaceDN w:val="0"/>
        <w:adjustRightInd w:val="0"/>
        <w:spacing w:after="0" w:line="360" w:lineRule="auto"/>
        <w:jc w:val="both"/>
        <w:rPr>
          <w:rFonts w:ascii="Arial" w:hAnsi="Arial" w:cs="Arial"/>
          <w:bCs/>
          <w:sz w:val="24"/>
          <w:szCs w:val="24"/>
        </w:rPr>
      </w:pPr>
      <w:r>
        <w:rPr>
          <w:rFonts w:ascii="Calibri" w:hAnsi="Calibri" w:cs="Times New Roman"/>
          <w:noProof/>
          <w:lang w:eastAsia="fr-FR"/>
        </w:rPr>
        <mc:AlternateContent>
          <mc:Choice Requires="wps">
            <w:drawing>
              <wp:inline distT="0" distB="0" distL="0" distR="0" wp14:anchorId="0F679BAF" wp14:editId="14CC3A08">
                <wp:extent cx="5746750" cy="3303905"/>
                <wp:effectExtent l="28575" t="28575" r="34925" b="29845"/>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330390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44328D" w14:textId="77777777" w:rsidR="00B63507" w:rsidRDefault="00B63507" w:rsidP="008862C7">
                            <w:r>
                              <w:rPr>
                                <w:rFonts w:eastAsia="Calibri" w:cs="Calibri"/>
                                <w:noProof/>
                                <w:sz w:val="20"/>
                                <w:szCs w:val="20"/>
                                <w:lang w:eastAsia="fr-FR"/>
                              </w:rPr>
                              <w:drawing>
                                <wp:inline distT="0" distB="0" distL="0" distR="0" wp14:anchorId="30A72F3C" wp14:editId="18CBEFA9">
                                  <wp:extent cx="5509895" cy="3063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306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F679BAF" id="Text Box 141" o:spid="_x0000_s1106" type="#_x0000_t202" style="width:452.5pt;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" filled="f" strokeweight="4.5pt">
                <v:stroke linestyle="thickThin"/>
                <v:textbox>
                  <w:txbxContent>
                    <w:p w14:paraId="2E44328D" w14:textId="77777777" w:rsidR="00B63507" w:rsidRDefault="00B63507" w:rsidP="008862C7">
                      <w:r>
                        <w:rPr>
                          <w:rFonts w:eastAsia="Calibri" w:cs="Calibri"/>
                          <w:noProof/>
                          <w:sz w:val="20"/>
                          <w:szCs w:val="20"/>
                          <w:lang w:eastAsia="fr-FR"/>
                        </w:rPr>
                        <w:drawing>
                          <wp:inline distT="0" distB="0" distL="0" distR="0" wp14:anchorId="30A72F3C" wp14:editId="18CBEFA9">
                            <wp:extent cx="5509895" cy="30638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3063875"/>
                                    </a:xfrm>
                                    <a:prstGeom prst="rect">
                                      <a:avLst/>
                                    </a:prstGeom>
                                    <a:noFill/>
                                    <a:ln>
                                      <a:noFill/>
                                    </a:ln>
                                  </pic:spPr>
                                </pic:pic>
                              </a:graphicData>
                            </a:graphic>
                          </wp:inline>
                        </w:drawing>
                      </w:r>
                    </w:p>
                  </w:txbxContent>
                </v:textbox>
                <w10:anchorlock/>
              </v:shape>
            </w:pict>
          </mc:Fallback>
        </mc:AlternateContent>
      </w:r>
    </w:p>
    <w:p w14:paraId="0C19A124" w14:textId="77777777" w:rsidR="008862C7" w:rsidRDefault="008862C7" w:rsidP="008862C7">
      <w:pPr>
        <w:autoSpaceDE w:val="0"/>
        <w:autoSpaceDN w:val="0"/>
        <w:adjustRightInd w:val="0"/>
        <w:spacing w:after="0" w:line="360" w:lineRule="auto"/>
        <w:jc w:val="both"/>
        <w:rPr>
          <w:rFonts w:ascii="Arial" w:hAnsi="Arial" w:cs="Arial"/>
          <w:b/>
          <w:bCs/>
          <w:szCs w:val="24"/>
        </w:rPr>
      </w:pPr>
      <w:r>
        <w:rPr>
          <w:rFonts w:ascii="Arial" w:hAnsi="Arial" w:cs="Arial"/>
          <w:b/>
          <w:bCs/>
          <w:sz w:val="20"/>
        </w:rPr>
        <w:t>Source : CCIC, 2005</w:t>
      </w:r>
    </w:p>
    <w:p w14:paraId="4E479C4C" w14:textId="77777777" w:rsidR="008862C7" w:rsidRDefault="008862C7" w:rsidP="008862C7">
      <w:pPr>
        <w:pStyle w:val="Titre4"/>
        <w:rPr>
          <w:rFonts w:ascii="Arial" w:hAnsi="Arial" w:cs="Arial"/>
          <w:bCs w:val="0"/>
          <w:sz w:val="24"/>
          <w:szCs w:val="24"/>
        </w:rPr>
      </w:pPr>
      <w:bookmarkStart w:id="108" w:name="_Toc395107586"/>
      <w:r>
        <w:rPr>
          <w:rFonts w:ascii="Arial" w:hAnsi="Arial" w:cs="Arial"/>
          <w:bCs w:val="0"/>
          <w:sz w:val="24"/>
          <w:szCs w:val="24"/>
        </w:rPr>
        <w:t>1.2. Dynamique de la filière cotonnière Centrafricaine</w:t>
      </w:r>
      <w:bookmarkEnd w:id="108"/>
    </w:p>
    <w:p w14:paraId="2C43EE9F" w14:textId="77777777" w:rsidR="008862C7" w:rsidRDefault="008862C7" w:rsidP="008862C7">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En République Centrafricaine, la culture du coton est pratiquée dans cinq préfectures du pays : Ouham-Péndé ; Ouham ; Ouaka ; Nana-Gribizi ; et Kémo. Durant les années 1990, la culture de coton mobilisait plus de 110.000 producteurs, représentant 74% des exploitations agricoles de la zone cotonnière. La production de coton contribuait, en moyenne, à hauteur de 54% à la valeur totale des exportations agricoles. En outre, la filière permettait d’offrir plus de 1.000 emplois, dont environ 300 emplois permanents, correspondant à plus de 540 millions de FCFA de salaires annuels versés. Elle contribuait annuellement à l’entretien et à la réhabilitation de plus de 3.650 km linéaires de pistes rurales en zone cotonnière.</w:t>
      </w:r>
    </w:p>
    <w:p w14:paraId="45260987"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Au niveau des exploitations agricoles, cette culture a été à l’origine de la dynamique de la mécanisation par la traction animale, de l’utilisation des intrants agricoles (engrais, insecticides, herbicides) et de la vulgarisation de certaines techniques culturales (semis en ligne, sarclages mécaniques, buttage, etc.). La culture de coton a permis le désenclavement des zones de </w:t>
      </w:r>
      <w:r>
        <w:rPr>
          <w:rFonts w:ascii="Arial" w:hAnsi="Arial" w:cs="Arial"/>
          <w:sz w:val="24"/>
          <w:szCs w:val="24"/>
        </w:rPr>
        <w:lastRenderedPageBreak/>
        <w:t>production, facilitant la commercialisation des produits vivriers et non agricoles (Mbétid-Bessane, 2003).</w:t>
      </w:r>
    </w:p>
    <w:p w14:paraId="5F48499F" w14:textId="77777777" w:rsidR="008862C7" w:rsidRDefault="008862C7" w:rsidP="008862C7">
      <w:pPr>
        <w:pStyle w:val="Titre5"/>
        <w:spacing w:after="120"/>
        <w:rPr>
          <w:rFonts w:ascii="Arial" w:hAnsi="Arial" w:cs="Arial"/>
          <w:color w:val="auto"/>
        </w:rPr>
      </w:pPr>
      <w:bookmarkStart w:id="109" w:name="_Toc395107587"/>
      <w:r>
        <w:rPr>
          <w:rFonts w:ascii="Arial" w:hAnsi="Arial" w:cs="Arial"/>
          <w:b/>
          <w:bCs/>
          <w:color w:val="auto"/>
        </w:rPr>
        <w:t>1.2.1. Historique de la filière coton en RCA</w:t>
      </w:r>
      <w:bookmarkEnd w:id="109"/>
    </w:p>
    <w:p w14:paraId="733D40D6" w14:textId="77777777" w:rsidR="008862C7" w:rsidRDefault="008862C7" w:rsidP="008862C7">
      <w:pPr>
        <w:pStyle w:val="Standard"/>
        <w:spacing w:line="360" w:lineRule="auto"/>
        <w:jc w:val="both"/>
        <w:rPr>
          <w:rFonts w:ascii="Arial" w:hAnsi="Arial" w:cs="Arial"/>
        </w:rPr>
      </w:pPr>
      <w:r>
        <w:rPr>
          <w:rFonts w:ascii="Arial" w:hAnsi="Arial" w:cs="Arial"/>
        </w:rPr>
        <w:t>En RCA, malgré qu’on signalait l’existence des cotonniers pérennes, il a fallu attendre l’an 1925 pour que cette culture soit introduite par Félix Eboué responsable de l’administration coloniale française. Cette culture devrait remplacer la cueillette sauvage du caoutchouc dont les cours s’effondraient vers 1921. Aussitôt à partir des années 30, cette culture avait connu un développement assez remarquable pour ainsi décoller avant la guerre de 1945. En dépit de quelques réticences des paysans, cette tendance s’était maintenue jusqu’en 1969 année où la production avait atteint son plus haut niveau à l’époque; soit 58700 tonnes de coton graine.</w:t>
      </w:r>
    </w:p>
    <w:p w14:paraId="0FED370C" w14:textId="77777777" w:rsidR="008862C7" w:rsidRDefault="008862C7" w:rsidP="008862C7">
      <w:pPr>
        <w:pStyle w:val="Standard"/>
        <w:spacing w:line="360" w:lineRule="auto"/>
        <w:jc w:val="both"/>
        <w:rPr>
          <w:rFonts w:ascii="Arial" w:hAnsi="Arial" w:cs="Arial"/>
        </w:rPr>
      </w:pPr>
      <w:r>
        <w:rPr>
          <w:rFonts w:ascii="Arial" w:hAnsi="Arial" w:cs="Arial"/>
        </w:rPr>
        <w:t>Comme dans les autres pays d’Afrique francophone, la filière coton centrafricaine fonctionnait selon le schéma d’intégration mis en place par la Compagnie française de Développement du Textile (CFDT) peu avant l’indépendance du pays. Attirées par le développement de la culture cotonnière, quelques sociétés avaient vu le jour, telles que la Cotonnière d’Afrique Francophone (COTONAF) et l’Union Cotonnière de Centrafrique (UCCA). Cependant, après sa nationalisation l’UCCA avait fait place à la Société Centrafricaine de Développement Agricole (SOCADA) en 1981, entreprise publique, qui assurait l’ensemble des fonctions de la filière (approvisionnement, encadrement, collecte, égrenage et commercialisation du coton). Chargée aussi du développement régional, la SOCADA était amenée à prendre en compte l’ensemble des activités des producteurs, c’est-à-dire non seulement la culture du coton, mais aussi les céréales, l’élevage et les activités de diversification.</w:t>
      </w:r>
    </w:p>
    <w:p w14:paraId="1A659104" w14:textId="77777777" w:rsidR="008862C7" w:rsidRDefault="008862C7" w:rsidP="008862C7">
      <w:pPr>
        <w:pStyle w:val="texte"/>
        <w:spacing w:before="0" w:after="200" w:line="360" w:lineRule="auto"/>
        <w:jc w:val="both"/>
        <w:rPr>
          <w:rFonts w:ascii="Arial" w:hAnsi="Arial" w:cs="Arial"/>
        </w:rPr>
      </w:pPr>
      <w:r>
        <w:rPr>
          <w:rFonts w:ascii="Arial" w:hAnsi="Arial" w:cs="Arial"/>
        </w:rPr>
        <w:t>La crise cotonnière de 1985/86 et la situation financière catastrophique de la filière qui en a suivi, ont amené à des réformes de cette filière. Ces réformes ont été conduites dans le cadre du programme d’ajustement structurel (PAS) engagé par la RCA en 1986 sous l’impulsion des bailleurs de fonds. Elles visaient essentiellement à réduire les coûts jugés excessifs de la filière, afin de limiter son déficit et les besoins correspondants en subventions, devenus insoutenables pour le Gouvernement.</w:t>
      </w:r>
    </w:p>
    <w:p w14:paraId="45790F22" w14:textId="77777777" w:rsidR="008862C7" w:rsidRDefault="008862C7" w:rsidP="008862C7">
      <w:pPr>
        <w:pStyle w:val="Standard"/>
        <w:spacing w:line="360" w:lineRule="auto"/>
        <w:jc w:val="both"/>
        <w:rPr>
          <w:rFonts w:ascii="Arial" w:hAnsi="Arial" w:cs="Arial"/>
        </w:rPr>
      </w:pPr>
      <w:r>
        <w:rPr>
          <w:rFonts w:ascii="Arial" w:hAnsi="Arial" w:cs="Arial"/>
        </w:rPr>
        <w:t xml:space="preserve">Sous l’effet continu de ces crises, l’on est amené  à une restructuration de la SOCADA en 1991 à l’issue de laquelle elle a été scindée en trois entités différentes : la Société Cotonnière Centrafricaine (SOCOCA) chargée des activités industrielles et commerciales du coton, l’Agence Centrafricaine de Développement Agricole (ACDA) chargée des activités de développement et de l’encadrement, et l’Institut Centrafricain de la Recherche Agronomique (ICRA) chargée de la </w:t>
      </w:r>
      <w:r>
        <w:rPr>
          <w:rFonts w:ascii="Arial" w:hAnsi="Arial" w:cs="Arial"/>
        </w:rPr>
        <w:lastRenderedPageBreak/>
        <w:t>recherche. La SOCOCA est une société anonyme d’économie mixte, dont le capital est partagé entre l’Etat (66%) et la CFDT (34%).</w:t>
      </w:r>
    </w:p>
    <w:p w14:paraId="50466C88" w14:textId="77777777" w:rsidR="008862C7" w:rsidRDefault="008862C7" w:rsidP="008862C7">
      <w:pPr>
        <w:pStyle w:val="texte"/>
        <w:spacing w:before="0" w:after="200" w:line="360" w:lineRule="auto"/>
        <w:jc w:val="both"/>
        <w:rPr>
          <w:rFonts w:ascii="Arial" w:hAnsi="Arial" w:cs="Arial"/>
        </w:rPr>
      </w:pPr>
      <w:r>
        <w:rPr>
          <w:rFonts w:ascii="Arial" w:hAnsi="Arial" w:cs="Arial"/>
        </w:rPr>
        <w:t xml:space="preserve">D’autre part, l’Etat a autorisé la création, le 11 juillet 1996, de la Compagnie pour la Culture et l’Egrenage du Coton (COCECOT), une société anonyme. Cette décision fait suite à une enquête, réalisée par l’ACDA, sur les intentions de la culture du coton dans les zones dites marginales et à la demande de la </w:t>
      </w:r>
      <w:r>
        <w:rPr>
          <w:rFonts w:ascii="Arial" w:hAnsi="Arial" w:cs="Arial"/>
          <w:i/>
        </w:rPr>
        <w:t>Société Aiglon</w:t>
      </w:r>
      <w:r>
        <w:rPr>
          <w:rFonts w:ascii="Arial" w:hAnsi="Arial" w:cs="Arial"/>
        </w:rPr>
        <w:t xml:space="preserve"> qui a identifié 23.580 producteurs potentiels (Chavatte </w:t>
      </w:r>
      <w:r>
        <w:rPr>
          <w:rStyle w:val="Accentuation"/>
          <w:rFonts w:ascii="Arial" w:eastAsia="MS Mincho" w:hAnsi="Arial" w:cs="Arial"/>
        </w:rPr>
        <w:t>et al.</w:t>
      </w:r>
      <w:r>
        <w:rPr>
          <w:rFonts w:ascii="Arial" w:hAnsi="Arial" w:cs="Arial"/>
        </w:rPr>
        <w:t xml:space="preserve"> 1998). Même si l’objet social de la COCECOT est la relance de la culture du coton dans les zones marginales abandonnées par la SOCOCA, il s’agit tout de même d’une étape importante dans la privatisation de la filière coton en Centrafrique, aboutissant à la création d’un duopole. Cependant aucun texte réglementaire ne vient préciser la zone d’intervention de la COCECOT (Gafsi et Mbétid-Bessane, 2002).</w:t>
      </w:r>
    </w:p>
    <w:p w14:paraId="38BE8DCD" w14:textId="77777777" w:rsidR="008862C7" w:rsidRDefault="008862C7" w:rsidP="008862C7">
      <w:pPr>
        <w:pStyle w:val="texte"/>
        <w:spacing w:before="0" w:after="0" w:line="360" w:lineRule="auto"/>
        <w:jc w:val="both"/>
        <w:rPr>
          <w:rFonts w:ascii="Arial" w:hAnsi="Arial" w:cs="Arial"/>
        </w:rPr>
      </w:pPr>
      <w:r>
        <w:rPr>
          <w:rFonts w:ascii="Arial" w:hAnsi="Arial" w:cs="Arial"/>
          <w:b/>
        </w:rPr>
        <w:t xml:space="preserve">Figure 2.1. : </w:t>
      </w:r>
      <w:r>
        <w:rPr>
          <w:rFonts w:ascii="Arial" w:hAnsi="Arial" w:cs="Arial"/>
        </w:rPr>
        <w:t>Zones cotonnières principale et marginale en RCA</w:t>
      </w:r>
    </w:p>
    <w:p w14:paraId="0152B6A3" w14:textId="77777777" w:rsidR="008862C7" w:rsidRDefault="008862C7" w:rsidP="008862C7">
      <w:pPr>
        <w:pStyle w:val="texte"/>
        <w:spacing w:before="0" w:after="0" w:line="360" w:lineRule="auto"/>
        <w:jc w:val="both"/>
        <w:rPr>
          <w:rFonts w:ascii="Arial" w:hAnsi="Arial" w:cs="Arial"/>
        </w:rPr>
      </w:pPr>
      <w:r>
        <w:rPr>
          <w:rFonts w:ascii="Arial" w:hAnsi="Arial" w:cs="Arial"/>
          <w:noProof/>
          <w:lang w:bidi="ar-SA"/>
        </w:rPr>
        <w:drawing>
          <wp:inline distT="0" distB="0" distL="0" distR="0" wp14:anchorId="79DAF3E2" wp14:editId="5FCB2108">
            <wp:extent cx="5735955" cy="3515360"/>
            <wp:effectExtent l="0" t="0" r="0" b="0"/>
            <wp:docPr id="3" name="Image 3" descr="Description : H:\TheseKadekoy_page282_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heseKadekoy_page282_image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55" cy="3515360"/>
                    </a:xfrm>
                    <a:prstGeom prst="rect">
                      <a:avLst/>
                    </a:prstGeom>
                    <a:noFill/>
                    <a:ln>
                      <a:noFill/>
                    </a:ln>
                  </pic:spPr>
                </pic:pic>
              </a:graphicData>
            </a:graphic>
          </wp:inline>
        </w:drawing>
      </w:r>
    </w:p>
    <w:p w14:paraId="5D35316D" w14:textId="77777777" w:rsidR="008862C7" w:rsidRDefault="008862C7" w:rsidP="008862C7">
      <w:pPr>
        <w:pStyle w:val="Standard"/>
        <w:spacing w:line="360" w:lineRule="auto"/>
        <w:jc w:val="both"/>
        <w:rPr>
          <w:rFonts w:ascii="Arial" w:hAnsi="Arial" w:cs="Arial"/>
        </w:rPr>
      </w:pPr>
      <w:r>
        <w:rPr>
          <w:rFonts w:ascii="Arial" w:hAnsi="Arial" w:cs="Arial"/>
        </w:rPr>
        <w:t xml:space="preserve">Après quelques années les effets cumulés des crises endogènes et exogènes à la filière ont une fois de plus eu raison de la SOCOCA. Ce qui conduit à la création de la SOCADETEX en octobre 2002. Cette dernière ne fera pas long feu avant de faire faillit en Mars 2006. C’est ainsi que le Gouvernement décide alors de la mise en place d’une structure légère appelée « Cellule Coton ». Placée sous tutelle de l’Agence Centrafricaine de Développement Agricole (ACDA), la Cellule coton sera chargée de la commercialisation du coton graine et assure entre autre la transition entre l’ex SOCADETEX et la nouvelle société cotonnière dénommée « SOFICA » </w:t>
      </w:r>
      <w:r>
        <w:rPr>
          <w:rFonts w:ascii="Arial" w:hAnsi="Arial" w:cs="Arial"/>
        </w:rPr>
        <w:lastRenderedPageBreak/>
        <w:t>Société Cotonnière des Fibres de Centrafrique qui devrait être opérationnelle début 2012. Mais après plus de deux ans de tractation et de négociation elle n’a pu avoir de reconnaissance juridique et cède donc la place à une société chinoise dénommée SDIC depuis janvier  2012.</w:t>
      </w:r>
    </w:p>
    <w:p w14:paraId="5CB614DD" w14:textId="77777777" w:rsidR="008862C7" w:rsidRDefault="008862C7" w:rsidP="008862C7">
      <w:pPr>
        <w:pStyle w:val="Titre5"/>
        <w:spacing w:after="120"/>
        <w:rPr>
          <w:rFonts w:ascii="Arial" w:hAnsi="Arial" w:cs="Arial"/>
          <w:b/>
          <w:color w:val="auto"/>
        </w:rPr>
      </w:pPr>
      <w:bookmarkStart w:id="110" w:name="_Toc395107588"/>
      <w:bookmarkStart w:id="111" w:name="_Toc321250998"/>
      <w:r>
        <w:rPr>
          <w:rFonts w:ascii="Arial" w:hAnsi="Arial" w:cs="Arial"/>
          <w:b/>
          <w:color w:val="auto"/>
        </w:rPr>
        <w:t>1.2.2. Bref aperçu sur le processus de libéralisation de la filière</w:t>
      </w:r>
      <w:bookmarkEnd w:id="110"/>
      <w:bookmarkEnd w:id="111"/>
      <w:r>
        <w:rPr>
          <w:rFonts w:ascii="Arial" w:hAnsi="Arial" w:cs="Arial"/>
          <w:b/>
          <w:color w:val="auto"/>
        </w:rPr>
        <w:t xml:space="preserve"> </w:t>
      </w:r>
    </w:p>
    <w:p w14:paraId="504B47AA" w14:textId="77777777" w:rsidR="008862C7" w:rsidRDefault="008862C7" w:rsidP="008862C7">
      <w:pPr>
        <w:spacing w:line="360" w:lineRule="auto"/>
        <w:jc w:val="both"/>
        <w:rPr>
          <w:rFonts w:ascii="Arial" w:hAnsi="Arial" w:cs="Arial"/>
          <w:sz w:val="24"/>
        </w:rPr>
      </w:pPr>
      <w:r>
        <w:rPr>
          <w:rFonts w:ascii="Arial" w:hAnsi="Arial" w:cs="Arial"/>
          <w:sz w:val="24"/>
        </w:rPr>
        <w:t xml:space="preserve">L’époque coloniale a marqué profondément les structures de commercialisation du coton en Afrique et notamment en Centrafrique. Dès l’indépendance la filière a hérité d’une structure de commercialisation  peu conforme aux principes d’une économie libérale. Le secteur cotonnier est organisé de façon intégrée. Diverses expériences et schémas furent alors proposées par la Banque Mondiale et le Fonds Monétaire International en vue d’une privatisation partielle et de la libéralisation de la filière permettant de réorganiser le système commercial et peut être de le placer à sa vraie place dans l’économie nationale. </w:t>
      </w:r>
    </w:p>
    <w:p w14:paraId="73091561" w14:textId="77777777" w:rsidR="008862C7" w:rsidRDefault="008862C7" w:rsidP="008862C7">
      <w:pPr>
        <w:spacing w:line="360" w:lineRule="auto"/>
        <w:jc w:val="both"/>
        <w:rPr>
          <w:rFonts w:ascii="Arial" w:hAnsi="Arial" w:cs="Arial"/>
          <w:sz w:val="24"/>
        </w:rPr>
      </w:pPr>
      <w:r>
        <w:rPr>
          <w:rFonts w:ascii="Arial" w:hAnsi="Arial" w:cs="Arial"/>
          <w:sz w:val="24"/>
        </w:rPr>
        <w:t xml:space="preserve">Conscient des menaces latentes, le pays s’est engagé dès le début des années 90 dans ce processus avec conséquence le désengagement progressif de l’Etat comme en témoigne le tableau suivant. </w:t>
      </w:r>
    </w:p>
    <w:p w14:paraId="3E861529" w14:textId="77777777" w:rsidR="008862C7" w:rsidRDefault="008862C7" w:rsidP="008862C7">
      <w:pPr>
        <w:spacing w:after="0" w:line="360" w:lineRule="auto"/>
        <w:jc w:val="both"/>
        <w:rPr>
          <w:rFonts w:ascii="Arial" w:hAnsi="Arial" w:cs="Arial"/>
          <w:sz w:val="24"/>
        </w:rPr>
      </w:pPr>
      <w:commentRangeStart w:id="112"/>
      <w:r>
        <w:rPr>
          <w:rFonts w:ascii="Arial" w:hAnsi="Arial" w:cs="Arial"/>
          <w:b/>
          <w:sz w:val="24"/>
        </w:rPr>
        <w:t xml:space="preserve">Tableau 2.1 : </w:t>
      </w:r>
      <w:r>
        <w:rPr>
          <w:rFonts w:ascii="Arial" w:hAnsi="Arial" w:cs="Arial"/>
          <w:sz w:val="24"/>
        </w:rPr>
        <w:t xml:space="preserve">Répartition en pourcentage des actions des sociétés cotonnières </w:t>
      </w:r>
      <w:commentRangeEnd w:id="112"/>
      <w:r>
        <w:rPr>
          <w:rStyle w:val="Marquedecommentaire"/>
          <w:rFonts w:eastAsia="Times New Roman" w:cs="Times New Roman"/>
        </w:rPr>
        <w:commentReference w:id="112"/>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819"/>
        <w:gridCol w:w="1393"/>
        <w:gridCol w:w="1227"/>
        <w:gridCol w:w="1182"/>
        <w:gridCol w:w="1109"/>
        <w:gridCol w:w="1424"/>
      </w:tblGrid>
      <w:tr w:rsidR="008862C7" w14:paraId="1F7F1466" w14:textId="77777777" w:rsidTr="008862C7">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tcPr>
          <w:p w14:paraId="38E6A787" w14:textId="77777777" w:rsidR="008862C7" w:rsidRDefault="008862C7">
            <w:pPr>
              <w:spacing w:after="0"/>
              <w:rPr>
                <w:rFonts w:ascii="Arial" w:eastAsia="Times New Roman" w:hAnsi="Arial" w:cs="Arial"/>
                <w:b/>
              </w:rPr>
            </w:pPr>
          </w:p>
          <w:p w14:paraId="03B5B386" w14:textId="77777777" w:rsidR="008862C7" w:rsidRDefault="008862C7">
            <w:pPr>
              <w:tabs>
                <w:tab w:val="left" w:pos="708"/>
              </w:tabs>
              <w:spacing w:after="0" w:line="276" w:lineRule="auto"/>
              <w:rPr>
                <w:rFonts w:ascii="Arial" w:eastAsia="Times New Roman" w:hAnsi="Arial" w:cs="Arial"/>
                <w:b/>
              </w:rPr>
            </w:pPr>
            <w:r>
              <w:rPr>
                <w:rFonts w:ascii="Arial" w:hAnsi="Arial" w:cs="Arial"/>
                <w:b/>
              </w:rPr>
              <w:t>Sociétés</w:t>
            </w:r>
          </w:p>
        </w:tc>
        <w:tc>
          <w:tcPr>
            <w:tcW w:w="879" w:type="pct"/>
            <w:vMerge w:val="restart"/>
            <w:tcBorders>
              <w:top w:val="single" w:sz="4" w:space="0" w:color="auto"/>
              <w:left w:val="single" w:sz="4" w:space="0" w:color="auto"/>
              <w:bottom w:val="single" w:sz="4" w:space="0" w:color="auto"/>
              <w:right w:val="single" w:sz="4" w:space="0" w:color="auto"/>
            </w:tcBorders>
            <w:vAlign w:val="center"/>
          </w:tcPr>
          <w:p w14:paraId="6CB4C81C" w14:textId="77777777" w:rsidR="008862C7" w:rsidRDefault="008862C7">
            <w:pPr>
              <w:spacing w:after="0"/>
              <w:jc w:val="center"/>
              <w:rPr>
                <w:rFonts w:ascii="Arial" w:eastAsia="Times New Roman" w:hAnsi="Arial" w:cs="Arial"/>
                <w:b/>
              </w:rPr>
            </w:pPr>
          </w:p>
          <w:p w14:paraId="6E6DCF5B"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Période</w:t>
            </w:r>
          </w:p>
        </w:tc>
        <w:tc>
          <w:tcPr>
            <w:tcW w:w="3061" w:type="pct"/>
            <w:gridSpan w:val="5"/>
            <w:tcBorders>
              <w:top w:val="single" w:sz="4" w:space="0" w:color="auto"/>
              <w:left w:val="single" w:sz="4" w:space="0" w:color="auto"/>
              <w:bottom w:val="single" w:sz="4" w:space="0" w:color="auto"/>
              <w:right w:val="single" w:sz="4" w:space="0" w:color="auto"/>
            </w:tcBorders>
            <w:vAlign w:val="center"/>
            <w:hideMark/>
          </w:tcPr>
          <w:p w14:paraId="05B8D990"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Part action</w:t>
            </w:r>
          </w:p>
        </w:tc>
      </w:tr>
      <w:tr w:rsidR="008862C7" w14:paraId="0DBCAE7F" w14:textId="77777777" w:rsidTr="008862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E5189" w14:textId="77777777" w:rsidR="008862C7" w:rsidRDefault="008862C7">
            <w:pPr>
              <w:spacing w:after="0" w:line="240" w:lineRule="auto"/>
              <w:rPr>
                <w:rFonts w:ascii="Arial" w:eastAsia="Times New Roman"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AF5B9" w14:textId="77777777" w:rsidR="008862C7" w:rsidRDefault="008862C7">
            <w:pPr>
              <w:spacing w:after="0" w:line="240" w:lineRule="auto"/>
              <w:rPr>
                <w:rFonts w:ascii="Arial" w:eastAsia="Times New Roman" w:hAnsi="Arial" w:cs="Arial"/>
                <w:b/>
              </w:rPr>
            </w:pPr>
          </w:p>
        </w:tc>
        <w:tc>
          <w:tcPr>
            <w:tcW w:w="673" w:type="pct"/>
            <w:vMerge w:val="restart"/>
            <w:tcBorders>
              <w:top w:val="single" w:sz="4" w:space="0" w:color="auto"/>
              <w:left w:val="single" w:sz="4" w:space="0" w:color="auto"/>
              <w:bottom w:val="single" w:sz="4" w:space="0" w:color="auto"/>
              <w:right w:val="single" w:sz="4" w:space="0" w:color="auto"/>
            </w:tcBorders>
            <w:vAlign w:val="center"/>
            <w:hideMark/>
          </w:tcPr>
          <w:p w14:paraId="034184D7"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Etat</w:t>
            </w:r>
          </w:p>
        </w:tc>
        <w:tc>
          <w:tcPr>
            <w:tcW w:w="2388" w:type="pct"/>
            <w:gridSpan w:val="4"/>
            <w:tcBorders>
              <w:top w:val="single" w:sz="4" w:space="0" w:color="auto"/>
              <w:left w:val="single" w:sz="4" w:space="0" w:color="auto"/>
              <w:bottom w:val="single" w:sz="4" w:space="0" w:color="auto"/>
              <w:right w:val="single" w:sz="4" w:space="0" w:color="auto"/>
            </w:tcBorders>
            <w:vAlign w:val="center"/>
            <w:hideMark/>
          </w:tcPr>
          <w:p w14:paraId="0391DC4A"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Particulier</w:t>
            </w:r>
          </w:p>
        </w:tc>
      </w:tr>
      <w:tr w:rsidR="008862C7" w14:paraId="72EBFD7B" w14:textId="77777777" w:rsidTr="008862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EFDAB" w14:textId="77777777" w:rsidR="008862C7" w:rsidRDefault="008862C7">
            <w:pPr>
              <w:spacing w:after="0" w:line="240" w:lineRule="auto"/>
              <w:rPr>
                <w:rFonts w:ascii="Arial" w:eastAsia="Times New Roman"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654EA" w14:textId="77777777" w:rsidR="008862C7" w:rsidRDefault="008862C7">
            <w:pPr>
              <w:spacing w:after="0" w:line="240" w:lineRule="auto"/>
              <w:rPr>
                <w:rFonts w:ascii="Arial" w:eastAsia="Times New Roman"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845149" w14:textId="77777777" w:rsidR="008862C7" w:rsidRDefault="008862C7">
            <w:pPr>
              <w:spacing w:after="0" w:line="240" w:lineRule="auto"/>
              <w:rPr>
                <w:rFonts w:ascii="Arial" w:eastAsia="Times New Roman" w:hAnsi="Arial" w:cs="Arial"/>
                <w:b/>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582F4F86"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CFDT</w:t>
            </w:r>
          </w:p>
        </w:tc>
        <w:tc>
          <w:tcPr>
            <w:tcW w:w="571" w:type="pct"/>
            <w:tcBorders>
              <w:top w:val="single" w:sz="4" w:space="0" w:color="auto"/>
              <w:left w:val="single" w:sz="4" w:space="0" w:color="auto"/>
              <w:bottom w:val="single" w:sz="4" w:space="0" w:color="auto"/>
              <w:right w:val="single" w:sz="4" w:space="0" w:color="auto"/>
            </w:tcBorders>
            <w:vAlign w:val="center"/>
            <w:hideMark/>
          </w:tcPr>
          <w:p w14:paraId="2A0A9C6D"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Dreyfus</w:t>
            </w:r>
          </w:p>
        </w:tc>
        <w:tc>
          <w:tcPr>
            <w:tcW w:w="536" w:type="pct"/>
            <w:tcBorders>
              <w:top w:val="single" w:sz="4" w:space="0" w:color="auto"/>
              <w:left w:val="single" w:sz="4" w:space="0" w:color="auto"/>
              <w:bottom w:val="single" w:sz="4" w:space="0" w:color="auto"/>
              <w:right w:val="single" w:sz="4" w:space="0" w:color="auto"/>
            </w:tcBorders>
            <w:vAlign w:val="center"/>
            <w:hideMark/>
          </w:tcPr>
          <w:p w14:paraId="741FC5C8"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Privé</w:t>
            </w:r>
          </w:p>
        </w:tc>
        <w:tc>
          <w:tcPr>
            <w:tcW w:w="688" w:type="pct"/>
            <w:tcBorders>
              <w:top w:val="single" w:sz="4" w:space="0" w:color="auto"/>
              <w:left w:val="single" w:sz="4" w:space="0" w:color="auto"/>
              <w:bottom w:val="single" w:sz="4" w:space="0" w:color="auto"/>
              <w:right w:val="single" w:sz="4" w:space="0" w:color="auto"/>
            </w:tcBorders>
            <w:vAlign w:val="center"/>
            <w:hideMark/>
          </w:tcPr>
          <w:p w14:paraId="01F36EBD" w14:textId="77777777" w:rsidR="008862C7" w:rsidRDefault="008862C7">
            <w:pPr>
              <w:tabs>
                <w:tab w:val="left" w:pos="708"/>
              </w:tabs>
              <w:spacing w:after="0" w:line="276" w:lineRule="auto"/>
              <w:jc w:val="center"/>
              <w:rPr>
                <w:rFonts w:ascii="Arial" w:eastAsia="Times New Roman" w:hAnsi="Arial" w:cs="Arial"/>
                <w:b/>
              </w:rPr>
            </w:pPr>
            <w:r>
              <w:rPr>
                <w:rFonts w:ascii="Arial" w:hAnsi="Arial" w:cs="Arial"/>
                <w:b/>
              </w:rPr>
              <w:t>Paysans</w:t>
            </w:r>
          </w:p>
        </w:tc>
      </w:tr>
      <w:tr w:rsidR="008862C7" w14:paraId="01DC3660" w14:textId="77777777" w:rsidTr="008862C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62685A0F"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SOCADA</w:t>
            </w:r>
          </w:p>
        </w:tc>
        <w:tc>
          <w:tcPr>
            <w:tcW w:w="879" w:type="pct"/>
            <w:tcBorders>
              <w:top w:val="single" w:sz="4" w:space="0" w:color="auto"/>
              <w:left w:val="single" w:sz="4" w:space="0" w:color="auto"/>
              <w:bottom w:val="single" w:sz="4" w:space="0" w:color="auto"/>
              <w:right w:val="single" w:sz="4" w:space="0" w:color="auto"/>
            </w:tcBorders>
            <w:vAlign w:val="center"/>
            <w:hideMark/>
          </w:tcPr>
          <w:p w14:paraId="5853E47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1981 – 1991</w:t>
            </w:r>
          </w:p>
        </w:tc>
        <w:tc>
          <w:tcPr>
            <w:tcW w:w="673" w:type="pct"/>
            <w:tcBorders>
              <w:top w:val="single" w:sz="4" w:space="0" w:color="auto"/>
              <w:left w:val="single" w:sz="4" w:space="0" w:color="auto"/>
              <w:bottom w:val="single" w:sz="4" w:space="0" w:color="auto"/>
              <w:right w:val="single" w:sz="4" w:space="0" w:color="auto"/>
            </w:tcBorders>
            <w:vAlign w:val="center"/>
            <w:hideMark/>
          </w:tcPr>
          <w:p w14:paraId="25707C1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55C73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25%</w:t>
            </w:r>
          </w:p>
        </w:tc>
        <w:tc>
          <w:tcPr>
            <w:tcW w:w="571" w:type="pct"/>
            <w:tcBorders>
              <w:top w:val="single" w:sz="4" w:space="0" w:color="auto"/>
              <w:left w:val="single" w:sz="4" w:space="0" w:color="auto"/>
              <w:bottom w:val="single" w:sz="4" w:space="0" w:color="auto"/>
              <w:right w:val="single" w:sz="4" w:space="0" w:color="auto"/>
            </w:tcBorders>
            <w:vAlign w:val="center"/>
            <w:hideMark/>
          </w:tcPr>
          <w:p w14:paraId="60C9482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536" w:type="pct"/>
            <w:tcBorders>
              <w:top w:val="single" w:sz="4" w:space="0" w:color="auto"/>
              <w:left w:val="single" w:sz="4" w:space="0" w:color="auto"/>
              <w:bottom w:val="single" w:sz="4" w:space="0" w:color="auto"/>
              <w:right w:val="single" w:sz="4" w:space="0" w:color="auto"/>
            </w:tcBorders>
            <w:vAlign w:val="center"/>
            <w:hideMark/>
          </w:tcPr>
          <w:p w14:paraId="24E2B81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688" w:type="pct"/>
            <w:tcBorders>
              <w:top w:val="single" w:sz="4" w:space="0" w:color="auto"/>
              <w:left w:val="single" w:sz="4" w:space="0" w:color="auto"/>
              <w:bottom w:val="single" w:sz="4" w:space="0" w:color="auto"/>
              <w:right w:val="single" w:sz="4" w:space="0" w:color="auto"/>
            </w:tcBorders>
            <w:vAlign w:val="center"/>
            <w:hideMark/>
          </w:tcPr>
          <w:p w14:paraId="28BD511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r>
      <w:tr w:rsidR="008862C7" w14:paraId="6F8A5E23" w14:textId="77777777" w:rsidTr="008862C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781EA6A3"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SOCOCA</w:t>
            </w:r>
          </w:p>
        </w:tc>
        <w:tc>
          <w:tcPr>
            <w:tcW w:w="879" w:type="pct"/>
            <w:tcBorders>
              <w:top w:val="single" w:sz="4" w:space="0" w:color="auto"/>
              <w:left w:val="single" w:sz="4" w:space="0" w:color="auto"/>
              <w:bottom w:val="single" w:sz="4" w:space="0" w:color="auto"/>
              <w:right w:val="single" w:sz="4" w:space="0" w:color="auto"/>
            </w:tcBorders>
            <w:vAlign w:val="center"/>
            <w:hideMark/>
          </w:tcPr>
          <w:p w14:paraId="4AEBAA0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1991 – 2002</w:t>
            </w:r>
          </w:p>
        </w:tc>
        <w:tc>
          <w:tcPr>
            <w:tcW w:w="673" w:type="pct"/>
            <w:tcBorders>
              <w:top w:val="single" w:sz="4" w:space="0" w:color="auto"/>
              <w:left w:val="single" w:sz="4" w:space="0" w:color="auto"/>
              <w:bottom w:val="single" w:sz="4" w:space="0" w:color="auto"/>
              <w:right w:val="single" w:sz="4" w:space="0" w:color="auto"/>
            </w:tcBorders>
            <w:vAlign w:val="center"/>
            <w:hideMark/>
          </w:tcPr>
          <w:p w14:paraId="4DE6FE8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66%</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C0348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34%</w:t>
            </w:r>
          </w:p>
        </w:tc>
        <w:tc>
          <w:tcPr>
            <w:tcW w:w="571" w:type="pct"/>
            <w:tcBorders>
              <w:top w:val="single" w:sz="4" w:space="0" w:color="auto"/>
              <w:left w:val="single" w:sz="4" w:space="0" w:color="auto"/>
              <w:bottom w:val="single" w:sz="4" w:space="0" w:color="auto"/>
              <w:right w:val="single" w:sz="4" w:space="0" w:color="auto"/>
            </w:tcBorders>
            <w:vAlign w:val="center"/>
            <w:hideMark/>
          </w:tcPr>
          <w:p w14:paraId="35ACCA1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536" w:type="pct"/>
            <w:tcBorders>
              <w:top w:val="single" w:sz="4" w:space="0" w:color="auto"/>
              <w:left w:val="single" w:sz="4" w:space="0" w:color="auto"/>
              <w:bottom w:val="single" w:sz="4" w:space="0" w:color="auto"/>
              <w:right w:val="single" w:sz="4" w:space="0" w:color="auto"/>
            </w:tcBorders>
            <w:vAlign w:val="center"/>
            <w:hideMark/>
          </w:tcPr>
          <w:p w14:paraId="40D15EB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688" w:type="pct"/>
            <w:tcBorders>
              <w:top w:val="single" w:sz="4" w:space="0" w:color="auto"/>
              <w:left w:val="single" w:sz="4" w:space="0" w:color="auto"/>
              <w:bottom w:val="single" w:sz="4" w:space="0" w:color="auto"/>
              <w:right w:val="single" w:sz="4" w:space="0" w:color="auto"/>
            </w:tcBorders>
            <w:vAlign w:val="center"/>
            <w:hideMark/>
          </w:tcPr>
          <w:p w14:paraId="3B2AAF0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r>
      <w:tr w:rsidR="008862C7" w14:paraId="3733BEB9" w14:textId="77777777" w:rsidTr="008862C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2A4A4B71"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SOCADETEX</w:t>
            </w:r>
          </w:p>
        </w:tc>
        <w:tc>
          <w:tcPr>
            <w:tcW w:w="879" w:type="pct"/>
            <w:tcBorders>
              <w:top w:val="single" w:sz="4" w:space="0" w:color="auto"/>
              <w:left w:val="single" w:sz="4" w:space="0" w:color="auto"/>
              <w:bottom w:val="single" w:sz="4" w:space="0" w:color="auto"/>
              <w:right w:val="single" w:sz="4" w:space="0" w:color="auto"/>
            </w:tcBorders>
            <w:vAlign w:val="center"/>
            <w:hideMark/>
          </w:tcPr>
          <w:p w14:paraId="7F3D091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2002 – 2006</w:t>
            </w:r>
          </w:p>
        </w:tc>
        <w:tc>
          <w:tcPr>
            <w:tcW w:w="673" w:type="pct"/>
            <w:tcBorders>
              <w:top w:val="single" w:sz="4" w:space="0" w:color="auto"/>
              <w:left w:val="single" w:sz="4" w:space="0" w:color="auto"/>
              <w:bottom w:val="single" w:sz="4" w:space="0" w:color="auto"/>
              <w:right w:val="single" w:sz="4" w:space="0" w:color="auto"/>
            </w:tcBorders>
            <w:vAlign w:val="center"/>
            <w:hideMark/>
          </w:tcPr>
          <w:p w14:paraId="6392856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c>
          <w:tcPr>
            <w:tcW w:w="593" w:type="pct"/>
            <w:tcBorders>
              <w:top w:val="single" w:sz="4" w:space="0" w:color="auto"/>
              <w:left w:val="single" w:sz="4" w:space="0" w:color="auto"/>
              <w:bottom w:val="single" w:sz="4" w:space="0" w:color="auto"/>
              <w:right w:val="single" w:sz="4" w:space="0" w:color="auto"/>
            </w:tcBorders>
            <w:vAlign w:val="center"/>
            <w:hideMark/>
          </w:tcPr>
          <w:p w14:paraId="0715B14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571" w:type="pct"/>
            <w:tcBorders>
              <w:top w:val="single" w:sz="4" w:space="0" w:color="auto"/>
              <w:left w:val="single" w:sz="4" w:space="0" w:color="auto"/>
              <w:bottom w:val="single" w:sz="4" w:space="0" w:color="auto"/>
              <w:right w:val="single" w:sz="4" w:space="0" w:color="auto"/>
            </w:tcBorders>
            <w:vAlign w:val="center"/>
            <w:hideMark/>
          </w:tcPr>
          <w:p w14:paraId="663F460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49%</w:t>
            </w:r>
          </w:p>
        </w:tc>
        <w:tc>
          <w:tcPr>
            <w:tcW w:w="536" w:type="pct"/>
            <w:tcBorders>
              <w:top w:val="single" w:sz="4" w:space="0" w:color="auto"/>
              <w:left w:val="single" w:sz="4" w:space="0" w:color="auto"/>
              <w:bottom w:val="single" w:sz="4" w:space="0" w:color="auto"/>
              <w:right w:val="single" w:sz="4" w:space="0" w:color="auto"/>
            </w:tcBorders>
            <w:vAlign w:val="center"/>
            <w:hideMark/>
          </w:tcPr>
          <w:p w14:paraId="246EC58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21%</w:t>
            </w:r>
          </w:p>
        </w:tc>
        <w:tc>
          <w:tcPr>
            <w:tcW w:w="688" w:type="pct"/>
            <w:tcBorders>
              <w:top w:val="single" w:sz="4" w:space="0" w:color="auto"/>
              <w:left w:val="single" w:sz="4" w:space="0" w:color="auto"/>
              <w:bottom w:val="single" w:sz="4" w:space="0" w:color="auto"/>
              <w:right w:val="single" w:sz="4" w:space="0" w:color="auto"/>
            </w:tcBorders>
            <w:vAlign w:val="center"/>
            <w:hideMark/>
          </w:tcPr>
          <w:p w14:paraId="489C81F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r>
      <w:tr w:rsidR="008862C7" w14:paraId="690BEC4E" w14:textId="77777777" w:rsidTr="008862C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572883B1"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Cellule Coton</w:t>
            </w:r>
          </w:p>
        </w:tc>
        <w:tc>
          <w:tcPr>
            <w:tcW w:w="879" w:type="pct"/>
            <w:tcBorders>
              <w:top w:val="single" w:sz="4" w:space="0" w:color="auto"/>
              <w:left w:val="single" w:sz="4" w:space="0" w:color="auto"/>
              <w:bottom w:val="single" w:sz="4" w:space="0" w:color="auto"/>
              <w:right w:val="single" w:sz="4" w:space="0" w:color="auto"/>
            </w:tcBorders>
            <w:vAlign w:val="center"/>
            <w:hideMark/>
          </w:tcPr>
          <w:p w14:paraId="4850F7E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2006 – 2012</w:t>
            </w:r>
          </w:p>
        </w:tc>
        <w:tc>
          <w:tcPr>
            <w:tcW w:w="673" w:type="pct"/>
            <w:tcBorders>
              <w:top w:val="single" w:sz="4" w:space="0" w:color="auto"/>
              <w:left w:val="single" w:sz="4" w:space="0" w:color="auto"/>
              <w:bottom w:val="single" w:sz="4" w:space="0" w:color="auto"/>
              <w:right w:val="single" w:sz="4" w:space="0" w:color="auto"/>
            </w:tcBorders>
            <w:vAlign w:val="center"/>
            <w:hideMark/>
          </w:tcPr>
          <w:p w14:paraId="6542B07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4A784F0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571" w:type="pct"/>
            <w:tcBorders>
              <w:top w:val="single" w:sz="4" w:space="0" w:color="auto"/>
              <w:left w:val="single" w:sz="4" w:space="0" w:color="auto"/>
              <w:bottom w:val="single" w:sz="4" w:space="0" w:color="auto"/>
              <w:right w:val="single" w:sz="4" w:space="0" w:color="auto"/>
            </w:tcBorders>
            <w:vAlign w:val="center"/>
            <w:hideMark/>
          </w:tcPr>
          <w:p w14:paraId="047D515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536" w:type="pct"/>
            <w:tcBorders>
              <w:top w:val="single" w:sz="4" w:space="0" w:color="auto"/>
              <w:left w:val="single" w:sz="4" w:space="0" w:color="auto"/>
              <w:bottom w:val="single" w:sz="4" w:space="0" w:color="auto"/>
              <w:right w:val="single" w:sz="4" w:space="0" w:color="auto"/>
            </w:tcBorders>
            <w:vAlign w:val="center"/>
            <w:hideMark/>
          </w:tcPr>
          <w:p w14:paraId="56A5F8C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c>
          <w:tcPr>
            <w:tcW w:w="688" w:type="pct"/>
            <w:tcBorders>
              <w:top w:val="single" w:sz="4" w:space="0" w:color="auto"/>
              <w:left w:val="single" w:sz="4" w:space="0" w:color="auto"/>
              <w:bottom w:val="single" w:sz="4" w:space="0" w:color="auto"/>
              <w:right w:val="single" w:sz="4" w:space="0" w:color="auto"/>
            </w:tcBorders>
            <w:vAlign w:val="center"/>
            <w:hideMark/>
          </w:tcPr>
          <w:p w14:paraId="3845CE6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w:t>
            </w:r>
          </w:p>
        </w:tc>
      </w:tr>
      <w:tr w:rsidR="008862C7" w14:paraId="35C3A4CD" w14:textId="77777777" w:rsidTr="008862C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09755098"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SDIC</w:t>
            </w:r>
          </w:p>
        </w:tc>
        <w:tc>
          <w:tcPr>
            <w:tcW w:w="879" w:type="pct"/>
            <w:tcBorders>
              <w:top w:val="single" w:sz="4" w:space="0" w:color="auto"/>
              <w:left w:val="single" w:sz="4" w:space="0" w:color="auto"/>
              <w:bottom w:val="single" w:sz="4" w:space="0" w:color="auto"/>
              <w:right w:val="single" w:sz="4" w:space="0" w:color="auto"/>
            </w:tcBorders>
            <w:vAlign w:val="center"/>
            <w:hideMark/>
          </w:tcPr>
          <w:p w14:paraId="74A18C0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 xml:space="preserve">2012 </w:t>
            </w:r>
          </w:p>
        </w:tc>
        <w:tc>
          <w:tcPr>
            <w:tcW w:w="673" w:type="pct"/>
            <w:tcBorders>
              <w:top w:val="single" w:sz="4" w:space="0" w:color="auto"/>
              <w:left w:val="single" w:sz="4" w:space="0" w:color="auto"/>
              <w:bottom w:val="single" w:sz="4" w:space="0" w:color="auto"/>
              <w:right w:val="single" w:sz="4" w:space="0" w:color="auto"/>
            </w:tcBorders>
            <w:vAlign w:val="center"/>
            <w:hideMark/>
          </w:tcPr>
          <w:p w14:paraId="74865E0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ND</w:t>
            </w:r>
          </w:p>
        </w:tc>
        <w:tc>
          <w:tcPr>
            <w:tcW w:w="2388" w:type="pct"/>
            <w:gridSpan w:val="4"/>
            <w:tcBorders>
              <w:top w:val="single" w:sz="4" w:space="0" w:color="auto"/>
              <w:left w:val="single" w:sz="4" w:space="0" w:color="auto"/>
              <w:bottom w:val="single" w:sz="4" w:space="0" w:color="auto"/>
              <w:right w:val="single" w:sz="4" w:space="0" w:color="auto"/>
            </w:tcBorders>
            <w:vAlign w:val="center"/>
            <w:hideMark/>
          </w:tcPr>
          <w:p w14:paraId="61D14EA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ND</w:t>
            </w:r>
          </w:p>
        </w:tc>
      </w:tr>
    </w:tbl>
    <w:p w14:paraId="2D962C88" w14:textId="77777777" w:rsidR="008862C7" w:rsidRDefault="008862C7" w:rsidP="008862C7">
      <w:pPr>
        <w:spacing w:before="120" w:line="360" w:lineRule="auto"/>
        <w:rPr>
          <w:rFonts w:ascii="Arial" w:eastAsia="Times New Roman" w:hAnsi="Arial" w:cs="Arial"/>
          <w:sz w:val="20"/>
          <w:szCs w:val="20"/>
        </w:rPr>
      </w:pPr>
      <w:r>
        <w:rPr>
          <w:rFonts w:ascii="Arial" w:hAnsi="Arial" w:cs="Arial"/>
          <w:b/>
          <w:sz w:val="20"/>
          <w:szCs w:val="20"/>
        </w:rPr>
        <w:t>Source</w:t>
      </w:r>
      <w:r>
        <w:rPr>
          <w:rFonts w:ascii="Arial" w:hAnsi="Arial" w:cs="Arial"/>
          <w:sz w:val="20"/>
          <w:szCs w:val="20"/>
        </w:rPr>
        <w:t> : Rapports des sociétés cotonnières</w:t>
      </w:r>
    </w:p>
    <w:p w14:paraId="753731FF" w14:textId="77777777" w:rsidR="008862C7" w:rsidRDefault="008862C7" w:rsidP="008862C7">
      <w:pPr>
        <w:spacing w:line="360" w:lineRule="auto"/>
        <w:jc w:val="both"/>
        <w:rPr>
          <w:rFonts w:ascii="Arial" w:hAnsi="Arial" w:cs="Arial"/>
          <w:sz w:val="24"/>
        </w:rPr>
      </w:pPr>
      <w:r>
        <w:rPr>
          <w:rFonts w:ascii="Arial" w:hAnsi="Arial" w:cs="Arial"/>
          <w:sz w:val="24"/>
        </w:rPr>
        <w:t xml:space="preserve">Après la nationalisation de l’UCCA, la SOCADA qui lui succède est une société paraétatique dont les ¾ de ses actions sont détenues par l’Etat Centrafricain. Au début des années 90 sous la pression des institutions financières internationales, le processus de la libéralisation fut amorcé par la création de la SOCOCA où l’Etat n’y détenait que les 2/3 de son capital. Estompée par la dévaluation du franc CFA au milieu des années 95 par une hausse des cours du coton, la libéralisation de cette filière a eu un nouveau souffle peu avant les années 2000 suite à une tendance à la baisse des cours du coton sur le marché mondial. </w:t>
      </w:r>
    </w:p>
    <w:p w14:paraId="6186069C" w14:textId="77777777" w:rsidR="008862C7" w:rsidRDefault="008862C7" w:rsidP="008862C7">
      <w:pPr>
        <w:spacing w:line="360" w:lineRule="auto"/>
        <w:jc w:val="both"/>
        <w:rPr>
          <w:rFonts w:ascii="Arial" w:hAnsi="Arial" w:cs="Arial"/>
          <w:sz w:val="24"/>
        </w:rPr>
      </w:pPr>
      <w:r>
        <w:rPr>
          <w:rFonts w:ascii="Arial" w:hAnsi="Arial" w:cs="Arial"/>
          <w:sz w:val="24"/>
        </w:rPr>
        <w:lastRenderedPageBreak/>
        <w:t>Ainsi, la SOCADETEX seule S.A de l’histoire de la filière voit le jour en 2002 avec seulement 15% du capital social qui est détenu par l’Etat. Après la faillite de cette dernière en 2005, la création de la cellule coton dont le capital est entièrement détenu par l’Etat peut être considérée comme un pas en arrière par rapport au dynamisme du processus de la libéralisation de cette filière (Adoum-Kamata, 2012). Ainsi la reprise de la filière par la SDIC une compagnie chinoise depuis janvier 2012 est un nouveau pas dans la libéralisation de la filière.</w:t>
      </w:r>
    </w:p>
    <w:p w14:paraId="6DB87BFD" w14:textId="77777777" w:rsidR="008862C7" w:rsidRDefault="008862C7" w:rsidP="008862C7">
      <w:pPr>
        <w:spacing w:line="360" w:lineRule="auto"/>
        <w:jc w:val="both"/>
        <w:rPr>
          <w:rFonts w:ascii="Arial" w:hAnsi="Arial" w:cs="Arial"/>
          <w:sz w:val="24"/>
        </w:rPr>
      </w:pPr>
    </w:p>
    <w:p w14:paraId="597999A3" w14:textId="77777777" w:rsidR="008862C7" w:rsidRDefault="008862C7" w:rsidP="008862C7">
      <w:pPr>
        <w:pStyle w:val="Titre3"/>
        <w:spacing w:after="120"/>
        <w:rPr>
          <w:b/>
        </w:rPr>
      </w:pPr>
      <w:bookmarkStart w:id="113" w:name="_Toc321250961"/>
      <w:bookmarkStart w:id="114" w:name="_Toc321218607"/>
      <w:bookmarkStart w:id="115" w:name="_Toc321118497"/>
      <w:bookmarkStart w:id="116" w:name="_Toc395107589"/>
      <w:r>
        <w:rPr>
          <w:b/>
        </w:rPr>
        <w:t>II. DEMARCHE METHODOLOGIQUE</w:t>
      </w:r>
      <w:bookmarkEnd w:id="113"/>
      <w:bookmarkEnd w:id="114"/>
      <w:bookmarkEnd w:id="115"/>
      <w:r>
        <w:rPr>
          <w:b/>
        </w:rPr>
        <w:t xml:space="preserve"> ET TERRAIN DE RECHERCHE</w:t>
      </w:r>
      <w:bookmarkEnd w:id="116"/>
      <w:r>
        <w:rPr>
          <w:b/>
        </w:rPr>
        <w:t> </w:t>
      </w:r>
    </w:p>
    <w:p w14:paraId="2907DE74" w14:textId="77777777" w:rsidR="008862C7" w:rsidRDefault="008862C7" w:rsidP="008862C7">
      <w:pPr>
        <w:pStyle w:val="Titre4"/>
        <w:spacing w:before="0" w:after="240"/>
        <w:rPr>
          <w:rFonts w:ascii="Arial" w:hAnsi="Arial" w:cs="Arial"/>
          <w:sz w:val="24"/>
        </w:rPr>
      </w:pPr>
      <w:bookmarkStart w:id="117" w:name="_Toc395107590"/>
      <w:r>
        <w:rPr>
          <w:rFonts w:ascii="Arial" w:hAnsi="Arial" w:cs="Arial"/>
          <w:bCs w:val="0"/>
          <w:sz w:val="24"/>
        </w:rPr>
        <w:t>2.1. Approche méthodologique</w:t>
      </w:r>
      <w:bookmarkEnd w:id="117"/>
      <w:r>
        <w:rPr>
          <w:rFonts w:ascii="Arial" w:hAnsi="Arial" w:cs="Arial"/>
          <w:bCs w:val="0"/>
          <w:sz w:val="24"/>
        </w:rPr>
        <w:t xml:space="preserve"> </w:t>
      </w:r>
    </w:p>
    <w:p w14:paraId="2DEDD29F" w14:textId="77777777" w:rsidR="008862C7" w:rsidRDefault="008862C7" w:rsidP="008862C7">
      <w:pPr>
        <w:autoSpaceDE w:val="0"/>
        <w:autoSpaceDN w:val="0"/>
        <w:adjustRightInd w:val="0"/>
        <w:spacing w:line="360" w:lineRule="auto"/>
        <w:jc w:val="both"/>
        <w:rPr>
          <w:rFonts w:ascii="Arial" w:hAnsi="Arial" w:cs="Arial"/>
          <w:bCs/>
          <w:sz w:val="24"/>
        </w:rPr>
      </w:pPr>
      <w:r>
        <w:rPr>
          <w:rFonts w:ascii="Arial" w:hAnsi="Arial" w:cs="Arial"/>
          <w:bCs/>
          <w:sz w:val="24"/>
        </w:rPr>
        <w:t>L’étude de la compétitivité en général et plus particulièrement celle de la compétitivité d’un produit agricole tel que le coton a fait l’objet de travaux variés dont les approches méthodologiques varient d’un auteur à l’autre. Aussi, il est à noter que la plus grande partie des travaux combinent à la fois plusieurs méthodes pour évaluer la compétitivité. La raison de cette approche se trouve dans la définition à la fois complexe et floue de la notion de compétitivité. De ces approches, nous allons passer en revue les principales méthodes utilisées par les chercheurs pour évaluer la compétitivité et ainsi définir la méthode qui sera retenue dans le cadre de ce travail.</w:t>
      </w:r>
    </w:p>
    <w:p w14:paraId="17B5E65F" w14:textId="77777777" w:rsidR="008862C7" w:rsidRDefault="008862C7" w:rsidP="008862C7">
      <w:pPr>
        <w:autoSpaceDE w:val="0"/>
        <w:autoSpaceDN w:val="0"/>
        <w:adjustRightInd w:val="0"/>
        <w:spacing w:line="360" w:lineRule="auto"/>
        <w:jc w:val="both"/>
        <w:rPr>
          <w:rFonts w:ascii="Arial" w:hAnsi="Arial" w:cs="Arial"/>
          <w:bCs/>
          <w:sz w:val="24"/>
        </w:rPr>
      </w:pPr>
      <w:r>
        <w:rPr>
          <w:rFonts w:ascii="Arial" w:hAnsi="Arial" w:cs="Arial"/>
          <w:bCs/>
          <w:sz w:val="24"/>
        </w:rPr>
        <w:t xml:space="preserve">Dans une publication du PNUD relative aux opportunités et contraintes d’une stratégie de croissance pro-pauvre en Centrafrique, Aho et </w:t>
      </w:r>
      <w:r>
        <w:rPr>
          <w:rFonts w:ascii="Arial" w:hAnsi="Arial" w:cs="Arial"/>
          <w:bCs/>
          <w:i/>
          <w:sz w:val="24"/>
        </w:rPr>
        <w:t>al.</w:t>
      </w:r>
      <w:r>
        <w:rPr>
          <w:rFonts w:ascii="Arial" w:hAnsi="Arial" w:cs="Arial"/>
          <w:bCs/>
          <w:sz w:val="24"/>
        </w:rPr>
        <w:t xml:space="preserve"> (2003) tentent d’évaluer les avantages que pourrait tirer la RCA de son intégration à la CEMAC. La méthodologie adoptée consiste à faire une étude comparative de la structure des coûts notamment celui de la filière cotonnière avec celle des pays voisins producteurs de coton tels que le Tchad et le Cameroun. Cette approche est complétée par une étude analytique de certains déterminants de la compétitivité tels que l’innovation technologique, la productivité des facteurs (</w:t>
      </w:r>
      <w:commentRangeStart w:id="118"/>
      <w:r>
        <w:rPr>
          <w:rFonts w:ascii="Arial" w:hAnsi="Arial" w:cs="Arial"/>
          <w:bCs/>
          <w:sz w:val="24"/>
        </w:rPr>
        <w:t>notamment le rapport production par tête/salaire par tête où il en ressort que le travail centrafricain rémunéré au-delà de sa productivité marginale)</w:t>
      </w:r>
      <w:commentRangeEnd w:id="118"/>
      <w:r>
        <w:rPr>
          <w:rStyle w:val="Marquedecommentaire"/>
          <w:rFonts w:eastAsia="Times New Roman" w:cs="Times New Roman"/>
        </w:rPr>
        <w:commentReference w:id="118"/>
      </w:r>
      <w:r>
        <w:rPr>
          <w:rFonts w:ascii="Arial" w:hAnsi="Arial" w:cs="Arial"/>
          <w:bCs/>
          <w:sz w:val="24"/>
        </w:rPr>
        <w:t>, la bonne gouvernance, la qualité des produits exportés et le TCER (rapport prix à l’exportation/prix à l’importation).</w:t>
      </w:r>
    </w:p>
    <w:p w14:paraId="38537E5D" w14:textId="77777777" w:rsidR="008862C7" w:rsidRDefault="008862C7" w:rsidP="008862C7">
      <w:pPr>
        <w:autoSpaceDE w:val="0"/>
        <w:autoSpaceDN w:val="0"/>
        <w:adjustRightInd w:val="0"/>
        <w:spacing w:line="360" w:lineRule="auto"/>
        <w:jc w:val="both"/>
        <w:rPr>
          <w:rFonts w:ascii="Arial" w:hAnsi="Arial" w:cs="Arial"/>
          <w:bCs/>
          <w:sz w:val="24"/>
        </w:rPr>
      </w:pPr>
      <w:r>
        <w:rPr>
          <w:rFonts w:ascii="Arial" w:hAnsi="Arial" w:cs="Arial"/>
          <w:bCs/>
          <w:sz w:val="24"/>
        </w:rPr>
        <w:t xml:space="preserve">Pour le cabinet J.M. Consultants (1995) dans leur étude sur la compétitivité du coton dans le monde (pays hors zone franc) effectuée à la demande du ministère de la coopération, la méthodologie utilisée est bidimensionnelle (qualitative et quantitative). </w:t>
      </w:r>
    </w:p>
    <w:p w14:paraId="762383EF" w14:textId="77777777" w:rsidR="008862C7" w:rsidRDefault="008862C7" w:rsidP="008862C7">
      <w:pPr>
        <w:autoSpaceDE w:val="0"/>
        <w:autoSpaceDN w:val="0"/>
        <w:adjustRightInd w:val="0"/>
        <w:spacing w:line="360" w:lineRule="auto"/>
        <w:jc w:val="both"/>
        <w:rPr>
          <w:rFonts w:ascii="Arial" w:hAnsi="Arial" w:cs="Arial"/>
          <w:bCs/>
          <w:sz w:val="24"/>
        </w:rPr>
      </w:pPr>
      <w:r>
        <w:rPr>
          <w:rFonts w:ascii="Arial" w:hAnsi="Arial" w:cs="Arial"/>
          <w:bCs/>
          <w:sz w:val="24"/>
        </w:rPr>
        <w:lastRenderedPageBreak/>
        <w:t>Les aspects qualitatifs ont été étudiés sur un échantillon de 21 pays, permettant de se renseigner sur les politiques économiques adoptées, l’organisation fonctionnelle de cette filière et des sous filières (semences, vulgarisation, approvisionnement en intrant irrigation classement stockage, égrenage, commercialisation…), de comparer les solutions techniques et économiques afin de cerner leurs impacts sur la compétitivité de ces pays. Aussi, l’analyse fonctionnelle des filières a permis de classifier les pays en fonction de leurs forces et leurs faiblesses c’est-à-dire leurs avantages comparatifs qualitatifs.</w:t>
      </w:r>
    </w:p>
    <w:p w14:paraId="4B8952F9" w14:textId="77777777" w:rsidR="008862C7" w:rsidRDefault="008862C7" w:rsidP="008862C7">
      <w:pPr>
        <w:autoSpaceDE w:val="0"/>
        <w:autoSpaceDN w:val="0"/>
        <w:adjustRightInd w:val="0"/>
        <w:spacing w:line="360" w:lineRule="auto"/>
        <w:jc w:val="both"/>
        <w:rPr>
          <w:rFonts w:ascii="Arial" w:hAnsi="Arial" w:cs="Arial"/>
          <w:bCs/>
          <w:sz w:val="24"/>
        </w:rPr>
      </w:pPr>
      <w:r>
        <w:rPr>
          <w:rFonts w:ascii="Arial" w:hAnsi="Arial" w:cs="Arial"/>
          <w:bCs/>
          <w:sz w:val="24"/>
        </w:rPr>
        <w:t>L’aspect quantitatif (coûts comparatifs) consiste à établir pour chaque pays de l’échantillon les comptes détaillés de la production, de l’égrenage, et de la commercialisation. D’une manière pratique, cela consiste d’abord à décomposer les coûts, en coûts moyen de production de coton graine, et coûts de revient FOB, pour ensuite calculer les prix aux producteurs et enfin déduire les marges et les points-morts, y compris avec ou hors subventions directes afin d’établir leurs avantages comparatifs quantitatifs.</w:t>
      </w:r>
    </w:p>
    <w:p w14:paraId="6E40EAB4" w14:textId="77777777" w:rsidR="008862C7" w:rsidRDefault="008862C7" w:rsidP="008862C7">
      <w:pPr>
        <w:autoSpaceDE w:val="0"/>
        <w:autoSpaceDN w:val="0"/>
        <w:adjustRightInd w:val="0"/>
        <w:spacing w:line="360" w:lineRule="auto"/>
        <w:jc w:val="both"/>
        <w:rPr>
          <w:rFonts w:ascii="Arial" w:hAnsi="Arial" w:cs="Arial"/>
          <w:sz w:val="24"/>
        </w:rPr>
      </w:pPr>
      <w:r>
        <w:rPr>
          <w:rFonts w:ascii="Arial" w:hAnsi="Arial" w:cs="Arial"/>
          <w:sz w:val="24"/>
        </w:rPr>
        <w:t>Pour Diallo, Crawford et Dembélé (2009) puis Diallo, Dembélé et Staatz (2012)  dans une étude sur la</w:t>
      </w:r>
      <w:r>
        <w:rPr>
          <w:rFonts w:ascii="Arial" w:hAnsi="Arial" w:cs="Arial"/>
          <w:spacing w:val="1"/>
          <w:sz w:val="24"/>
        </w:rPr>
        <w:t xml:space="preserve"> </w:t>
      </w:r>
      <w:r>
        <w:rPr>
          <w:rFonts w:ascii="Arial" w:hAnsi="Arial" w:cs="Arial"/>
          <w:sz w:val="24"/>
        </w:rPr>
        <w:t>r</w:t>
      </w:r>
      <w:r>
        <w:rPr>
          <w:rFonts w:ascii="Arial" w:hAnsi="Arial" w:cs="Arial"/>
          <w:spacing w:val="-2"/>
          <w:sz w:val="24"/>
        </w:rPr>
        <w:t>e</w:t>
      </w:r>
      <w:r>
        <w:rPr>
          <w:rFonts w:ascii="Arial" w:hAnsi="Arial" w:cs="Arial"/>
          <w:spacing w:val="-1"/>
          <w:sz w:val="24"/>
        </w:rPr>
        <w:t>n</w:t>
      </w:r>
      <w:r>
        <w:rPr>
          <w:rFonts w:ascii="Arial" w:hAnsi="Arial" w:cs="Arial"/>
          <w:spacing w:val="1"/>
          <w:sz w:val="24"/>
        </w:rPr>
        <w:t>t</w:t>
      </w:r>
      <w:r>
        <w:rPr>
          <w:rFonts w:ascii="Arial" w:hAnsi="Arial" w:cs="Arial"/>
          <w:sz w:val="24"/>
        </w:rPr>
        <w:t>a</w:t>
      </w:r>
      <w:r>
        <w:rPr>
          <w:rFonts w:ascii="Arial" w:hAnsi="Arial" w:cs="Arial"/>
          <w:spacing w:val="1"/>
          <w:sz w:val="24"/>
        </w:rPr>
        <w:t>b</w:t>
      </w:r>
      <w:r>
        <w:rPr>
          <w:rFonts w:ascii="Arial" w:hAnsi="Arial" w:cs="Arial"/>
          <w:sz w:val="24"/>
        </w:rPr>
        <w:t>il</w:t>
      </w:r>
      <w:r>
        <w:rPr>
          <w:rFonts w:ascii="Arial" w:hAnsi="Arial" w:cs="Arial"/>
          <w:spacing w:val="-2"/>
          <w:sz w:val="24"/>
        </w:rPr>
        <w:t>i</w:t>
      </w:r>
      <w:r>
        <w:rPr>
          <w:rFonts w:ascii="Arial" w:hAnsi="Arial" w:cs="Arial"/>
          <w:spacing w:val="1"/>
          <w:sz w:val="24"/>
        </w:rPr>
        <w:t>t</w:t>
      </w:r>
      <w:r>
        <w:rPr>
          <w:rFonts w:ascii="Arial" w:hAnsi="Arial" w:cs="Arial"/>
          <w:sz w:val="24"/>
        </w:rPr>
        <w:t>é</w:t>
      </w:r>
      <w:r>
        <w:rPr>
          <w:rFonts w:ascii="Arial" w:hAnsi="Arial" w:cs="Arial"/>
          <w:spacing w:val="1"/>
          <w:sz w:val="24"/>
        </w:rPr>
        <w:t xml:space="preserve"> </w:t>
      </w:r>
      <w:r>
        <w:rPr>
          <w:rFonts w:ascii="Arial" w:hAnsi="Arial" w:cs="Arial"/>
          <w:spacing w:val="-2"/>
          <w:sz w:val="24"/>
        </w:rPr>
        <w:t>e</w:t>
      </w:r>
      <w:r>
        <w:rPr>
          <w:rFonts w:ascii="Arial" w:hAnsi="Arial" w:cs="Arial"/>
          <w:sz w:val="24"/>
        </w:rPr>
        <w:t>t</w:t>
      </w:r>
      <w:r>
        <w:rPr>
          <w:rFonts w:ascii="Arial" w:hAnsi="Arial" w:cs="Arial"/>
          <w:spacing w:val="1"/>
          <w:sz w:val="24"/>
        </w:rPr>
        <w:t xml:space="preserve"> </w:t>
      </w:r>
      <w:r>
        <w:rPr>
          <w:rFonts w:ascii="Arial" w:hAnsi="Arial" w:cs="Arial"/>
          <w:sz w:val="24"/>
        </w:rPr>
        <w:t>la</w:t>
      </w:r>
      <w:r>
        <w:rPr>
          <w:rFonts w:ascii="Arial" w:hAnsi="Arial" w:cs="Arial"/>
          <w:spacing w:val="1"/>
          <w:sz w:val="24"/>
        </w:rPr>
        <w:t xml:space="preserve"> </w:t>
      </w:r>
      <w:r>
        <w:rPr>
          <w:rFonts w:ascii="Arial" w:hAnsi="Arial" w:cs="Arial"/>
          <w:spacing w:val="-1"/>
          <w:sz w:val="24"/>
        </w:rPr>
        <w:t>c</w:t>
      </w:r>
      <w:r>
        <w:rPr>
          <w:rFonts w:ascii="Arial" w:hAnsi="Arial" w:cs="Arial"/>
          <w:sz w:val="24"/>
        </w:rPr>
        <w:t>om</w:t>
      </w:r>
      <w:r>
        <w:rPr>
          <w:rFonts w:ascii="Arial" w:hAnsi="Arial" w:cs="Arial"/>
          <w:spacing w:val="1"/>
          <w:sz w:val="24"/>
        </w:rPr>
        <w:t>p</w:t>
      </w:r>
      <w:r>
        <w:rPr>
          <w:rFonts w:ascii="Arial" w:hAnsi="Arial" w:cs="Arial"/>
          <w:spacing w:val="-2"/>
          <w:sz w:val="24"/>
        </w:rPr>
        <w:t>é</w:t>
      </w:r>
      <w:r>
        <w:rPr>
          <w:rFonts w:ascii="Arial" w:hAnsi="Arial" w:cs="Arial"/>
          <w:spacing w:val="1"/>
          <w:sz w:val="24"/>
        </w:rPr>
        <w:t>t</w:t>
      </w:r>
      <w:r>
        <w:rPr>
          <w:rFonts w:ascii="Arial" w:hAnsi="Arial" w:cs="Arial"/>
          <w:sz w:val="24"/>
        </w:rPr>
        <w:t>i</w:t>
      </w:r>
      <w:r>
        <w:rPr>
          <w:rFonts w:ascii="Arial" w:hAnsi="Arial" w:cs="Arial"/>
          <w:spacing w:val="1"/>
          <w:sz w:val="24"/>
        </w:rPr>
        <w:t>t</w:t>
      </w:r>
      <w:r>
        <w:rPr>
          <w:rFonts w:ascii="Arial" w:hAnsi="Arial" w:cs="Arial"/>
          <w:sz w:val="24"/>
        </w:rPr>
        <w:t>iv</w:t>
      </w:r>
      <w:r>
        <w:rPr>
          <w:rFonts w:ascii="Arial" w:hAnsi="Arial" w:cs="Arial"/>
          <w:spacing w:val="-3"/>
          <w:sz w:val="24"/>
        </w:rPr>
        <w:t>i</w:t>
      </w:r>
      <w:r>
        <w:rPr>
          <w:rFonts w:ascii="Arial" w:hAnsi="Arial" w:cs="Arial"/>
          <w:spacing w:val="1"/>
          <w:sz w:val="24"/>
        </w:rPr>
        <w:t>t</w:t>
      </w:r>
      <w:r>
        <w:rPr>
          <w:rFonts w:ascii="Arial" w:hAnsi="Arial" w:cs="Arial"/>
          <w:sz w:val="24"/>
        </w:rPr>
        <w:t>é</w:t>
      </w:r>
      <w:r>
        <w:rPr>
          <w:rFonts w:ascii="Arial" w:hAnsi="Arial" w:cs="Arial"/>
          <w:spacing w:val="1"/>
          <w:sz w:val="24"/>
        </w:rPr>
        <w:t xml:space="preserve"> d</w:t>
      </w:r>
      <w:r>
        <w:rPr>
          <w:rFonts w:ascii="Arial" w:hAnsi="Arial" w:cs="Arial"/>
          <w:sz w:val="24"/>
        </w:rPr>
        <w:t>u</w:t>
      </w:r>
      <w:r>
        <w:rPr>
          <w:rFonts w:ascii="Arial" w:hAnsi="Arial" w:cs="Arial"/>
          <w:spacing w:val="1"/>
          <w:sz w:val="24"/>
        </w:rPr>
        <w:t xml:space="preserve"> </w:t>
      </w:r>
      <w:r>
        <w:rPr>
          <w:rFonts w:ascii="Arial" w:hAnsi="Arial" w:cs="Arial"/>
          <w:spacing w:val="-2"/>
          <w:sz w:val="24"/>
        </w:rPr>
        <w:t>r</w:t>
      </w:r>
      <w:r>
        <w:rPr>
          <w:rFonts w:ascii="Arial" w:hAnsi="Arial" w:cs="Arial"/>
          <w:sz w:val="24"/>
        </w:rPr>
        <w:t>iz</w:t>
      </w:r>
      <w:r>
        <w:rPr>
          <w:rFonts w:ascii="Arial" w:hAnsi="Arial" w:cs="Arial"/>
          <w:spacing w:val="9"/>
          <w:sz w:val="24"/>
        </w:rPr>
        <w:t xml:space="preserve"> </w:t>
      </w:r>
      <w:r>
        <w:rPr>
          <w:rFonts w:ascii="Arial" w:hAnsi="Arial" w:cs="Arial"/>
          <w:spacing w:val="1"/>
          <w:sz w:val="24"/>
        </w:rPr>
        <w:t xml:space="preserve">en Afrique de l’ouest, la méthodologie retenue consiste à </w:t>
      </w:r>
      <w:r>
        <w:rPr>
          <w:rFonts w:ascii="Arial" w:hAnsi="Arial" w:cs="Arial"/>
          <w:sz w:val="24"/>
        </w:rPr>
        <w:t>éva</w:t>
      </w:r>
      <w:r>
        <w:rPr>
          <w:rFonts w:ascii="Arial" w:hAnsi="Arial" w:cs="Arial"/>
          <w:spacing w:val="-2"/>
          <w:sz w:val="24"/>
        </w:rPr>
        <w:t>l</w:t>
      </w:r>
      <w:r>
        <w:rPr>
          <w:rFonts w:ascii="Arial" w:hAnsi="Arial" w:cs="Arial"/>
          <w:spacing w:val="1"/>
          <w:sz w:val="24"/>
        </w:rPr>
        <w:t>u</w:t>
      </w:r>
      <w:r>
        <w:rPr>
          <w:rFonts w:ascii="Arial" w:hAnsi="Arial" w:cs="Arial"/>
          <w:sz w:val="24"/>
        </w:rPr>
        <w:t>er</w:t>
      </w:r>
      <w:r>
        <w:rPr>
          <w:rFonts w:ascii="Arial" w:hAnsi="Arial" w:cs="Arial"/>
          <w:spacing w:val="1"/>
          <w:sz w:val="24"/>
        </w:rPr>
        <w:t xml:space="preserve"> </w:t>
      </w:r>
      <w:r>
        <w:rPr>
          <w:rFonts w:ascii="Arial" w:hAnsi="Arial" w:cs="Arial"/>
          <w:sz w:val="24"/>
        </w:rPr>
        <w:t>l</w:t>
      </w:r>
      <w:r>
        <w:rPr>
          <w:rFonts w:ascii="Arial" w:hAnsi="Arial" w:cs="Arial"/>
          <w:spacing w:val="-2"/>
          <w:sz w:val="24"/>
        </w:rPr>
        <w:t>’</w:t>
      </w:r>
      <w:r>
        <w:rPr>
          <w:rFonts w:ascii="Arial" w:hAnsi="Arial" w:cs="Arial"/>
          <w:sz w:val="24"/>
        </w:rPr>
        <w:t>im</w:t>
      </w:r>
      <w:r>
        <w:rPr>
          <w:rFonts w:ascii="Arial" w:hAnsi="Arial" w:cs="Arial"/>
          <w:spacing w:val="1"/>
          <w:sz w:val="24"/>
        </w:rPr>
        <w:t>p</w:t>
      </w:r>
      <w:r>
        <w:rPr>
          <w:rFonts w:ascii="Arial" w:hAnsi="Arial" w:cs="Arial"/>
          <w:sz w:val="24"/>
        </w:rPr>
        <w:t xml:space="preserve">act </w:t>
      </w:r>
      <w:r>
        <w:rPr>
          <w:rFonts w:ascii="Arial" w:hAnsi="Arial" w:cs="Arial"/>
          <w:spacing w:val="-1"/>
          <w:sz w:val="24"/>
        </w:rPr>
        <w:t>d</w:t>
      </w:r>
      <w:r>
        <w:rPr>
          <w:rFonts w:ascii="Arial" w:hAnsi="Arial" w:cs="Arial"/>
          <w:sz w:val="24"/>
        </w:rPr>
        <w:t xml:space="preserve">es </w:t>
      </w:r>
      <w:r>
        <w:rPr>
          <w:rFonts w:ascii="Arial" w:hAnsi="Arial" w:cs="Arial"/>
          <w:spacing w:val="1"/>
          <w:sz w:val="24"/>
        </w:rPr>
        <w:t>p</w:t>
      </w:r>
      <w:r>
        <w:rPr>
          <w:rFonts w:ascii="Arial" w:hAnsi="Arial" w:cs="Arial"/>
          <w:sz w:val="24"/>
        </w:rPr>
        <w:t>ol</w:t>
      </w:r>
      <w:r>
        <w:rPr>
          <w:rFonts w:ascii="Arial" w:hAnsi="Arial" w:cs="Arial"/>
          <w:spacing w:val="-2"/>
          <w:sz w:val="24"/>
        </w:rPr>
        <w:t>i</w:t>
      </w:r>
      <w:r>
        <w:rPr>
          <w:rFonts w:ascii="Arial" w:hAnsi="Arial" w:cs="Arial"/>
          <w:spacing w:val="1"/>
          <w:sz w:val="24"/>
        </w:rPr>
        <w:t>t</w:t>
      </w:r>
      <w:r>
        <w:rPr>
          <w:rFonts w:ascii="Arial" w:hAnsi="Arial" w:cs="Arial"/>
          <w:spacing w:val="4"/>
          <w:sz w:val="24"/>
        </w:rPr>
        <w:t>i</w:t>
      </w:r>
      <w:r>
        <w:rPr>
          <w:rFonts w:ascii="Arial" w:hAnsi="Arial" w:cs="Arial"/>
          <w:spacing w:val="-1"/>
          <w:sz w:val="24"/>
        </w:rPr>
        <w:t>q</w:t>
      </w:r>
      <w:r>
        <w:rPr>
          <w:rFonts w:ascii="Arial" w:hAnsi="Arial" w:cs="Arial"/>
          <w:spacing w:val="1"/>
          <w:sz w:val="24"/>
        </w:rPr>
        <w:t>u</w:t>
      </w:r>
      <w:r>
        <w:rPr>
          <w:rFonts w:ascii="Arial" w:hAnsi="Arial" w:cs="Arial"/>
          <w:sz w:val="24"/>
        </w:rPr>
        <w:t xml:space="preserve">es gouvernementales dans le secteur </w:t>
      </w:r>
      <w:r>
        <w:rPr>
          <w:rFonts w:ascii="Arial" w:hAnsi="Arial" w:cs="Arial"/>
          <w:spacing w:val="-3"/>
          <w:sz w:val="24"/>
        </w:rPr>
        <w:t>s</w:t>
      </w:r>
      <w:r>
        <w:rPr>
          <w:rFonts w:ascii="Arial" w:hAnsi="Arial" w:cs="Arial"/>
          <w:spacing w:val="1"/>
          <w:sz w:val="24"/>
        </w:rPr>
        <w:t>u</w:t>
      </w:r>
      <w:r>
        <w:rPr>
          <w:rFonts w:ascii="Arial" w:hAnsi="Arial" w:cs="Arial"/>
          <w:sz w:val="24"/>
        </w:rPr>
        <w:t>r les r</w:t>
      </w:r>
      <w:r>
        <w:rPr>
          <w:rFonts w:ascii="Arial" w:hAnsi="Arial" w:cs="Arial"/>
          <w:spacing w:val="1"/>
          <w:sz w:val="24"/>
        </w:rPr>
        <w:t>e</w:t>
      </w:r>
      <w:r>
        <w:rPr>
          <w:rFonts w:ascii="Arial" w:hAnsi="Arial" w:cs="Arial"/>
          <w:sz w:val="24"/>
        </w:rPr>
        <w:t>v</w:t>
      </w:r>
      <w:r>
        <w:rPr>
          <w:rFonts w:ascii="Arial" w:hAnsi="Arial" w:cs="Arial"/>
          <w:spacing w:val="-2"/>
          <w:sz w:val="24"/>
        </w:rPr>
        <w:t>e</w:t>
      </w:r>
      <w:r>
        <w:rPr>
          <w:rFonts w:ascii="Arial" w:hAnsi="Arial" w:cs="Arial"/>
          <w:spacing w:val="1"/>
          <w:sz w:val="24"/>
        </w:rPr>
        <w:t>nu</w:t>
      </w:r>
      <w:r>
        <w:rPr>
          <w:rFonts w:ascii="Arial" w:hAnsi="Arial" w:cs="Arial"/>
          <w:sz w:val="24"/>
        </w:rPr>
        <w:t xml:space="preserve">s </w:t>
      </w:r>
      <w:r>
        <w:rPr>
          <w:rFonts w:ascii="Arial" w:hAnsi="Arial" w:cs="Arial"/>
          <w:spacing w:val="-1"/>
          <w:sz w:val="24"/>
        </w:rPr>
        <w:t>d</w:t>
      </w:r>
      <w:r>
        <w:rPr>
          <w:rFonts w:ascii="Arial" w:hAnsi="Arial" w:cs="Arial"/>
          <w:sz w:val="24"/>
        </w:rPr>
        <w:t>es agr</w:t>
      </w:r>
      <w:r>
        <w:rPr>
          <w:rFonts w:ascii="Arial" w:hAnsi="Arial" w:cs="Arial"/>
          <w:spacing w:val="-2"/>
          <w:sz w:val="24"/>
        </w:rPr>
        <w:t>i</w:t>
      </w:r>
      <w:r>
        <w:rPr>
          <w:rFonts w:ascii="Arial" w:hAnsi="Arial" w:cs="Arial"/>
          <w:spacing w:val="-1"/>
          <w:sz w:val="24"/>
        </w:rPr>
        <w:t>c</w:t>
      </w:r>
      <w:r>
        <w:rPr>
          <w:rFonts w:ascii="Arial" w:hAnsi="Arial" w:cs="Arial"/>
          <w:spacing w:val="1"/>
          <w:sz w:val="24"/>
        </w:rPr>
        <w:t>u</w:t>
      </w:r>
      <w:r>
        <w:rPr>
          <w:rFonts w:ascii="Arial" w:hAnsi="Arial" w:cs="Arial"/>
          <w:sz w:val="24"/>
        </w:rPr>
        <w:t>l</w:t>
      </w:r>
      <w:r>
        <w:rPr>
          <w:rFonts w:ascii="Arial" w:hAnsi="Arial" w:cs="Arial"/>
          <w:spacing w:val="1"/>
          <w:sz w:val="24"/>
        </w:rPr>
        <w:t>t</w:t>
      </w:r>
      <w:r>
        <w:rPr>
          <w:rFonts w:ascii="Arial" w:hAnsi="Arial" w:cs="Arial"/>
          <w:sz w:val="24"/>
        </w:rPr>
        <w:t>e</w:t>
      </w:r>
      <w:r>
        <w:rPr>
          <w:rFonts w:ascii="Arial" w:hAnsi="Arial" w:cs="Arial"/>
          <w:spacing w:val="-1"/>
          <w:sz w:val="24"/>
        </w:rPr>
        <w:t>u</w:t>
      </w:r>
      <w:r>
        <w:rPr>
          <w:rFonts w:ascii="Arial" w:hAnsi="Arial" w:cs="Arial"/>
          <w:sz w:val="24"/>
        </w:rPr>
        <w:t>rs d’une part et</w:t>
      </w:r>
      <w:r>
        <w:rPr>
          <w:rFonts w:ascii="Arial" w:hAnsi="Arial" w:cs="Arial"/>
          <w:spacing w:val="1"/>
          <w:sz w:val="24"/>
        </w:rPr>
        <w:t xml:space="preserve"> </w:t>
      </w:r>
      <w:r>
        <w:rPr>
          <w:rFonts w:ascii="Arial" w:hAnsi="Arial" w:cs="Arial"/>
          <w:spacing w:val="-3"/>
          <w:sz w:val="24"/>
        </w:rPr>
        <w:t>s</w:t>
      </w:r>
      <w:r>
        <w:rPr>
          <w:rFonts w:ascii="Arial" w:hAnsi="Arial" w:cs="Arial"/>
          <w:spacing w:val="1"/>
          <w:sz w:val="24"/>
        </w:rPr>
        <w:t>u</w:t>
      </w:r>
      <w:r>
        <w:rPr>
          <w:rFonts w:ascii="Arial" w:hAnsi="Arial" w:cs="Arial"/>
          <w:sz w:val="24"/>
        </w:rPr>
        <w:t xml:space="preserve">r la </w:t>
      </w:r>
      <w:r>
        <w:rPr>
          <w:rFonts w:ascii="Arial" w:hAnsi="Arial" w:cs="Arial"/>
          <w:spacing w:val="-1"/>
          <w:sz w:val="24"/>
        </w:rPr>
        <w:t>c</w:t>
      </w:r>
      <w:r>
        <w:rPr>
          <w:rFonts w:ascii="Arial" w:hAnsi="Arial" w:cs="Arial"/>
          <w:sz w:val="24"/>
        </w:rPr>
        <w:t>ollec</w:t>
      </w:r>
      <w:r>
        <w:rPr>
          <w:rFonts w:ascii="Arial" w:hAnsi="Arial" w:cs="Arial"/>
          <w:spacing w:val="1"/>
          <w:sz w:val="24"/>
        </w:rPr>
        <w:t>t</w:t>
      </w:r>
      <w:r>
        <w:rPr>
          <w:rFonts w:ascii="Arial" w:hAnsi="Arial" w:cs="Arial"/>
          <w:sz w:val="24"/>
        </w:rPr>
        <w:t>ivi</w:t>
      </w:r>
      <w:r>
        <w:rPr>
          <w:rFonts w:ascii="Arial" w:hAnsi="Arial" w:cs="Arial"/>
          <w:spacing w:val="1"/>
          <w:sz w:val="24"/>
        </w:rPr>
        <w:t>t</w:t>
      </w:r>
      <w:r>
        <w:rPr>
          <w:rFonts w:ascii="Arial" w:hAnsi="Arial" w:cs="Arial"/>
          <w:sz w:val="24"/>
        </w:rPr>
        <w:t>é au travers d’une ma</w:t>
      </w:r>
      <w:r>
        <w:rPr>
          <w:rFonts w:ascii="Arial" w:hAnsi="Arial" w:cs="Arial"/>
          <w:spacing w:val="1"/>
          <w:sz w:val="24"/>
        </w:rPr>
        <w:t>t</w:t>
      </w:r>
      <w:r>
        <w:rPr>
          <w:rFonts w:ascii="Arial" w:hAnsi="Arial" w:cs="Arial"/>
          <w:sz w:val="24"/>
        </w:rPr>
        <w:t>rice</w:t>
      </w:r>
      <w:r>
        <w:rPr>
          <w:rFonts w:ascii="Arial" w:hAnsi="Arial" w:cs="Arial"/>
          <w:spacing w:val="20"/>
          <w:sz w:val="24"/>
        </w:rPr>
        <w:t xml:space="preserve"> </w:t>
      </w:r>
      <w:r>
        <w:rPr>
          <w:rFonts w:ascii="Arial" w:hAnsi="Arial" w:cs="Arial"/>
          <w:spacing w:val="1"/>
          <w:sz w:val="24"/>
        </w:rPr>
        <w:t>d</w:t>
      </w:r>
      <w:r>
        <w:rPr>
          <w:rFonts w:ascii="Arial" w:hAnsi="Arial" w:cs="Arial"/>
          <w:sz w:val="24"/>
        </w:rPr>
        <w:t>’a</w:t>
      </w:r>
      <w:r>
        <w:rPr>
          <w:rFonts w:ascii="Arial" w:hAnsi="Arial" w:cs="Arial"/>
          <w:spacing w:val="1"/>
          <w:sz w:val="24"/>
        </w:rPr>
        <w:t>n</w:t>
      </w:r>
      <w:r>
        <w:rPr>
          <w:rFonts w:ascii="Arial" w:hAnsi="Arial" w:cs="Arial"/>
          <w:sz w:val="24"/>
        </w:rPr>
        <w:t>alyse</w:t>
      </w:r>
      <w:r>
        <w:rPr>
          <w:rFonts w:ascii="Arial" w:hAnsi="Arial" w:cs="Arial"/>
          <w:spacing w:val="20"/>
          <w:sz w:val="24"/>
        </w:rPr>
        <w:t xml:space="preserve"> </w:t>
      </w:r>
      <w:r>
        <w:rPr>
          <w:rFonts w:ascii="Arial" w:hAnsi="Arial" w:cs="Arial"/>
          <w:spacing w:val="1"/>
          <w:sz w:val="24"/>
        </w:rPr>
        <w:t>d</w:t>
      </w:r>
      <w:r>
        <w:rPr>
          <w:rFonts w:ascii="Arial" w:hAnsi="Arial" w:cs="Arial"/>
          <w:spacing w:val="-2"/>
          <w:sz w:val="24"/>
        </w:rPr>
        <w:t>e</w:t>
      </w:r>
      <w:r>
        <w:rPr>
          <w:rFonts w:ascii="Arial" w:hAnsi="Arial" w:cs="Arial"/>
          <w:sz w:val="24"/>
        </w:rPr>
        <w:t>s</w:t>
      </w:r>
      <w:r>
        <w:rPr>
          <w:rFonts w:ascii="Arial" w:hAnsi="Arial" w:cs="Arial"/>
          <w:spacing w:val="20"/>
          <w:sz w:val="24"/>
        </w:rPr>
        <w:t xml:space="preserve"> </w:t>
      </w:r>
      <w:r>
        <w:rPr>
          <w:rFonts w:ascii="Arial" w:hAnsi="Arial" w:cs="Arial"/>
          <w:spacing w:val="1"/>
          <w:sz w:val="24"/>
        </w:rPr>
        <w:t>p</w:t>
      </w:r>
      <w:r>
        <w:rPr>
          <w:rFonts w:ascii="Arial" w:hAnsi="Arial" w:cs="Arial"/>
          <w:sz w:val="24"/>
        </w:rPr>
        <w:t>oli</w:t>
      </w:r>
      <w:r>
        <w:rPr>
          <w:rFonts w:ascii="Arial" w:hAnsi="Arial" w:cs="Arial"/>
          <w:spacing w:val="1"/>
          <w:sz w:val="24"/>
        </w:rPr>
        <w:t>t</w:t>
      </w:r>
      <w:r>
        <w:rPr>
          <w:rFonts w:ascii="Arial" w:hAnsi="Arial" w:cs="Arial"/>
          <w:sz w:val="24"/>
        </w:rPr>
        <w:t>i</w:t>
      </w:r>
      <w:r>
        <w:rPr>
          <w:rFonts w:ascii="Arial" w:hAnsi="Arial" w:cs="Arial"/>
          <w:spacing w:val="-1"/>
          <w:sz w:val="24"/>
        </w:rPr>
        <w:t>q</w:t>
      </w:r>
      <w:r>
        <w:rPr>
          <w:rFonts w:ascii="Arial" w:hAnsi="Arial" w:cs="Arial"/>
          <w:spacing w:val="1"/>
          <w:sz w:val="24"/>
        </w:rPr>
        <w:t>u</w:t>
      </w:r>
      <w:r>
        <w:rPr>
          <w:rFonts w:ascii="Arial" w:hAnsi="Arial" w:cs="Arial"/>
          <w:sz w:val="24"/>
        </w:rPr>
        <w:t>es</w:t>
      </w:r>
      <w:r>
        <w:rPr>
          <w:rFonts w:ascii="Arial" w:hAnsi="Arial" w:cs="Arial"/>
          <w:spacing w:val="20"/>
          <w:sz w:val="24"/>
        </w:rPr>
        <w:t xml:space="preserve"> </w:t>
      </w:r>
      <w:r>
        <w:rPr>
          <w:rFonts w:ascii="Arial" w:hAnsi="Arial" w:cs="Arial"/>
          <w:spacing w:val="-1"/>
          <w:sz w:val="24"/>
        </w:rPr>
        <w:t>(</w:t>
      </w:r>
      <w:r>
        <w:rPr>
          <w:rFonts w:ascii="Arial" w:hAnsi="Arial" w:cs="Arial"/>
          <w:spacing w:val="1"/>
          <w:sz w:val="24"/>
        </w:rPr>
        <w:t>M</w:t>
      </w:r>
      <w:r>
        <w:rPr>
          <w:rFonts w:ascii="Arial" w:hAnsi="Arial" w:cs="Arial"/>
          <w:sz w:val="24"/>
        </w:rPr>
        <w:t>A</w:t>
      </w:r>
      <w:r>
        <w:rPr>
          <w:rFonts w:ascii="Arial" w:hAnsi="Arial" w:cs="Arial"/>
          <w:spacing w:val="-1"/>
          <w:sz w:val="24"/>
        </w:rPr>
        <w:t>P)</w:t>
      </w:r>
      <w:r>
        <w:rPr>
          <w:rStyle w:val="Appelnotedebasdep"/>
          <w:rFonts w:ascii="Arial" w:hAnsi="Arial" w:cs="Arial"/>
          <w:spacing w:val="-1"/>
          <w:sz w:val="24"/>
        </w:rPr>
        <w:footnoteReference w:id="23"/>
      </w:r>
      <w:r>
        <w:rPr>
          <w:rFonts w:ascii="Arial" w:hAnsi="Arial" w:cs="Arial"/>
          <w:spacing w:val="1"/>
          <w:sz w:val="24"/>
        </w:rPr>
        <w:t xml:space="preserve"> d’autre part</w:t>
      </w:r>
      <w:r>
        <w:rPr>
          <w:rFonts w:ascii="Arial" w:hAnsi="Arial" w:cs="Arial"/>
          <w:sz w:val="24"/>
        </w:rPr>
        <w:t>.</w:t>
      </w:r>
      <w:r>
        <w:rPr>
          <w:rFonts w:ascii="Arial" w:hAnsi="Arial" w:cs="Arial"/>
          <w:spacing w:val="46"/>
          <w:sz w:val="24"/>
        </w:rPr>
        <w:t xml:space="preserve"> </w:t>
      </w:r>
      <w:r>
        <w:rPr>
          <w:rFonts w:ascii="Arial" w:hAnsi="Arial" w:cs="Arial"/>
          <w:sz w:val="24"/>
        </w:rPr>
        <w:t xml:space="preserve">La technique de construction des MAP </w:t>
      </w:r>
      <w:r>
        <w:rPr>
          <w:rFonts w:ascii="Arial" w:hAnsi="Arial" w:cs="Arial"/>
          <w:spacing w:val="1"/>
          <w:sz w:val="24"/>
        </w:rPr>
        <w:t xml:space="preserve"> </w:t>
      </w:r>
      <w:r>
        <w:rPr>
          <w:rFonts w:ascii="Arial" w:hAnsi="Arial" w:cs="Arial"/>
          <w:sz w:val="24"/>
        </w:rPr>
        <w:t>est basée sur la</w:t>
      </w:r>
      <w:r>
        <w:rPr>
          <w:rFonts w:ascii="Arial" w:hAnsi="Arial" w:cs="Arial"/>
          <w:spacing w:val="1"/>
          <w:sz w:val="24"/>
        </w:rPr>
        <w:t xml:space="preserve"> </w:t>
      </w:r>
      <w:r>
        <w:rPr>
          <w:rFonts w:ascii="Arial" w:hAnsi="Arial" w:cs="Arial"/>
          <w:spacing w:val="-1"/>
          <w:sz w:val="24"/>
        </w:rPr>
        <w:t>d</w:t>
      </w:r>
      <w:r>
        <w:rPr>
          <w:rFonts w:ascii="Arial" w:hAnsi="Arial" w:cs="Arial"/>
          <w:spacing w:val="1"/>
          <w:sz w:val="24"/>
        </w:rPr>
        <w:t>i</w:t>
      </w:r>
      <w:r>
        <w:rPr>
          <w:rFonts w:ascii="Arial" w:hAnsi="Arial" w:cs="Arial"/>
          <w:sz w:val="24"/>
        </w:rPr>
        <w:t>s</w:t>
      </w:r>
      <w:r>
        <w:rPr>
          <w:rFonts w:ascii="Arial" w:hAnsi="Arial" w:cs="Arial"/>
          <w:spacing w:val="-1"/>
          <w:sz w:val="24"/>
        </w:rPr>
        <w:t>t</w:t>
      </w:r>
      <w:r>
        <w:rPr>
          <w:rFonts w:ascii="Arial" w:hAnsi="Arial" w:cs="Arial"/>
          <w:sz w:val="24"/>
        </w:rPr>
        <w:t>inction faite entre</w:t>
      </w:r>
      <w:r>
        <w:rPr>
          <w:rFonts w:ascii="Arial" w:hAnsi="Arial" w:cs="Arial"/>
          <w:spacing w:val="1"/>
          <w:sz w:val="24"/>
        </w:rPr>
        <w:t xml:space="preserve"> </w:t>
      </w:r>
      <w:r>
        <w:rPr>
          <w:rFonts w:ascii="Arial" w:hAnsi="Arial" w:cs="Arial"/>
          <w:sz w:val="24"/>
        </w:rPr>
        <w:t>les</w:t>
      </w:r>
      <w:r>
        <w:rPr>
          <w:rFonts w:ascii="Arial" w:hAnsi="Arial" w:cs="Arial"/>
          <w:spacing w:val="1"/>
          <w:sz w:val="24"/>
        </w:rPr>
        <w:t xml:space="preserve"> </w:t>
      </w:r>
      <w:r>
        <w:rPr>
          <w:rFonts w:ascii="Arial" w:hAnsi="Arial" w:cs="Arial"/>
          <w:sz w:val="24"/>
        </w:rPr>
        <w:t>gr</w:t>
      </w:r>
      <w:r>
        <w:rPr>
          <w:rFonts w:ascii="Arial" w:hAnsi="Arial" w:cs="Arial"/>
          <w:spacing w:val="-1"/>
          <w:sz w:val="24"/>
        </w:rPr>
        <w:t>a</w:t>
      </w:r>
      <w:r>
        <w:rPr>
          <w:rFonts w:ascii="Arial" w:hAnsi="Arial" w:cs="Arial"/>
          <w:sz w:val="24"/>
        </w:rPr>
        <w:t>ndes</w:t>
      </w:r>
      <w:r>
        <w:rPr>
          <w:rFonts w:ascii="Arial" w:hAnsi="Arial" w:cs="Arial"/>
          <w:spacing w:val="1"/>
          <w:sz w:val="24"/>
        </w:rPr>
        <w:t xml:space="preserve"> </w:t>
      </w:r>
      <w:r>
        <w:rPr>
          <w:rFonts w:ascii="Arial" w:hAnsi="Arial" w:cs="Arial"/>
          <w:sz w:val="24"/>
        </w:rPr>
        <w:t>catég</w:t>
      </w:r>
      <w:r>
        <w:rPr>
          <w:rFonts w:ascii="Arial" w:hAnsi="Arial" w:cs="Arial"/>
          <w:spacing w:val="-1"/>
          <w:sz w:val="24"/>
        </w:rPr>
        <w:t>o</w:t>
      </w:r>
      <w:r>
        <w:rPr>
          <w:rFonts w:ascii="Arial" w:hAnsi="Arial" w:cs="Arial"/>
          <w:sz w:val="24"/>
        </w:rPr>
        <w:t>ries</w:t>
      </w:r>
      <w:r>
        <w:rPr>
          <w:rFonts w:ascii="Arial" w:hAnsi="Arial" w:cs="Arial"/>
          <w:spacing w:val="1"/>
          <w:sz w:val="24"/>
        </w:rPr>
        <w:t xml:space="preserve"> </w:t>
      </w:r>
      <w:r>
        <w:rPr>
          <w:rFonts w:ascii="Arial" w:hAnsi="Arial" w:cs="Arial"/>
          <w:spacing w:val="-1"/>
          <w:sz w:val="24"/>
        </w:rPr>
        <w:t>d</w:t>
      </w:r>
      <w:r>
        <w:rPr>
          <w:rFonts w:ascii="Arial" w:hAnsi="Arial" w:cs="Arial"/>
          <w:sz w:val="24"/>
        </w:rPr>
        <w:t>e</w:t>
      </w:r>
      <w:r>
        <w:rPr>
          <w:rFonts w:ascii="Arial" w:hAnsi="Arial" w:cs="Arial"/>
          <w:spacing w:val="1"/>
          <w:sz w:val="24"/>
        </w:rPr>
        <w:t xml:space="preserve"> </w:t>
      </w:r>
      <w:r>
        <w:rPr>
          <w:rFonts w:ascii="Arial" w:hAnsi="Arial" w:cs="Arial"/>
          <w:sz w:val="24"/>
        </w:rPr>
        <w:t>bie</w:t>
      </w:r>
      <w:r>
        <w:rPr>
          <w:rFonts w:ascii="Arial" w:hAnsi="Arial" w:cs="Arial"/>
          <w:spacing w:val="-1"/>
          <w:sz w:val="24"/>
        </w:rPr>
        <w:t>n</w:t>
      </w:r>
      <w:r>
        <w:rPr>
          <w:rFonts w:ascii="Arial" w:hAnsi="Arial" w:cs="Arial"/>
          <w:sz w:val="24"/>
        </w:rPr>
        <w:t>s</w:t>
      </w:r>
      <w:r>
        <w:rPr>
          <w:rFonts w:ascii="Arial" w:hAnsi="Arial" w:cs="Arial"/>
          <w:spacing w:val="1"/>
          <w:sz w:val="24"/>
        </w:rPr>
        <w:t xml:space="preserve"> </w:t>
      </w:r>
      <w:r>
        <w:rPr>
          <w:rFonts w:ascii="Arial" w:hAnsi="Arial" w:cs="Arial"/>
          <w:sz w:val="24"/>
        </w:rPr>
        <w:t>et services</w:t>
      </w:r>
      <w:r>
        <w:rPr>
          <w:rFonts w:ascii="Arial" w:hAnsi="Arial" w:cs="Arial"/>
          <w:spacing w:val="1"/>
          <w:sz w:val="24"/>
        </w:rPr>
        <w:t xml:space="preserve"> </w:t>
      </w:r>
      <w:r>
        <w:rPr>
          <w:rFonts w:ascii="Arial" w:hAnsi="Arial" w:cs="Arial"/>
          <w:sz w:val="24"/>
        </w:rPr>
        <w:t>valorisés</w:t>
      </w:r>
      <w:r>
        <w:rPr>
          <w:rFonts w:ascii="Arial" w:hAnsi="Arial" w:cs="Arial"/>
          <w:spacing w:val="1"/>
          <w:sz w:val="24"/>
        </w:rPr>
        <w:t xml:space="preserve"> </w:t>
      </w:r>
      <w:r>
        <w:rPr>
          <w:rFonts w:ascii="Arial" w:hAnsi="Arial" w:cs="Arial"/>
          <w:sz w:val="24"/>
        </w:rPr>
        <w:t>l</w:t>
      </w:r>
      <w:r>
        <w:rPr>
          <w:rFonts w:ascii="Arial" w:hAnsi="Arial" w:cs="Arial"/>
          <w:spacing w:val="-1"/>
          <w:sz w:val="24"/>
        </w:rPr>
        <w:t>o</w:t>
      </w:r>
      <w:r>
        <w:rPr>
          <w:rFonts w:ascii="Arial" w:hAnsi="Arial" w:cs="Arial"/>
          <w:sz w:val="24"/>
        </w:rPr>
        <w:t>rs</w:t>
      </w:r>
      <w:r>
        <w:rPr>
          <w:rFonts w:ascii="Arial" w:hAnsi="Arial" w:cs="Arial"/>
          <w:spacing w:val="1"/>
          <w:sz w:val="24"/>
        </w:rPr>
        <w:t xml:space="preserve"> </w:t>
      </w:r>
      <w:r>
        <w:rPr>
          <w:rFonts w:ascii="Arial" w:hAnsi="Arial" w:cs="Arial"/>
          <w:spacing w:val="-1"/>
          <w:sz w:val="24"/>
        </w:rPr>
        <w:t>d</w:t>
      </w:r>
      <w:r>
        <w:rPr>
          <w:rFonts w:ascii="Arial" w:hAnsi="Arial" w:cs="Arial"/>
          <w:sz w:val="24"/>
        </w:rPr>
        <w:t>e</w:t>
      </w:r>
      <w:r>
        <w:rPr>
          <w:rFonts w:ascii="Arial" w:hAnsi="Arial" w:cs="Arial"/>
          <w:spacing w:val="1"/>
          <w:sz w:val="24"/>
        </w:rPr>
        <w:t xml:space="preserve"> </w:t>
      </w:r>
      <w:r>
        <w:rPr>
          <w:rFonts w:ascii="Arial" w:hAnsi="Arial" w:cs="Arial"/>
          <w:sz w:val="24"/>
        </w:rPr>
        <w:t>l’analyse</w:t>
      </w:r>
      <w:r>
        <w:rPr>
          <w:rFonts w:ascii="Arial" w:hAnsi="Arial" w:cs="Arial"/>
          <w:spacing w:val="1"/>
          <w:sz w:val="24"/>
        </w:rPr>
        <w:t xml:space="preserve"> </w:t>
      </w:r>
      <w:r>
        <w:rPr>
          <w:rFonts w:ascii="Arial" w:hAnsi="Arial" w:cs="Arial"/>
          <w:sz w:val="24"/>
        </w:rPr>
        <w:t>de</w:t>
      </w:r>
      <w:r>
        <w:rPr>
          <w:rFonts w:ascii="Arial" w:hAnsi="Arial" w:cs="Arial"/>
          <w:spacing w:val="1"/>
          <w:sz w:val="24"/>
        </w:rPr>
        <w:t xml:space="preserve"> la </w:t>
      </w:r>
      <w:r>
        <w:rPr>
          <w:rFonts w:ascii="Arial" w:hAnsi="Arial" w:cs="Arial"/>
          <w:sz w:val="24"/>
        </w:rPr>
        <w:t>filière. Il s’agit principalement des</w:t>
      </w:r>
      <w:r>
        <w:rPr>
          <w:rFonts w:ascii="Arial" w:hAnsi="Arial" w:cs="Arial"/>
          <w:spacing w:val="1"/>
          <w:sz w:val="24"/>
        </w:rPr>
        <w:t xml:space="preserve"> </w:t>
      </w:r>
      <w:r>
        <w:rPr>
          <w:rFonts w:ascii="Arial" w:hAnsi="Arial" w:cs="Arial"/>
          <w:spacing w:val="-1"/>
          <w:sz w:val="24"/>
        </w:rPr>
        <w:t>p</w:t>
      </w:r>
      <w:r>
        <w:rPr>
          <w:rFonts w:ascii="Arial" w:hAnsi="Arial" w:cs="Arial"/>
          <w:sz w:val="24"/>
        </w:rPr>
        <w:t>roduits,</w:t>
      </w:r>
      <w:r>
        <w:rPr>
          <w:rFonts w:ascii="Arial" w:hAnsi="Arial" w:cs="Arial"/>
          <w:spacing w:val="1"/>
          <w:sz w:val="24"/>
        </w:rPr>
        <w:t xml:space="preserve"> </w:t>
      </w:r>
      <w:r>
        <w:rPr>
          <w:rFonts w:ascii="Arial" w:hAnsi="Arial" w:cs="Arial"/>
          <w:sz w:val="24"/>
        </w:rPr>
        <w:t>bie</w:t>
      </w:r>
      <w:r>
        <w:rPr>
          <w:rFonts w:ascii="Arial" w:hAnsi="Arial" w:cs="Arial"/>
          <w:spacing w:val="-1"/>
          <w:sz w:val="24"/>
        </w:rPr>
        <w:t>n</w:t>
      </w:r>
      <w:r>
        <w:rPr>
          <w:rFonts w:ascii="Arial" w:hAnsi="Arial" w:cs="Arial"/>
          <w:sz w:val="24"/>
        </w:rPr>
        <w:t>s</w:t>
      </w:r>
      <w:r>
        <w:rPr>
          <w:rFonts w:ascii="Arial" w:hAnsi="Arial" w:cs="Arial"/>
          <w:spacing w:val="1"/>
          <w:sz w:val="24"/>
        </w:rPr>
        <w:t xml:space="preserve"> </w:t>
      </w:r>
      <w:r>
        <w:rPr>
          <w:rFonts w:ascii="Arial" w:hAnsi="Arial" w:cs="Arial"/>
          <w:sz w:val="24"/>
        </w:rPr>
        <w:t>et</w:t>
      </w:r>
      <w:r>
        <w:rPr>
          <w:rFonts w:ascii="Arial" w:hAnsi="Arial" w:cs="Arial"/>
          <w:spacing w:val="1"/>
          <w:sz w:val="24"/>
        </w:rPr>
        <w:t xml:space="preserve"> </w:t>
      </w:r>
      <w:r>
        <w:rPr>
          <w:rFonts w:ascii="Arial" w:hAnsi="Arial" w:cs="Arial"/>
          <w:sz w:val="24"/>
        </w:rPr>
        <w:t>services éc</w:t>
      </w:r>
      <w:r>
        <w:rPr>
          <w:rFonts w:ascii="Arial" w:hAnsi="Arial" w:cs="Arial"/>
          <w:spacing w:val="1"/>
          <w:sz w:val="24"/>
        </w:rPr>
        <w:t>h</w:t>
      </w:r>
      <w:r>
        <w:rPr>
          <w:rFonts w:ascii="Arial" w:hAnsi="Arial" w:cs="Arial"/>
          <w:sz w:val="24"/>
        </w:rPr>
        <w:t>a</w:t>
      </w:r>
      <w:r>
        <w:rPr>
          <w:rFonts w:ascii="Arial" w:hAnsi="Arial" w:cs="Arial"/>
          <w:spacing w:val="1"/>
          <w:sz w:val="24"/>
        </w:rPr>
        <w:t>n</w:t>
      </w:r>
      <w:r>
        <w:rPr>
          <w:rFonts w:ascii="Arial" w:hAnsi="Arial" w:cs="Arial"/>
          <w:sz w:val="24"/>
        </w:rPr>
        <w:t>gea</w:t>
      </w:r>
      <w:r>
        <w:rPr>
          <w:rFonts w:ascii="Arial" w:hAnsi="Arial" w:cs="Arial"/>
          <w:spacing w:val="2"/>
          <w:sz w:val="24"/>
        </w:rPr>
        <w:t>b</w:t>
      </w:r>
      <w:r>
        <w:rPr>
          <w:rFonts w:ascii="Arial" w:hAnsi="Arial" w:cs="Arial"/>
          <w:spacing w:val="-2"/>
          <w:sz w:val="24"/>
        </w:rPr>
        <w:t>l</w:t>
      </w:r>
      <w:r>
        <w:rPr>
          <w:rFonts w:ascii="Arial" w:hAnsi="Arial" w:cs="Arial"/>
          <w:sz w:val="24"/>
        </w:rPr>
        <w:t>es</w:t>
      </w:r>
      <w:r>
        <w:rPr>
          <w:rFonts w:ascii="Arial" w:hAnsi="Arial" w:cs="Arial"/>
          <w:spacing w:val="1"/>
          <w:sz w:val="24"/>
        </w:rPr>
        <w:t xml:space="preserve"> </w:t>
      </w:r>
      <w:r>
        <w:rPr>
          <w:rFonts w:ascii="Arial" w:hAnsi="Arial" w:cs="Arial"/>
          <w:sz w:val="24"/>
        </w:rPr>
        <w:t>et</w:t>
      </w:r>
      <w:r>
        <w:rPr>
          <w:rFonts w:ascii="Arial" w:hAnsi="Arial" w:cs="Arial"/>
          <w:spacing w:val="2"/>
          <w:sz w:val="24"/>
        </w:rPr>
        <w:t xml:space="preserve"> </w:t>
      </w:r>
      <w:r>
        <w:rPr>
          <w:rFonts w:ascii="Arial" w:hAnsi="Arial" w:cs="Arial"/>
          <w:spacing w:val="1"/>
          <w:sz w:val="24"/>
        </w:rPr>
        <w:t>n</w:t>
      </w:r>
      <w:r>
        <w:rPr>
          <w:rFonts w:ascii="Arial" w:hAnsi="Arial" w:cs="Arial"/>
          <w:spacing w:val="-2"/>
          <w:sz w:val="24"/>
        </w:rPr>
        <w:t>o</w:t>
      </w:r>
      <w:r>
        <w:rPr>
          <w:rFonts w:ascii="Arial" w:hAnsi="Arial" w:cs="Arial"/>
          <w:sz w:val="24"/>
        </w:rPr>
        <w:t>n</w:t>
      </w:r>
      <w:r>
        <w:rPr>
          <w:rFonts w:ascii="Arial" w:hAnsi="Arial" w:cs="Arial"/>
          <w:spacing w:val="2"/>
          <w:sz w:val="24"/>
        </w:rPr>
        <w:t xml:space="preserve"> </w:t>
      </w:r>
      <w:r>
        <w:rPr>
          <w:rFonts w:ascii="Arial" w:hAnsi="Arial" w:cs="Arial"/>
          <w:sz w:val="24"/>
        </w:rPr>
        <w:t>éc</w:t>
      </w:r>
      <w:r>
        <w:rPr>
          <w:rFonts w:ascii="Arial" w:hAnsi="Arial" w:cs="Arial"/>
          <w:spacing w:val="1"/>
          <w:sz w:val="24"/>
        </w:rPr>
        <w:t>h</w:t>
      </w:r>
      <w:r>
        <w:rPr>
          <w:rFonts w:ascii="Arial" w:hAnsi="Arial" w:cs="Arial"/>
          <w:sz w:val="24"/>
        </w:rPr>
        <w:t>a</w:t>
      </w:r>
      <w:r>
        <w:rPr>
          <w:rFonts w:ascii="Arial" w:hAnsi="Arial" w:cs="Arial"/>
          <w:spacing w:val="1"/>
          <w:sz w:val="24"/>
        </w:rPr>
        <w:t>n</w:t>
      </w:r>
      <w:r>
        <w:rPr>
          <w:rFonts w:ascii="Arial" w:hAnsi="Arial" w:cs="Arial"/>
          <w:sz w:val="24"/>
        </w:rPr>
        <w:t>ge</w:t>
      </w:r>
      <w:r>
        <w:rPr>
          <w:rFonts w:ascii="Arial" w:hAnsi="Arial" w:cs="Arial"/>
          <w:spacing w:val="-2"/>
          <w:sz w:val="24"/>
        </w:rPr>
        <w:t>a</w:t>
      </w:r>
      <w:r>
        <w:rPr>
          <w:rFonts w:ascii="Arial" w:hAnsi="Arial" w:cs="Arial"/>
          <w:spacing w:val="1"/>
          <w:sz w:val="24"/>
        </w:rPr>
        <w:t>b</w:t>
      </w:r>
      <w:r>
        <w:rPr>
          <w:rFonts w:ascii="Arial" w:hAnsi="Arial" w:cs="Arial"/>
          <w:sz w:val="24"/>
        </w:rPr>
        <w:t>les. Le tableau suivant donne une synthèse des grandes étapes du modèle de MAP.</w:t>
      </w:r>
    </w:p>
    <w:p w14:paraId="4B78E9D6" w14:textId="77777777" w:rsidR="008862C7" w:rsidRDefault="008862C7" w:rsidP="008862C7">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Tableau 2.2 : </w:t>
      </w:r>
      <w:r>
        <w:rPr>
          <w:rFonts w:ascii="Arial" w:hAnsi="Arial" w:cs="Arial"/>
          <w:sz w:val="24"/>
          <w:szCs w:val="24"/>
        </w:rPr>
        <w:t>Présentation de la Matrice d’Analyse des Politiques</w:t>
      </w:r>
    </w:p>
    <w:tbl>
      <w:tblPr>
        <w:tblW w:w="0" w:type="auto"/>
        <w:tblLayout w:type="fixed"/>
        <w:tblCellMar>
          <w:left w:w="0" w:type="dxa"/>
          <w:right w:w="0" w:type="dxa"/>
        </w:tblCellMar>
        <w:tblLook w:val="04A0" w:firstRow="1" w:lastRow="0" w:firstColumn="1" w:lastColumn="0" w:noHBand="0" w:noVBand="1"/>
      </w:tblPr>
      <w:tblGrid>
        <w:gridCol w:w="1908"/>
        <w:gridCol w:w="783"/>
        <w:gridCol w:w="1924"/>
        <w:gridCol w:w="2096"/>
        <w:gridCol w:w="571"/>
        <w:gridCol w:w="1626"/>
      </w:tblGrid>
      <w:tr w:rsidR="008862C7" w14:paraId="11931DEC" w14:textId="77777777" w:rsidTr="008862C7">
        <w:trPr>
          <w:trHeight w:hRule="exact" w:val="337"/>
        </w:trPr>
        <w:tc>
          <w:tcPr>
            <w:tcW w:w="1908" w:type="dxa"/>
            <w:vMerge w:val="restart"/>
            <w:tcBorders>
              <w:top w:val="nil"/>
              <w:left w:val="nil"/>
              <w:bottom w:val="single" w:sz="12" w:space="0" w:color="000000"/>
              <w:right w:val="single" w:sz="8" w:space="0" w:color="000000"/>
            </w:tcBorders>
          </w:tcPr>
          <w:p w14:paraId="78AF86B0" w14:textId="77777777" w:rsidR="008862C7" w:rsidRDefault="008862C7">
            <w:pPr>
              <w:widowControl w:val="0"/>
              <w:tabs>
                <w:tab w:val="left" w:pos="708"/>
              </w:tabs>
              <w:autoSpaceDE w:val="0"/>
              <w:autoSpaceDN w:val="0"/>
              <w:adjustRightInd w:val="0"/>
              <w:spacing w:after="200" w:line="276" w:lineRule="auto"/>
              <w:rPr>
                <w:rFonts w:eastAsia="Times New Roman" w:cs="Times New Roman"/>
              </w:rPr>
            </w:pPr>
          </w:p>
        </w:tc>
        <w:tc>
          <w:tcPr>
            <w:tcW w:w="2707" w:type="dxa"/>
            <w:gridSpan w:val="2"/>
            <w:tcBorders>
              <w:top w:val="single" w:sz="12" w:space="0" w:color="000000"/>
              <w:left w:val="single" w:sz="8" w:space="0" w:color="000000"/>
              <w:bottom w:val="single" w:sz="12" w:space="0" w:color="000000"/>
              <w:right w:val="single" w:sz="8" w:space="0" w:color="000000"/>
            </w:tcBorders>
            <w:hideMark/>
          </w:tcPr>
          <w:p w14:paraId="00CF06E0" w14:textId="77777777" w:rsidR="008862C7" w:rsidRDefault="008862C7">
            <w:pPr>
              <w:widowControl w:val="0"/>
              <w:tabs>
                <w:tab w:val="left" w:pos="708"/>
              </w:tabs>
              <w:autoSpaceDE w:val="0"/>
              <w:autoSpaceDN w:val="0"/>
              <w:adjustRightInd w:val="0"/>
              <w:spacing w:after="200" w:line="303" w:lineRule="exact"/>
              <w:ind w:left="808"/>
              <w:rPr>
                <w:rFonts w:eastAsia="Times New Roman" w:cs="Times New Roman"/>
              </w:rPr>
            </w:pPr>
            <w:r>
              <w:rPr>
                <w:rFonts w:ascii="Arial" w:hAnsi="Arial" w:cs="Arial"/>
                <w:spacing w:val="-1"/>
                <w:w w:val="66"/>
                <w:szCs w:val="27"/>
              </w:rPr>
              <w:t>E</w:t>
            </w:r>
            <w:r>
              <w:rPr>
                <w:rFonts w:ascii="Arial" w:hAnsi="Arial" w:cs="Arial"/>
                <w:spacing w:val="1"/>
                <w:w w:val="66"/>
                <w:szCs w:val="27"/>
              </w:rPr>
              <w:t>c</w:t>
            </w:r>
            <w:r>
              <w:rPr>
                <w:rFonts w:ascii="Arial" w:hAnsi="Arial" w:cs="Arial"/>
                <w:spacing w:val="-1"/>
                <w:w w:val="66"/>
                <w:szCs w:val="27"/>
              </w:rPr>
              <w:t>hang</w:t>
            </w:r>
            <w:r>
              <w:rPr>
                <w:rFonts w:ascii="Arial" w:hAnsi="Arial" w:cs="Arial"/>
                <w:spacing w:val="1"/>
                <w:w w:val="66"/>
                <w:szCs w:val="27"/>
              </w:rPr>
              <w:t>e</w:t>
            </w:r>
            <w:r>
              <w:rPr>
                <w:rFonts w:ascii="Arial" w:hAnsi="Arial" w:cs="Arial"/>
                <w:spacing w:val="-1"/>
                <w:w w:val="66"/>
                <w:szCs w:val="27"/>
              </w:rPr>
              <w:t>ab</w:t>
            </w:r>
            <w:r>
              <w:rPr>
                <w:rFonts w:ascii="Arial" w:hAnsi="Arial" w:cs="Arial"/>
                <w:spacing w:val="-2"/>
                <w:w w:val="66"/>
                <w:szCs w:val="27"/>
              </w:rPr>
              <w:t>l</w:t>
            </w:r>
            <w:r>
              <w:rPr>
                <w:rFonts w:ascii="Arial" w:hAnsi="Arial" w:cs="Arial"/>
                <w:spacing w:val="1"/>
                <w:w w:val="66"/>
                <w:szCs w:val="27"/>
              </w:rPr>
              <w:t>e</w:t>
            </w:r>
            <w:r>
              <w:rPr>
                <w:rFonts w:ascii="Arial" w:hAnsi="Arial" w:cs="Arial"/>
                <w:w w:val="66"/>
                <w:szCs w:val="27"/>
              </w:rPr>
              <w:t>s</w:t>
            </w:r>
          </w:p>
        </w:tc>
        <w:tc>
          <w:tcPr>
            <w:tcW w:w="2667" w:type="dxa"/>
            <w:gridSpan w:val="2"/>
            <w:tcBorders>
              <w:top w:val="single" w:sz="12" w:space="0" w:color="000000"/>
              <w:left w:val="single" w:sz="8" w:space="0" w:color="000000"/>
              <w:bottom w:val="single" w:sz="12" w:space="0" w:color="000000"/>
              <w:right w:val="single" w:sz="8" w:space="0" w:color="000000"/>
            </w:tcBorders>
            <w:hideMark/>
          </w:tcPr>
          <w:p w14:paraId="21477972" w14:textId="77777777" w:rsidR="008862C7" w:rsidRDefault="008862C7">
            <w:pPr>
              <w:widowControl w:val="0"/>
              <w:tabs>
                <w:tab w:val="left" w:pos="708"/>
              </w:tabs>
              <w:autoSpaceDE w:val="0"/>
              <w:autoSpaceDN w:val="0"/>
              <w:adjustRightInd w:val="0"/>
              <w:spacing w:after="200" w:line="303" w:lineRule="exact"/>
              <w:ind w:left="25"/>
              <w:rPr>
                <w:rFonts w:eastAsia="Times New Roman" w:cs="Times New Roman"/>
              </w:rPr>
            </w:pPr>
            <w:r>
              <w:rPr>
                <w:rFonts w:ascii="Arial" w:hAnsi="Arial" w:cs="Arial"/>
                <w:spacing w:val="1"/>
                <w:w w:val="66"/>
                <w:szCs w:val="27"/>
              </w:rPr>
              <w:t>N</w:t>
            </w:r>
            <w:r>
              <w:rPr>
                <w:rFonts w:ascii="Arial" w:hAnsi="Arial" w:cs="Arial"/>
                <w:spacing w:val="-1"/>
                <w:w w:val="66"/>
                <w:szCs w:val="27"/>
              </w:rPr>
              <w:t>o</w:t>
            </w:r>
            <w:r>
              <w:rPr>
                <w:rFonts w:ascii="Arial" w:hAnsi="Arial" w:cs="Arial"/>
                <w:w w:val="66"/>
                <w:szCs w:val="27"/>
              </w:rPr>
              <w:t xml:space="preserve">n </w:t>
            </w:r>
            <w:r>
              <w:rPr>
                <w:rFonts w:ascii="Arial" w:hAnsi="Arial" w:cs="Arial"/>
                <w:spacing w:val="-1"/>
                <w:w w:val="66"/>
                <w:szCs w:val="27"/>
              </w:rPr>
              <w:t>é</w:t>
            </w:r>
            <w:r>
              <w:rPr>
                <w:rFonts w:ascii="Arial" w:hAnsi="Arial" w:cs="Arial"/>
                <w:spacing w:val="1"/>
                <w:w w:val="66"/>
                <w:szCs w:val="27"/>
              </w:rPr>
              <w:t>c</w:t>
            </w:r>
            <w:r>
              <w:rPr>
                <w:rFonts w:ascii="Arial" w:hAnsi="Arial" w:cs="Arial"/>
                <w:spacing w:val="-1"/>
                <w:w w:val="66"/>
                <w:szCs w:val="27"/>
              </w:rPr>
              <w:t>hang</w:t>
            </w:r>
            <w:r>
              <w:rPr>
                <w:rFonts w:ascii="Arial" w:hAnsi="Arial" w:cs="Arial"/>
                <w:spacing w:val="1"/>
                <w:w w:val="66"/>
                <w:szCs w:val="27"/>
              </w:rPr>
              <w:t>e</w:t>
            </w:r>
            <w:r>
              <w:rPr>
                <w:rFonts w:ascii="Arial" w:hAnsi="Arial" w:cs="Arial"/>
                <w:spacing w:val="-1"/>
                <w:w w:val="66"/>
                <w:szCs w:val="27"/>
              </w:rPr>
              <w:t>ab</w:t>
            </w:r>
            <w:r>
              <w:rPr>
                <w:rFonts w:ascii="Arial" w:hAnsi="Arial" w:cs="Arial"/>
                <w:spacing w:val="-2"/>
                <w:w w:val="66"/>
                <w:szCs w:val="27"/>
              </w:rPr>
              <w:t>l</w:t>
            </w:r>
            <w:r>
              <w:rPr>
                <w:rFonts w:ascii="Arial" w:hAnsi="Arial" w:cs="Arial"/>
                <w:spacing w:val="1"/>
                <w:w w:val="66"/>
                <w:szCs w:val="27"/>
              </w:rPr>
              <w:t>e</w:t>
            </w:r>
            <w:r>
              <w:rPr>
                <w:rFonts w:ascii="Arial" w:hAnsi="Arial" w:cs="Arial"/>
                <w:w w:val="66"/>
                <w:szCs w:val="27"/>
              </w:rPr>
              <w:t>s</w:t>
            </w:r>
          </w:p>
        </w:tc>
        <w:tc>
          <w:tcPr>
            <w:tcW w:w="1626" w:type="dxa"/>
            <w:tcBorders>
              <w:top w:val="nil"/>
              <w:left w:val="single" w:sz="8" w:space="0" w:color="000000"/>
              <w:bottom w:val="single" w:sz="12" w:space="0" w:color="000000"/>
              <w:right w:val="nil"/>
            </w:tcBorders>
          </w:tcPr>
          <w:p w14:paraId="4E0ADB7D" w14:textId="77777777" w:rsidR="008862C7" w:rsidRDefault="008862C7">
            <w:pPr>
              <w:widowControl w:val="0"/>
              <w:tabs>
                <w:tab w:val="left" w:pos="708"/>
              </w:tabs>
              <w:autoSpaceDE w:val="0"/>
              <w:autoSpaceDN w:val="0"/>
              <w:adjustRightInd w:val="0"/>
              <w:spacing w:after="200" w:line="276" w:lineRule="auto"/>
              <w:rPr>
                <w:rFonts w:eastAsia="Times New Roman" w:cs="Times New Roman"/>
              </w:rPr>
            </w:pPr>
          </w:p>
        </w:tc>
      </w:tr>
      <w:tr w:rsidR="008862C7" w14:paraId="4A0FB2BB" w14:textId="77777777" w:rsidTr="008862C7">
        <w:trPr>
          <w:trHeight w:hRule="exact" w:val="337"/>
        </w:trPr>
        <w:tc>
          <w:tcPr>
            <w:tcW w:w="1908" w:type="dxa"/>
            <w:vMerge/>
            <w:tcBorders>
              <w:top w:val="nil"/>
              <w:left w:val="nil"/>
              <w:bottom w:val="single" w:sz="12" w:space="0" w:color="000000"/>
              <w:right w:val="single" w:sz="8" w:space="0" w:color="000000"/>
            </w:tcBorders>
            <w:vAlign w:val="center"/>
            <w:hideMark/>
          </w:tcPr>
          <w:p w14:paraId="53EF97E3" w14:textId="77777777" w:rsidR="008862C7" w:rsidRDefault="008862C7">
            <w:pPr>
              <w:spacing w:after="0" w:line="240" w:lineRule="auto"/>
              <w:rPr>
                <w:rFonts w:eastAsia="Times New Roman" w:cs="Times New Roman"/>
              </w:rPr>
            </w:pPr>
          </w:p>
        </w:tc>
        <w:tc>
          <w:tcPr>
            <w:tcW w:w="783" w:type="dxa"/>
            <w:tcBorders>
              <w:top w:val="single" w:sz="12" w:space="0" w:color="000000"/>
              <w:left w:val="single" w:sz="8" w:space="0" w:color="000000"/>
              <w:bottom w:val="single" w:sz="12" w:space="0" w:color="000000"/>
              <w:right w:val="single" w:sz="8" w:space="0" w:color="000000"/>
            </w:tcBorders>
            <w:hideMark/>
          </w:tcPr>
          <w:p w14:paraId="29A2BF4D" w14:textId="77777777" w:rsidR="008862C7" w:rsidRDefault="008862C7">
            <w:pPr>
              <w:widowControl w:val="0"/>
              <w:tabs>
                <w:tab w:val="left" w:pos="708"/>
              </w:tabs>
              <w:autoSpaceDE w:val="0"/>
              <w:autoSpaceDN w:val="0"/>
              <w:adjustRightInd w:val="0"/>
              <w:spacing w:after="200" w:line="302" w:lineRule="exact"/>
              <w:ind w:left="24"/>
              <w:rPr>
                <w:rFonts w:eastAsia="Times New Roman" w:cs="Times New Roman"/>
              </w:rPr>
            </w:pPr>
            <w:r>
              <w:rPr>
                <w:rFonts w:ascii="Arial" w:hAnsi="Arial" w:cs="Arial"/>
                <w:spacing w:val="-1"/>
                <w:w w:val="66"/>
                <w:szCs w:val="27"/>
              </w:rPr>
              <w:t>Pr</w:t>
            </w:r>
            <w:r>
              <w:rPr>
                <w:rFonts w:ascii="Arial" w:hAnsi="Arial" w:cs="Arial"/>
                <w:spacing w:val="1"/>
                <w:w w:val="66"/>
                <w:szCs w:val="27"/>
              </w:rPr>
              <w:t>o</w:t>
            </w:r>
            <w:r>
              <w:rPr>
                <w:rFonts w:ascii="Arial" w:hAnsi="Arial" w:cs="Arial"/>
                <w:spacing w:val="-1"/>
                <w:w w:val="66"/>
                <w:szCs w:val="27"/>
              </w:rPr>
              <w:t>duits</w:t>
            </w:r>
          </w:p>
        </w:tc>
        <w:tc>
          <w:tcPr>
            <w:tcW w:w="1924" w:type="dxa"/>
            <w:tcBorders>
              <w:top w:val="single" w:sz="12" w:space="0" w:color="000000"/>
              <w:left w:val="single" w:sz="8" w:space="0" w:color="000000"/>
              <w:bottom w:val="single" w:sz="12" w:space="0" w:color="000000"/>
              <w:right w:val="single" w:sz="8" w:space="0" w:color="000000"/>
            </w:tcBorders>
            <w:hideMark/>
          </w:tcPr>
          <w:p w14:paraId="6391ACA9" w14:textId="77777777" w:rsidR="008862C7" w:rsidRDefault="008862C7">
            <w:pPr>
              <w:widowControl w:val="0"/>
              <w:tabs>
                <w:tab w:val="left" w:pos="708"/>
              </w:tabs>
              <w:autoSpaceDE w:val="0"/>
              <w:autoSpaceDN w:val="0"/>
              <w:adjustRightInd w:val="0"/>
              <w:spacing w:after="200" w:line="302" w:lineRule="exact"/>
              <w:ind w:left="25" w:right="-21"/>
              <w:rPr>
                <w:rFonts w:eastAsia="Times New Roman" w:cs="Times New Roman"/>
              </w:rPr>
            </w:pPr>
            <w:r>
              <w:rPr>
                <w:rFonts w:ascii="Arial" w:hAnsi="Arial" w:cs="Arial"/>
                <w:w w:val="65"/>
                <w:szCs w:val="27"/>
              </w:rPr>
              <w:t>F</w:t>
            </w:r>
            <w:r>
              <w:rPr>
                <w:rFonts w:ascii="Arial" w:hAnsi="Arial" w:cs="Arial"/>
                <w:spacing w:val="1"/>
                <w:w w:val="65"/>
                <w:szCs w:val="27"/>
              </w:rPr>
              <w:t>ac</w:t>
            </w:r>
            <w:r>
              <w:rPr>
                <w:rFonts w:ascii="Arial" w:hAnsi="Arial" w:cs="Arial"/>
                <w:spacing w:val="-1"/>
                <w:w w:val="65"/>
                <w:szCs w:val="27"/>
              </w:rPr>
              <w:t>te</w:t>
            </w:r>
            <w:r>
              <w:rPr>
                <w:rFonts w:ascii="Arial" w:hAnsi="Arial" w:cs="Arial"/>
                <w:spacing w:val="1"/>
                <w:w w:val="65"/>
                <w:szCs w:val="27"/>
              </w:rPr>
              <w:t>u</w:t>
            </w:r>
            <w:r>
              <w:rPr>
                <w:rFonts w:ascii="Arial" w:hAnsi="Arial" w:cs="Arial"/>
                <w:spacing w:val="-1"/>
                <w:w w:val="65"/>
                <w:szCs w:val="27"/>
              </w:rPr>
              <w:t>r</w:t>
            </w:r>
            <w:r>
              <w:rPr>
                <w:rFonts w:ascii="Arial" w:hAnsi="Arial" w:cs="Arial"/>
                <w:w w:val="65"/>
                <w:szCs w:val="27"/>
              </w:rPr>
              <w:t>s</w:t>
            </w:r>
            <w:r>
              <w:rPr>
                <w:rFonts w:ascii="Arial" w:hAnsi="Arial" w:cs="Arial"/>
                <w:spacing w:val="14"/>
                <w:w w:val="65"/>
                <w:szCs w:val="27"/>
              </w:rPr>
              <w:t xml:space="preserve"> </w:t>
            </w:r>
            <w:r>
              <w:rPr>
                <w:rFonts w:ascii="Arial" w:hAnsi="Arial" w:cs="Arial"/>
                <w:spacing w:val="-1"/>
                <w:w w:val="65"/>
                <w:szCs w:val="27"/>
              </w:rPr>
              <w:t>d</w:t>
            </w:r>
            <w:r>
              <w:rPr>
                <w:rFonts w:ascii="Arial" w:hAnsi="Arial" w:cs="Arial"/>
                <w:w w:val="65"/>
                <w:szCs w:val="27"/>
              </w:rPr>
              <w:t>e</w:t>
            </w:r>
            <w:r>
              <w:rPr>
                <w:rFonts w:ascii="Arial" w:hAnsi="Arial" w:cs="Arial"/>
                <w:spacing w:val="4"/>
                <w:w w:val="65"/>
                <w:szCs w:val="27"/>
              </w:rPr>
              <w:t xml:space="preserve"> </w:t>
            </w:r>
            <w:r>
              <w:rPr>
                <w:rFonts w:ascii="Arial" w:hAnsi="Arial" w:cs="Arial"/>
                <w:spacing w:val="-1"/>
                <w:w w:val="66"/>
                <w:szCs w:val="27"/>
              </w:rPr>
              <w:t>pr</w:t>
            </w:r>
            <w:r>
              <w:rPr>
                <w:rFonts w:ascii="Arial" w:hAnsi="Arial" w:cs="Arial"/>
                <w:spacing w:val="1"/>
                <w:w w:val="66"/>
                <w:szCs w:val="27"/>
              </w:rPr>
              <w:t>o</w:t>
            </w:r>
            <w:r>
              <w:rPr>
                <w:rFonts w:ascii="Arial" w:hAnsi="Arial" w:cs="Arial"/>
                <w:spacing w:val="-1"/>
                <w:w w:val="66"/>
                <w:szCs w:val="27"/>
              </w:rPr>
              <w:t>du</w:t>
            </w:r>
            <w:r>
              <w:rPr>
                <w:rFonts w:ascii="Arial" w:hAnsi="Arial" w:cs="Arial"/>
                <w:spacing w:val="1"/>
                <w:w w:val="66"/>
                <w:szCs w:val="27"/>
              </w:rPr>
              <w:t>c</w:t>
            </w:r>
            <w:r>
              <w:rPr>
                <w:rFonts w:ascii="Arial" w:hAnsi="Arial" w:cs="Arial"/>
                <w:w w:val="67"/>
                <w:szCs w:val="27"/>
              </w:rPr>
              <w:t>t</w:t>
            </w:r>
            <w:r>
              <w:rPr>
                <w:rFonts w:ascii="Arial" w:hAnsi="Arial" w:cs="Arial"/>
                <w:spacing w:val="-2"/>
                <w:w w:val="66"/>
                <w:szCs w:val="27"/>
              </w:rPr>
              <w:t>i</w:t>
            </w:r>
            <w:r>
              <w:rPr>
                <w:rFonts w:ascii="Arial" w:hAnsi="Arial" w:cs="Arial"/>
                <w:spacing w:val="-1"/>
                <w:w w:val="66"/>
                <w:szCs w:val="27"/>
              </w:rPr>
              <w:t>on</w:t>
            </w:r>
          </w:p>
        </w:tc>
        <w:tc>
          <w:tcPr>
            <w:tcW w:w="2096" w:type="dxa"/>
            <w:tcBorders>
              <w:top w:val="single" w:sz="12" w:space="0" w:color="000000"/>
              <w:left w:val="single" w:sz="8" w:space="0" w:color="000000"/>
              <w:bottom w:val="single" w:sz="12" w:space="0" w:color="000000"/>
              <w:right w:val="single" w:sz="8" w:space="0" w:color="000000"/>
            </w:tcBorders>
            <w:hideMark/>
          </w:tcPr>
          <w:p w14:paraId="6699B85E" w14:textId="77777777" w:rsidR="008862C7" w:rsidRDefault="008862C7">
            <w:pPr>
              <w:widowControl w:val="0"/>
              <w:tabs>
                <w:tab w:val="left" w:pos="708"/>
              </w:tabs>
              <w:autoSpaceDE w:val="0"/>
              <w:autoSpaceDN w:val="0"/>
              <w:adjustRightInd w:val="0"/>
              <w:spacing w:after="200" w:line="302" w:lineRule="exact"/>
              <w:ind w:left="24"/>
              <w:rPr>
                <w:rFonts w:eastAsia="Times New Roman" w:cs="Times New Roman"/>
              </w:rPr>
            </w:pPr>
            <w:r>
              <w:rPr>
                <w:rFonts w:ascii="Arial" w:hAnsi="Arial" w:cs="Arial"/>
                <w:w w:val="65"/>
                <w:szCs w:val="27"/>
              </w:rPr>
              <w:t>I</w:t>
            </w:r>
            <w:r>
              <w:rPr>
                <w:rFonts w:ascii="Arial" w:hAnsi="Arial" w:cs="Arial"/>
                <w:spacing w:val="-1"/>
                <w:w w:val="65"/>
                <w:szCs w:val="27"/>
              </w:rPr>
              <w:t>nve</w:t>
            </w:r>
            <w:r>
              <w:rPr>
                <w:rFonts w:ascii="Arial" w:hAnsi="Arial" w:cs="Arial"/>
                <w:spacing w:val="1"/>
                <w:w w:val="65"/>
                <w:szCs w:val="27"/>
              </w:rPr>
              <w:t>s</w:t>
            </w:r>
            <w:r>
              <w:rPr>
                <w:rFonts w:ascii="Arial" w:hAnsi="Arial" w:cs="Arial"/>
                <w:w w:val="65"/>
                <w:szCs w:val="27"/>
              </w:rPr>
              <w:t>t</w:t>
            </w:r>
            <w:r>
              <w:rPr>
                <w:rFonts w:ascii="Arial" w:hAnsi="Arial" w:cs="Arial"/>
                <w:spacing w:val="-1"/>
                <w:w w:val="65"/>
                <w:szCs w:val="27"/>
              </w:rPr>
              <w:t>i</w:t>
            </w:r>
            <w:r>
              <w:rPr>
                <w:rFonts w:ascii="Arial" w:hAnsi="Arial" w:cs="Arial"/>
                <w:spacing w:val="1"/>
                <w:w w:val="65"/>
                <w:szCs w:val="27"/>
              </w:rPr>
              <w:t>ss</w:t>
            </w:r>
            <w:r>
              <w:rPr>
                <w:rFonts w:ascii="Arial" w:hAnsi="Arial" w:cs="Arial"/>
                <w:spacing w:val="-1"/>
                <w:w w:val="65"/>
                <w:szCs w:val="27"/>
              </w:rPr>
              <w:t>e</w:t>
            </w:r>
            <w:r>
              <w:rPr>
                <w:rFonts w:ascii="Arial" w:hAnsi="Arial" w:cs="Arial"/>
                <w:spacing w:val="3"/>
                <w:w w:val="65"/>
                <w:szCs w:val="27"/>
              </w:rPr>
              <w:t>m</w:t>
            </w:r>
            <w:r>
              <w:rPr>
                <w:rFonts w:ascii="Arial" w:hAnsi="Arial" w:cs="Arial"/>
                <w:spacing w:val="-1"/>
                <w:w w:val="65"/>
                <w:szCs w:val="27"/>
              </w:rPr>
              <w:t>en</w:t>
            </w:r>
            <w:r>
              <w:rPr>
                <w:rFonts w:ascii="Arial" w:hAnsi="Arial" w:cs="Arial"/>
                <w:w w:val="65"/>
                <w:szCs w:val="27"/>
              </w:rPr>
              <w:t>t</w:t>
            </w:r>
            <w:r>
              <w:rPr>
                <w:rFonts w:ascii="Arial" w:hAnsi="Arial" w:cs="Arial"/>
                <w:spacing w:val="21"/>
                <w:w w:val="65"/>
                <w:szCs w:val="27"/>
              </w:rPr>
              <w:t xml:space="preserve"> </w:t>
            </w:r>
            <w:r>
              <w:rPr>
                <w:rFonts w:ascii="Arial" w:hAnsi="Arial" w:cs="Arial"/>
                <w:spacing w:val="-1"/>
                <w:w w:val="65"/>
                <w:szCs w:val="27"/>
              </w:rPr>
              <w:t>e</w:t>
            </w:r>
            <w:r>
              <w:rPr>
                <w:rFonts w:ascii="Arial" w:hAnsi="Arial" w:cs="Arial"/>
                <w:w w:val="65"/>
                <w:szCs w:val="27"/>
              </w:rPr>
              <w:t>t</w:t>
            </w:r>
            <w:r>
              <w:rPr>
                <w:rFonts w:ascii="Arial" w:hAnsi="Arial" w:cs="Arial"/>
                <w:spacing w:val="4"/>
                <w:w w:val="65"/>
                <w:szCs w:val="27"/>
              </w:rPr>
              <w:t xml:space="preserve"> </w:t>
            </w:r>
            <w:r>
              <w:rPr>
                <w:rFonts w:ascii="Arial" w:hAnsi="Arial" w:cs="Arial"/>
                <w:spacing w:val="-1"/>
                <w:w w:val="66"/>
                <w:szCs w:val="27"/>
              </w:rPr>
              <w:t>t</w:t>
            </w:r>
            <w:r>
              <w:rPr>
                <w:rFonts w:ascii="Arial" w:hAnsi="Arial" w:cs="Arial"/>
                <w:spacing w:val="1"/>
                <w:w w:val="66"/>
                <w:szCs w:val="27"/>
              </w:rPr>
              <w:t>r</w:t>
            </w:r>
            <w:r>
              <w:rPr>
                <w:rFonts w:ascii="Arial" w:hAnsi="Arial" w:cs="Arial"/>
                <w:spacing w:val="-1"/>
                <w:w w:val="66"/>
                <w:szCs w:val="27"/>
              </w:rPr>
              <w:t>avail</w:t>
            </w:r>
          </w:p>
        </w:tc>
        <w:tc>
          <w:tcPr>
            <w:tcW w:w="571" w:type="dxa"/>
            <w:tcBorders>
              <w:top w:val="single" w:sz="12" w:space="0" w:color="000000"/>
              <w:left w:val="single" w:sz="8" w:space="0" w:color="000000"/>
              <w:bottom w:val="single" w:sz="12" w:space="0" w:color="000000"/>
              <w:right w:val="single" w:sz="8" w:space="0" w:color="000000"/>
            </w:tcBorders>
            <w:hideMark/>
          </w:tcPr>
          <w:p w14:paraId="3242DA59" w14:textId="77777777" w:rsidR="008862C7" w:rsidRDefault="008862C7">
            <w:pPr>
              <w:widowControl w:val="0"/>
              <w:tabs>
                <w:tab w:val="left" w:pos="708"/>
              </w:tabs>
              <w:autoSpaceDE w:val="0"/>
              <w:autoSpaceDN w:val="0"/>
              <w:adjustRightInd w:val="0"/>
              <w:spacing w:after="200" w:line="302" w:lineRule="exact"/>
              <w:ind w:left="26"/>
              <w:rPr>
                <w:rFonts w:eastAsia="Times New Roman" w:cs="Times New Roman"/>
              </w:rPr>
            </w:pPr>
            <w:r>
              <w:rPr>
                <w:rFonts w:ascii="Arial" w:hAnsi="Arial" w:cs="Arial"/>
                <w:spacing w:val="3"/>
                <w:w w:val="66"/>
                <w:szCs w:val="27"/>
              </w:rPr>
              <w:t>T</w:t>
            </w:r>
            <w:r>
              <w:rPr>
                <w:rFonts w:ascii="Arial" w:hAnsi="Arial" w:cs="Arial"/>
                <w:spacing w:val="-1"/>
                <w:w w:val="66"/>
                <w:szCs w:val="27"/>
              </w:rPr>
              <w:t>e</w:t>
            </w:r>
            <w:r>
              <w:rPr>
                <w:rFonts w:ascii="Arial" w:hAnsi="Arial" w:cs="Arial"/>
                <w:spacing w:val="1"/>
                <w:w w:val="66"/>
                <w:szCs w:val="27"/>
              </w:rPr>
              <w:t>r</w:t>
            </w:r>
            <w:r>
              <w:rPr>
                <w:rFonts w:ascii="Arial" w:hAnsi="Arial" w:cs="Arial"/>
                <w:spacing w:val="-1"/>
                <w:w w:val="66"/>
                <w:szCs w:val="27"/>
              </w:rPr>
              <w:t>re</w:t>
            </w:r>
          </w:p>
        </w:tc>
        <w:tc>
          <w:tcPr>
            <w:tcW w:w="1626" w:type="dxa"/>
            <w:tcBorders>
              <w:top w:val="single" w:sz="12" w:space="0" w:color="000000"/>
              <w:left w:val="single" w:sz="8" w:space="0" w:color="000000"/>
              <w:bottom w:val="single" w:sz="12" w:space="0" w:color="000000"/>
              <w:right w:val="single" w:sz="8" w:space="0" w:color="000000"/>
            </w:tcBorders>
            <w:hideMark/>
          </w:tcPr>
          <w:p w14:paraId="49BF46E6" w14:textId="77777777" w:rsidR="008862C7" w:rsidRDefault="008862C7">
            <w:pPr>
              <w:widowControl w:val="0"/>
              <w:tabs>
                <w:tab w:val="left" w:pos="708"/>
              </w:tabs>
              <w:autoSpaceDE w:val="0"/>
              <w:autoSpaceDN w:val="0"/>
              <w:adjustRightInd w:val="0"/>
              <w:spacing w:after="200" w:line="302" w:lineRule="exact"/>
              <w:ind w:left="24"/>
              <w:rPr>
                <w:rFonts w:eastAsia="Times New Roman" w:cs="Times New Roman"/>
              </w:rPr>
            </w:pPr>
            <w:r>
              <w:rPr>
                <w:rFonts w:ascii="Arial" w:hAnsi="Arial" w:cs="Arial"/>
                <w:spacing w:val="-1"/>
                <w:w w:val="66"/>
                <w:szCs w:val="27"/>
              </w:rPr>
              <w:t>P</w:t>
            </w:r>
            <w:r>
              <w:rPr>
                <w:rFonts w:ascii="Arial" w:hAnsi="Arial" w:cs="Arial"/>
                <w:spacing w:val="1"/>
                <w:w w:val="66"/>
                <w:szCs w:val="27"/>
              </w:rPr>
              <w:t>r</w:t>
            </w:r>
            <w:r>
              <w:rPr>
                <w:rFonts w:ascii="Arial" w:hAnsi="Arial" w:cs="Arial"/>
                <w:spacing w:val="-1"/>
                <w:w w:val="66"/>
                <w:szCs w:val="27"/>
              </w:rPr>
              <w:t>o</w:t>
            </w:r>
            <w:r>
              <w:rPr>
                <w:rFonts w:ascii="Arial" w:hAnsi="Arial" w:cs="Arial"/>
                <w:spacing w:val="2"/>
                <w:w w:val="66"/>
                <w:szCs w:val="27"/>
              </w:rPr>
              <w:t>f</w:t>
            </w:r>
            <w:r>
              <w:rPr>
                <w:rFonts w:ascii="Arial" w:hAnsi="Arial" w:cs="Arial"/>
                <w:spacing w:val="-1"/>
                <w:w w:val="66"/>
                <w:szCs w:val="27"/>
              </w:rPr>
              <w:t>its</w:t>
            </w:r>
          </w:p>
        </w:tc>
      </w:tr>
      <w:tr w:rsidR="008862C7" w:rsidRPr="00AF344F" w14:paraId="48B05A82" w14:textId="77777777" w:rsidTr="008862C7">
        <w:trPr>
          <w:trHeight w:hRule="exact" w:val="1348"/>
        </w:trPr>
        <w:tc>
          <w:tcPr>
            <w:tcW w:w="1908" w:type="dxa"/>
            <w:tcBorders>
              <w:top w:val="single" w:sz="12" w:space="0" w:color="000000"/>
              <w:left w:val="single" w:sz="8" w:space="0" w:color="000000"/>
              <w:bottom w:val="single" w:sz="12" w:space="0" w:color="000000"/>
              <w:right w:val="single" w:sz="8" w:space="0" w:color="000000"/>
            </w:tcBorders>
            <w:hideMark/>
          </w:tcPr>
          <w:p w14:paraId="57488D38" w14:textId="77777777" w:rsidR="008862C7" w:rsidRDefault="008862C7">
            <w:pPr>
              <w:widowControl w:val="0"/>
              <w:autoSpaceDE w:val="0"/>
              <w:autoSpaceDN w:val="0"/>
              <w:adjustRightInd w:val="0"/>
              <w:spacing w:after="0" w:line="304" w:lineRule="exact"/>
              <w:ind w:left="25" w:right="486"/>
              <w:jc w:val="both"/>
              <w:rPr>
                <w:rFonts w:ascii="Arial" w:eastAsia="Times New Roman" w:hAnsi="Arial" w:cs="Arial"/>
                <w:szCs w:val="27"/>
              </w:rPr>
            </w:pPr>
            <w:r>
              <w:rPr>
                <w:rFonts w:ascii="Arial" w:hAnsi="Arial" w:cs="Arial"/>
                <w:w w:val="66"/>
                <w:szCs w:val="27"/>
              </w:rPr>
              <w:t>Prix</w:t>
            </w:r>
            <w:r>
              <w:rPr>
                <w:rFonts w:ascii="Arial" w:hAnsi="Arial" w:cs="Arial"/>
                <w:spacing w:val="1"/>
                <w:w w:val="66"/>
                <w:szCs w:val="27"/>
              </w:rPr>
              <w:t xml:space="preserve"> </w:t>
            </w:r>
            <w:r>
              <w:rPr>
                <w:rFonts w:ascii="Arial" w:hAnsi="Arial" w:cs="Arial"/>
                <w:w w:val="66"/>
                <w:szCs w:val="27"/>
              </w:rPr>
              <w:t>de</w:t>
            </w:r>
            <w:r>
              <w:rPr>
                <w:rFonts w:ascii="Arial" w:hAnsi="Arial" w:cs="Arial"/>
                <w:spacing w:val="-1"/>
                <w:w w:val="66"/>
                <w:szCs w:val="27"/>
              </w:rPr>
              <w:t xml:space="preserve"> </w:t>
            </w:r>
            <w:r>
              <w:rPr>
                <w:rFonts w:ascii="Arial" w:hAnsi="Arial" w:cs="Arial"/>
                <w:spacing w:val="5"/>
                <w:w w:val="66"/>
                <w:szCs w:val="27"/>
              </w:rPr>
              <w:t>m</w:t>
            </w:r>
            <w:r>
              <w:rPr>
                <w:rFonts w:ascii="Arial" w:hAnsi="Arial" w:cs="Arial"/>
                <w:spacing w:val="-1"/>
                <w:w w:val="66"/>
                <w:szCs w:val="27"/>
              </w:rPr>
              <w:t>a</w:t>
            </w:r>
            <w:r>
              <w:rPr>
                <w:rFonts w:ascii="Arial" w:hAnsi="Arial" w:cs="Arial"/>
                <w:w w:val="66"/>
                <w:szCs w:val="27"/>
              </w:rPr>
              <w:t>rché</w:t>
            </w:r>
          </w:p>
          <w:p w14:paraId="155E7CA8" w14:textId="77777777" w:rsidR="008862C7" w:rsidRDefault="008862C7">
            <w:pPr>
              <w:widowControl w:val="0"/>
              <w:autoSpaceDE w:val="0"/>
              <w:autoSpaceDN w:val="0"/>
              <w:adjustRightInd w:val="0"/>
              <w:spacing w:after="0"/>
              <w:ind w:left="25" w:right="210"/>
              <w:jc w:val="both"/>
              <w:rPr>
                <w:rFonts w:ascii="Arial" w:hAnsi="Arial" w:cs="Arial"/>
                <w:spacing w:val="-1"/>
                <w:w w:val="66"/>
                <w:szCs w:val="27"/>
              </w:rPr>
            </w:pPr>
            <w:r>
              <w:rPr>
                <w:rFonts w:ascii="Arial" w:hAnsi="Arial" w:cs="Arial"/>
                <w:spacing w:val="-1"/>
                <w:w w:val="65"/>
                <w:szCs w:val="27"/>
              </w:rPr>
              <w:t>Pri</w:t>
            </w:r>
            <w:r>
              <w:rPr>
                <w:rFonts w:ascii="Arial" w:hAnsi="Arial" w:cs="Arial"/>
                <w:w w:val="65"/>
                <w:szCs w:val="27"/>
              </w:rPr>
              <w:t xml:space="preserve">x </w:t>
            </w:r>
            <w:r>
              <w:rPr>
                <w:rFonts w:ascii="Arial" w:hAnsi="Arial" w:cs="Arial"/>
                <w:spacing w:val="-1"/>
                <w:w w:val="66"/>
                <w:szCs w:val="27"/>
              </w:rPr>
              <w:t>in</w:t>
            </w:r>
            <w:r>
              <w:rPr>
                <w:rFonts w:ascii="Arial" w:hAnsi="Arial" w:cs="Arial"/>
                <w:w w:val="66"/>
                <w:szCs w:val="27"/>
              </w:rPr>
              <w:t>t</w:t>
            </w:r>
            <w:r>
              <w:rPr>
                <w:rFonts w:ascii="Arial" w:hAnsi="Arial" w:cs="Arial"/>
                <w:spacing w:val="-1"/>
                <w:w w:val="66"/>
                <w:szCs w:val="27"/>
              </w:rPr>
              <w:t>e</w:t>
            </w:r>
            <w:r>
              <w:rPr>
                <w:rFonts w:ascii="Arial" w:hAnsi="Arial" w:cs="Arial"/>
                <w:spacing w:val="1"/>
                <w:w w:val="66"/>
                <w:szCs w:val="27"/>
              </w:rPr>
              <w:t>r</w:t>
            </w:r>
            <w:r>
              <w:rPr>
                <w:rFonts w:ascii="Arial" w:hAnsi="Arial" w:cs="Arial"/>
                <w:spacing w:val="-1"/>
                <w:w w:val="66"/>
                <w:szCs w:val="27"/>
              </w:rPr>
              <w:t>nation</w:t>
            </w:r>
            <w:r>
              <w:rPr>
                <w:rFonts w:ascii="Arial" w:hAnsi="Arial" w:cs="Arial"/>
                <w:spacing w:val="1"/>
                <w:w w:val="66"/>
                <w:szCs w:val="27"/>
              </w:rPr>
              <w:t>a</w:t>
            </w:r>
            <w:r>
              <w:rPr>
                <w:rFonts w:ascii="Arial" w:hAnsi="Arial" w:cs="Arial"/>
                <w:spacing w:val="-1"/>
                <w:w w:val="66"/>
                <w:szCs w:val="27"/>
              </w:rPr>
              <w:t xml:space="preserve">ux </w:t>
            </w:r>
          </w:p>
          <w:p w14:paraId="64E0EE4E" w14:textId="77777777" w:rsidR="008862C7" w:rsidRDefault="008862C7">
            <w:pPr>
              <w:widowControl w:val="0"/>
              <w:autoSpaceDE w:val="0"/>
              <w:autoSpaceDN w:val="0"/>
              <w:adjustRightInd w:val="0"/>
              <w:spacing w:after="0" w:line="360" w:lineRule="auto"/>
              <w:ind w:left="25" w:right="210"/>
              <w:jc w:val="both"/>
              <w:rPr>
                <w:rFonts w:ascii="Arial" w:hAnsi="Arial" w:cs="Arial"/>
                <w:w w:val="66"/>
                <w:szCs w:val="27"/>
              </w:rPr>
            </w:pPr>
            <w:r>
              <w:rPr>
                <w:rFonts w:ascii="Arial" w:hAnsi="Arial" w:cs="Arial"/>
                <w:spacing w:val="1"/>
                <w:w w:val="65"/>
                <w:szCs w:val="27"/>
              </w:rPr>
              <w:t>C</w:t>
            </w:r>
            <w:r>
              <w:rPr>
                <w:rFonts w:ascii="Arial" w:hAnsi="Arial" w:cs="Arial"/>
                <w:spacing w:val="-1"/>
                <w:w w:val="65"/>
                <w:szCs w:val="27"/>
              </w:rPr>
              <w:t>oû</w:t>
            </w:r>
            <w:r>
              <w:rPr>
                <w:rFonts w:ascii="Arial" w:hAnsi="Arial" w:cs="Arial"/>
                <w:w w:val="65"/>
                <w:szCs w:val="27"/>
              </w:rPr>
              <w:t xml:space="preserve">t </w:t>
            </w:r>
            <w:r>
              <w:rPr>
                <w:rFonts w:ascii="Arial" w:hAnsi="Arial" w:cs="Arial"/>
                <w:spacing w:val="-1"/>
                <w:w w:val="66"/>
                <w:szCs w:val="27"/>
              </w:rPr>
              <w:t>d</w:t>
            </w:r>
            <w:r>
              <w:rPr>
                <w:rFonts w:ascii="Arial" w:hAnsi="Arial" w:cs="Arial"/>
                <w:w w:val="66"/>
                <w:szCs w:val="27"/>
              </w:rPr>
              <w:t>'</w:t>
            </w:r>
            <w:r>
              <w:rPr>
                <w:rFonts w:ascii="Arial" w:hAnsi="Arial" w:cs="Arial"/>
                <w:spacing w:val="1"/>
                <w:w w:val="66"/>
                <w:szCs w:val="27"/>
              </w:rPr>
              <w:t>o</w:t>
            </w:r>
            <w:r>
              <w:rPr>
                <w:rFonts w:ascii="Arial" w:hAnsi="Arial" w:cs="Arial"/>
                <w:spacing w:val="-1"/>
                <w:w w:val="66"/>
                <w:szCs w:val="27"/>
              </w:rPr>
              <w:t>ppo</w:t>
            </w:r>
            <w:r>
              <w:rPr>
                <w:rFonts w:ascii="Arial" w:hAnsi="Arial" w:cs="Arial"/>
                <w:spacing w:val="1"/>
                <w:w w:val="66"/>
                <w:szCs w:val="27"/>
              </w:rPr>
              <w:t>r</w:t>
            </w:r>
            <w:r>
              <w:rPr>
                <w:rFonts w:ascii="Arial" w:hAnsi="Arial" w:cs="Arial"/>
                <w:spacing w:val="-1"/>
                <w:w w:val="66"/>
                <w:szCs w:val="27"/>
              </w:rPr>
              <w:t>tu</w:t>
            </w:r>
            <w:r>
              <w:rPr>
                <w:rFonts w:ascii="Arial" w:hAnsi="Arial" w:cs="Arial"/>
                <w:spacing w:val="1"/>
                <w:w w:val="66"/>
                <w:szCs w:val="27"/>
              </w:rPr>
              <w:t>n</w:t>
            </w:r>
            <w:r>
              <w:rPr>
                <w:rFonts w:ascii="Arial" w:hAnsi="Arial" w:cs="Arial"/>
                <w:spacing w:val="-2"/>
                <w:w w:val="66"/>
                <w:szCs w:val="27"/>
              </w:rPr>
              <w:t>i</w:t>
            </w:r>
            <w:r>
              <w:rPr>
                <w:rFonts w:ascii="Arial" w:hAnsi="Arial" w:cs="Arial"/>
                <w:w w:val="67"/>
                <w:szCs w:val="27"/>
              </w:rPr>
              <w:t>t</w:t>
            </w:r>
            <w:r>
              <w:rPr>
                <w:rFonts w:ascii="Arial" w:hAnsi="Arial" w:cs="Arial"/>
                <w:w w:val="66"/>
                <w:szCs w:val="27"/>
              </w:rPr>
              <w:t xml:space="preserve">é </w:t>
            </w:r>
          </w:p>
          <w:p w14:paraId="242305CC" w14:textId="77777777" w:rsidR="008862C7" w:rsidRDefault="008862C7">
            <w:pPr>
              <w:widowControl w:val="0"/>
              <w:tabs>
                <w:tab w:val="left" w:pos="708"/>
              </w:tabs>
              <w:autoSpaceDE w:val="0"/>
              <w:autoSpaceDN w:val="0"/>
              <w:adjustRightInd w:val="0"/>
              <w:spacing w:after="0"/>
              <w:ind w:left="25" w:right="210"/>
              <w:jc w:val="both"/>
              <w:rPr>
                <w:rFonts w:eastAsia="Times New Roman" w:cs="Times New Roman"/>
              </w:rPr>
            </w:pPr>
            <w:r>
              <w:rPr>
                <w:rFonts w:ascii="Arial" w:hAnsi="Arial" w:cs="Arial"/>
                <w:spacing w:val="-1"/>
                <w:w w:val="65"/>
                <w:szCs w:val="27"/>
              </w:rPr>
              <w:t>Pri</w:t>
            </w:r>
            <w:r>
              <w:rPr>
                <w:rFonts w:ascii="Arial" w:hAnsi="Arial" w:cs="Arial"/>
                <w:w w:val="65"/>
                <w:szCs w:val="27"/>
              </w:rPr>
              <w:t>x</w:t>
            </w:r>
            <w:r>
              <w:rPr>
                <w:rFonts w:ascii="Arial" w:hAnsi="Arial" w:cs="Arial"/>
                <w:spacing w:val="6"/>
                <w:w w:val="65"/>
                <w:szCs w:val="27"/>
              </w:rPr>
              <w:t xml:space="preserve"> </w:t>
            </w:r>
            <w:r>
              <w:rPr>
                <w:rFonts w:ascii="Arial" w:hAnsi="Arial" w:cs="Arial"/>
                <w:spacing w:val="1"/>
                <w:w w:val="66"/>
                <w:szCs w:val="27"/>
              </w:rPr>
              <w:t>éc</w:t>
            </w:r>
            <w:r>
              <w:rPr>
                <w:rFonts w:ascii="Arial" w:hAnsi="Arial" w:cs="Arial"/>
                <w:spacing w:val="-1"/>
                <w:w w:val="66"/>
                <w:szCs w:val="27"/>
              </w:rPr>
              <w:t>ono</w:t>
            </w:r>
            <w:r>
              <w:rPr>
                <w:rFonts w:ascii="Arial" w:hAnsi="Arial" w:cs="Arial"/>
                <w:spacing w:val="3"/>
                <w:w w:val="66"/>
                <w:szCs w:val="27"/>
              </w:rPr>
              <w:t>m</w:t>
            </w:r>
            <w:r>
              <w:rPr>
                <w:rFonts w:ascii="Arial" w:hAnsi="Arial" w:cs="Arial"/>
                <w:spacing w:val="-1"/>
                <w:w w:val="66"/>
                <w:szCs w:val="27"/>
              </w:rPr>
              <w:t>ique</w:t>
            </w:r>
          </w:p>
        </w:tc>
        <w:tc>
          <w:tcPr>
            <w:tcW w:w="5374" w:type="dxa"/>
            <w:gridSpan w:val="4"/>
            <w:tcBorders>
              <w:top w:val="single" w:sz="12" w:space="0" w:color="000000"/>
              <w:left w:val="single" w:sz="8" w:space="0" w:color="000000"/>
              <w:bottom w:val="single" w:sz="12" w:space="0" w:color="000000"/>
              <w:right w:val="single" w:sz="8" w:space="0" w:color="000000"/>
            </w:tcBorders>
          </w:tcPr>
          <w:p w14:paraId="6EA22651" w14:textId="77777777" w:rsidR="008862C7" w:rsidRDefault="008862C7">
            <w:pPr>
              <w:widowControl w:val="0"/>
              <w:autoSpaceDE w:val="0"/>
              <w:autoSpaceDN w:val="0"/>
              <w:adjustRightInd w:val="0"/>
              <w:spacing w:after="0" w:line="302" w:lineRule="exact"/>
              <w:ind w:left="24"/>
              <w:rPr>
                <w:rFonts w:ascii="Arial" w:eastAsia="Times New Roman" w:hAnsi="Arial" w:cs="Arial"/>
                <w:b/>
                <w:bCs/>
                <w:w w:val="66"/>
                <w:szCs w:val="27"/>
                <w:lang w:val="en-US"/>
              </w:rPr>
            </w:pPr>
            <w:r>
              <w:rPr>
                <w:rFonts w:ascii="Arial" w:hAnsi="Arial" w:cs="Arial"/>
                <w:b/>
                <w:bCs/>
                <w:w w:val="66"/>
                <w:szCs w:val="27"/>
                <w:lang w:val="en-US"/>
              </w:rPr>
              <w:t xml:space="preserve">   A                                    </w:t>
            </w:r>
            <w:r>
              <w:rPr>
                <w:rFonts w:ascii="Arial" w:hAnsi="Arial" w:cs="Arial"/>
                <w:b/>
                <w:bCs/>
                <w:spacing w:val="11"/>
                <w:w w:val="66"/>
                <w:szCs w:val="27"/>
                <w:lang w:val="en-US"/>
              </w:rPr>
              <w:t xml:space="preserve"> </w:t>
            </w:r>
            <w:r>
              <w:rPr>
                <w:rFonts w:ascii="Arial" w:hAnsi="Arial" w:cs="Arial"/>
                <w:b/>
                <w:bCs/>
                <w:w w:val="66"/>
                <w:szCs w:val="27"/>
                <w:lang w:val="en-US"/>
              </w:rPr>
              <w:t xml:space="preserve">B                                        </w:t>
            </w:r>
            <w:r>
              <w:rPr>
                <w:rFonts w:ascii="Arial" w:hAnsi="Arial" w:cs="Arial"/>
                <w:b/>
                <w:bCs/>
                <w:spacing w:val="18"/>
                <w:w w:val="66"/>
                <w:szCs w:val="27"/>
                <w:lang w:val="en-US"/>
              </w:rPr>
              <w:t xml:space="preserve"> </w:t>
            </w:r>
            <w:r>
              <w:rPr>
                <w:rFonts w:ascii="Arial" w:hAnsi="Arial" w:cs="Arial"/>
                <w:b/>
                <w:bCs/>
                <w:w w:val="66"/>
                <w:szCs w:val="27"/>
                <w:lang w:val="en-US"/>
              </w:rPr>
              <w:t xml:space="preserve">C                                   </w:t>
            </w:r>
            <w:r>
              <w:rPr>
                <w:rFonts w:ascii="Arial" w:hAnsi="Arial" w:cs="Arial"/>
                <w:b/>
                <w:bCs/>
                <w:spacing w:val="41"/>
                <w:w w:val="66"/>
                <w:szCs w:val="27"/>
                <w:lang w:val="en-US"/>
              </w:rPr>
              <w:t xml:space="preserve"> </w:t>
            </w:r>
            <w:r>
              <w:rPr>
                <w:rFonts w:ascii="Arial" w:hAnsi="Arial" w:cs="Arial"/>
                <w:b/>
                <w:bCs/>
                <w:w w:val="66"/>
                <w:szCs w:val="27"/>
                <w:lang w:val="en-US"/>
              </w:rPr>
              <w:t>D</w:t>
            </w:r>
          </w:p>
          <w:p w14:paraId="5DA4EF01" w14:textId="77777777" w:rsidR="008862C7" w:rsidRDefault="008862C7">
            <w:pPr>
              <w:widowControl w:val="0"/>
              <w:autoSpaceDE w:val="0"/>
              <w:autoSpaceDN w:val="0"/>
              <w:adjustRightInd w:val="0"/>
              <w:spacing w:after="0" w:line="302" w:lineRule="exact"/>
              <w:ind w:left="24"/>
              <w:rPr>
                <w:rFonts w:ascii="Arial" w:hAnsi="Arial" w:cs="Arial"/>
                <w:b/>
                <w:bCs/>
                <w:w w:val="66"/>
                <w:szCs w:val="27"/>
                <w:lang w:val="en-US"/>
              </w:rPr>
            </w:pPr>
          </w:p>
          <w:p w14:paraId="1B71E3B0" w14:textId="77777777" w:rsidR="008862C7" w:rsidRDefault="008862C7">
            <w:pPr>
              <w:widowControl w:val="0"/>
              <w:autoSpaceDE w:val="0"/>
              <w:autoSpaceDN w:val="0"/>
              <w:adjustRightInd w:val="0"/>
              <w:spacing w:after="0" w:line="302" w:lineRule="exact"/>
              <w:ind w:left="24"/>
              <w:rPr>
                <w:rFonts w:ascii="Arial" w:hAnsi="Arial" w:cs="Arial"/>
                <w:szCs w:val="27"/>
                <w:lang w:val="en-US"/>
              </w:rPr>
            </w:pPr>
          </w:p>
          <w:p w14:paraId="7B38A71C" w14:textId="77777777" w:rsidR="008862C7" w:rsidRDefault="008862C7">
            <w:pPr>
              <w:widowControl w:val="0"/>
              <w:tabs>
                <w:tab w:val="left" w:pos="708"/>
              </w:tabs>
              <w:autoSpaceDE w:val="0"/>
              <w:autoSpaceDN w:val="0"/>
              <w:adjustRightInd w:val="0"/>
              <w:spacing w:after="0" w:line="276" w:lineRule="auto"/>
              <w:ind w:left="24"/>
              <w:rPr>
                <w:rFonts w:eastAsia="Times New Roman" w:cs="Times New Roman"/>
                <w:lang w:val="en-US"/>
              </w:rPr>
            </w:pPr>
            <w:r>
              <w:rPr>
                <w:rFonts w:ascii="Arial" w:hAnsi="Arial" w:cs="Arial"/>
                <w:b/>
                <w:bCs/>
                <w:w w:val="66"/>
                <w:szCs w:val="27"/>
                <w:lang w:val="en-US"/>
              </w:rPr>
              <w:t xml:space="preserve">   F            </w:t>
            </w:r>
            <w:r>
              <w:rPr>
                <w:rFonts w:ascii="Arial" w:hAnsi="Arial" w:cs="Arial"/>
                <w:b/>
                <w:bCs/>
                <w:spacing w:val="31"/>
                <w:w w:val="66"/>
                <w:szCs w:val="27"/>
                <w:lang w:val="en-US"/>
              </w:rPr>
              <w:t xml:space="preserve">              </w:t>
            </w:r>
            <w:r>
              <w:rPr>
                <w:rFonts w:ascii="Arial" w:hAnsi="Arial" w:cs="Arial"/>
                <w:b/>
                <w:bCs/>
                <w:w w:val="66"/>
                <w:szCs w:val="27"/>
                <w:lang w:val="en-US"/>
              </w:rPr>
              <w:t xml:space="preserve">G                                          </w:t>
            </w:r>
            <w:r>
              <w:rPr>
                <w:rFonts w:ascii="Arial" w:hAnsi="Arial" w:cs="Arial"/>
                <w:b/>
                <w:bCs/>
                <w:w w:val="67"/>
                <w:szCs w:val="27"/>
                <w:lang w:val="en-US"/>
              </w:rPr>
              <w:t xml:space="preserve">H                                    </w:t>
            </w:r>
            <w:r>
              <w:rPr>
                <w:rFonts w:ascii="Arial" w:hAnsi="Arial" w:cs="Arial"/>
                <w:b/>
                <w:bCs/>
                <w:spacing w:val="10"/>
                <w:w w:val="67"/>
                <w:szCs w:val="27"/>
                <w:lang w:val="en-US"/>
              </w:rPr>
              <w:t xml:space="preserve"> </w:t>
            </w:r>
            <w:r>
              <w:rPr>
                <w:rFonts w:ascii="Arial" w:hAnsi="Arial" w:cs="Arial"/>
                <w:b/>
                <w:bCs/>
                <w:w w:val="67"/>
                <w:szCs w:val="27"/>
                <w:lang w:val="en-US"/>
              </w:rPr>
              <w:t xml:space="preserve">I                                                                                  </w:t>
            </w:r>
            <w:r>
              <w:rPr>
                <w:rFonts w:ascii="Arial" w:hAnsi="Arial" w:cs="Arial"/>
                <w:b/>
                <w:bCs/>
                <w:spacing w:val="20"/>
                <w:w w:val="67"/>
                <w:szCs w:val="27"/>
                <w:lang w:val="en-US"/>
              </w:rPr>
              <w:t xml:space="preserve"> </w:t>
            </w:r>
            <w:r>
              <w:rPr>
                <w:rFonts w:ascii="Arial" w:hAnsi="Arial" w:cs="Arial"/>
                <w:b/>
                <w:bCs/>
                <w:w w:val="67"/>
                <w:szCs w:val="27"/>
                <w:lang w:val="en-US"/>
              </w:rPr>
              <w:t xml:space="preserve">                                   </w:t>
            </w:r>
            <w:r>
              <w:rPr>
                <w:rFonts w:ascii="Arial" w:hAnsi="Arial" w:cs="Arial"/>
                <w:b/>
                <w:bCs/>
                <w:spacing w:val="10"/>
                <w:w w:val="67"/>
                <w:szCs w:val="27"/>
                <w:lang w:val="en-US"/>
              </w:rPr>
              <w:t xml:space="preserve"> </w:t>
            </w:r>
          </w:p>
        </w:tc>
        <w:tc>
          <w:tcPr>
            <w:tcW w:w="1626" w:type="dxa"/>
            <w:tcBorders>
              <w:top w:val="single" w:sz="12" w:space="0" w:color="000000"/>
              <w:left w:val="single" w:sz="8" w:space="0" w:color="000000"/>
              <w:bottom w:val="single" w:sz="12" w:space="0" w:color="000000"/>
              <w:right w:val="single" w:sz="8" w:space="0" w:color="000000"/>
            </w:tcBorders>
          </w:tcPr>
          <w:p w14:paraId="476FC4A6" w14:textId="77777777" w:rsidR="008862C7" w:rsidRDefault="008862C7">
            <w:pPr>
              <w:widowControl w:val="0"/>
              <w:autoSpaceDE w:val="0"/>
              <w:autoSpaceDN w:val="0"/>
              <w:adjustRightInd w:val="0"/>
              <w:spacing w:after="0" w:line="304" w:lineRule="exact"/>
              <w:ind w:left="24"/>
              <w:rPr>
                <w:rFonts w:ascii="Arial" w:eastAsia="Times New Roman" w:hAnsi="Arial" w:cs="Arial"/>
                <w:w w:val="66"/>
                <w:szCs w:val="27"/>
                <w:lang w:val="en-US"/>
              </w:rPr>
            </w:pPr>
            <w:r>
              <w:rPr>
                <w:rFonts w:ascii="Arial" w:hAnsi="Arial" w:cs="Arial"/>
                <w:w w:val="66"/>
                <w:szCs w:val="27"/>
                <w:lang w:val="en-US"/>
              </w:rPr>
              <w:t>E</w:t>
            </w:r>
            <w:r>
              <w:rPr>
                <w:rFonts w:ascii="Arial" w:hAnsi="Arial" w:cs="Arial"/>
                <w:spacing w:val="-1"/>
                <w:w w:val="66"/>
                <w:szCs w:val="27"/>
                <w:lang w:val="en-US"/>
              </w:rPr>
              <w:t>=A</w:t>
            </w:r>
            <w:r>
              <w:rPr>
                <w:rFonts w:ascii="Arial" w:hAnsi="Arial" w:cs="Arial"/>
                <w:spacing w:val="1"/>
                <w:w w:val="66"/>
                <w:szCs w:val="27"/>
                <w:lang w:val="en-US"/>
              </w:rPr>
              <w:t>-</w:t>
            </w:r>
            <w:r>
              <w:rPr>
                <w:rFonts w:ascii="Arial" w:hAnsi="Arial" w:cs="Arial"/>
                <w:spacing w:val="-1"/>
                <w:w w:val="66"/>
                <w:szCs w:val="27"/>
                <w:lang w:val="en-US"/>
              </w:rPr>
              <w:t>B</w:t>
            </w:r>
            <w:r>
              <w:rPr>
                <w:rFonts w:ascii="Arial" w:hAnsi="Arial" w:cs="Arial"/>
                <w:spacing w:val="1"/>
                <w:w w:val="66"/>
                <w:szCs w:val="27"/>
                <w:lang w:val="en-US"/>
              </w:rPr>
              <w:t>-</w:t>
            </w:r>
            <w:r>
              <w:rPr>
                <w:rFonts w:ascii="Arial" w:hAnsi="Arial" w:cs="Arial"/>
                <w:spacing w:val="-1"/>
                <w:w w:val="66"/>
                <w:szCs w:val="27"/>
                <w:lang w:val="en-US"/>
              </w:rPr>
              <w:t>C</w:t>
            </w:r>
            <w:r>
              <w:rPr>
                <w:rFonts w:ascii="Arial" w:hAnsi="Arial" w:cs="Arial"/>
                <w:spacing w:val="1"/>
                <w:w w:val="66"/>
                <w:szCs w:val="27"/>
                <w:lang w:val="en-US"/>
              </w:rPr>
              <w:t>-</w:t>
            </w:r>
            <w:r>
              <w:rPr>
                <w:rFonts w:ascii="Arial" w:hAnsi="Arial" w:cs="Arial"/>
                <w:w w:val="66"/>
                <w:szCs w:val="27"/>
                <w:lang w:val="en-US"/>
              </w:rPr>
              <w:t>D</w:t>
            </w:r>
          </w:p>
          <w:p w14:paraId="25D7E84D" w14:textId="77777777" w:rsidR="008862C7" w:rsidRDefault="008862C7">
            <w:pPr>
              <w:widowControl w:val="0"/>
              <w:autoSpaceDE w:val="0"/>
              <w:autoSpaceDN w:val="0"/>
              <w:adjustRightInd w:val="0"/>
              <w:spacing w:after="0" w:line="304" w:lineRule="exact"/>
              <w:ind w:left="24"/>
              <w:rPr>
                <w:rFonts w:ascii="Arial" w:hAnsi="Arial" w:cs="Arial"/>
                <w:w w:val="66"/>
                <w:szCs w:val="27"/>
                <w:lang w:val="en-US"/>
              </w:rPr>
            </w:pPr>
          </w:p>
          <w:p w14:paraId="66F79D33" w14:textId="77777777" w:rsidR="008862C7" w:rsidRDefault="008862C7">
            <w:pPr>
              <w:widowControl w:val="0"/>
              <w:autoSpaceDE w:val="0"/>
              <w:autoSpaceDN w:val="0"/>
              <w:adjustRightInd w:val="0"/>
              <w:spacing w:after="0" w:line="304" w:lineRule="exact"/>
              <w:ind w:left="24"/>
              <w:rPr>
                <w:rFonts w:ascii="Arial" w:hAnsi="Arial" w:cs="Arial"/>
                <w:szCs w:val="27"/>
                <w:lang w:val="en-US"/>
              </w:rPr>
            </w:pPr>
          </w:p>
          <w:p w14:paraId="44569574" w14:textId="77777777" w:rsidR="008862C7" w:rsidRDefault="008862C7">
            <w:pPr>
              <w:widowControl w:val="0"/>
              <w:tabs>
                <w:tab w:val="left" w:pos="708"/>
              </w:tabs>
              <w:autoSpaceDE w:val="0"/>
              <w:autoSpaceDN w:val="0"/>
              <w:adjustRightInd w:val="0"/>
              <w:spacing w:after="0" w:line="276" w:lineRule="auto"/>
              <w:ind w:left="24"/>
              <w:rPr>
                <w:rFonts w:eastAsia="Times New Roman" w:cs="Times New Roman"/>
                <w:lang w:val="en-US"/>
              </w:rPr>
            </w:pPr>
            <w:r>
              <w:rPr>
                <w:rFonts w:ascii="Arial" w:hAnsi="Arial" w:cs="Arial"/>
                <w:spacing w:val="1"/>
                <w:w w:val="66"/>
                <w:szCs w:val="27"/>
                <w:lang w:val="en-US"/>
              </w:rPr>
              <w:t>J</w:t>
            </w:r>
            <w:r>
              <w:rPr>
                <w:rFonts w:ascii="Arial" w:hAnsi="Arial" w:cs="Arial"/>
                <w:spacing w:val="-1"/>
                <w:w w:val="66"/>
                <w:szCs w:val="27"/>
                <w:lang w:val="en-US"/>
              </w:rPr>
              <w:t>=</w:t>
            </w:r>
            <w:r>
              <w:rPr>
                <w:rFonts w:ascii="Arial" w:hAnsi="Arial" w:cs="Arial"/>
                <w:spacing w:val="1"/>
                <w:w w:val="66"/>
                <w:szCs w:val="27"/>
                <w:lang w:val="en-US"/>
              </w:rPr>
              <w:t>F-G</w:t>
            </w:r>
            <w:r>
              <w:rPr>
                <w:rFonts w:ascii="Arial" w:hAnsi="Arial" w:cs="Arial"/>
                <w:w w:val="66"/>
                <w:szCs w:val="27"/>
                <w:lang w:val="en-US"/>
              </w:rPr>
              <w:t>-</w:t>
            </w:r>
            <w:r>
              <w:rPr>
                <w:rFonts w:ascii="Arial" w:hAnsi="Arial" w:cs="Arial"/>
                <w:spacing w:val="1"/>
                <w:w w:val="66"/>
                <w:szCs w:val="27"/>
                <w:lang w:val="en-US"/>
              </w:rPr>
              <w:t>H</w:t>
            </w:r>
            <w:r>
              <w:rPr>
                <w:rFonts w:ascii="Arial" w:hAnsi="Arial" w:cs="Arial"/>
                <w:w w:val="66"/>
                <w:szCs w:val="27"/>
                <w:lang w:val="en-US"/>
              </w:rPr>
              <w:t>-</w:t>
            </w:r>
            <w:r>
              <w:rPr>
                <w:rFonts w:ascii="Arial" w:hAnsi="Arial" w:cs="Arial"/>
                <w:w w:val="67"/>
                <w:szCs w:val="27"/>
                <w:lang w:val="en-US"/>
              </w:rPr>
              <w:t>I</w:t>
            </w:r>
          </w:p>
        </w:tc>
      </w:tr>
      <w:tr w:rsidR="008862C7" w14:paraId="07B266F5" w14:textId="77777777" w:rsidTr="008862C7">
        <w:trPr>
          <w:trHeight w:hRule="exact" w:val="691"/>
        </w:trPr>
        <w:tc>
          <w:tcPr>
            <w:tcW w:w="1908" w:type="dxa"/>
            <w:tcBorders>
              <w:top w:val="single" w:sz="12" w:space="0" w:color="000000"/>
              <w:left w:val="single" w:sz="8" w:space="0" w:color="000000"/>
              <w:bottom w:val="single" w:sz="12" w:space="0" w:color="000000"/>
              <w:right w:val="single" w:sz="8" w:space="0" w:color="000000"/>
            </w:tcBorders>
          </w:tcPr>
          <w:p w14:paraId="308CFF20" w14:textId="77777777" w:rsidR="008862C7" w:rsidRDefault="008862C7">
            <w:pPr>
              <w:widowControl w:val="0"/>
              <w:autoSpaceDE w:val="0"/>
              <w:autoSpaceDN w:val="0"/>
              <w:adjustRightInd w:val="0"/>
              <w:spacing w:after="0" w:line="120" w:lineRule="exact"/>
              <w:rPr>
                <w:rFonts w:eastAsia="Times New Roman"/>
                <w:szCs w:val="12"/>
                <w:lang w:val="en-US"/>
              </w:rPr>
            </w:pPr>
          </w:p>
          <w:p w14:paraId="2C24368F" w14:textId="77777777" w:rsidR="008862C7" w:rsidRDefault="008862C7">
            <w:pPr>
              <w:widowControl w:val="0"/>
              <w:autoSpaceDE w:val="0"/>
              <w:autoSpaceDN w:val="0"/>
              <w:adjustRightInd w:val="0"/>
              <w:spacing w:after="0"/>
              <w:ind w:left="25"/>
              <w:rPr>
                <w:rFonts w:ascii="Arial" w:hAnsi="Arial" w:cs="Arial"/>
                <w:szCs w:val="27"/>
              </w:rPr>
            </w:pPr>
            <w:r>
              <w:rPr>
                <w:rFonts w:ascii="Arial" w:hAnsi="Arial" w:cs="Arial"/>
                <w:spacing w:val="-1"/>
                <w:w w:val="65"/>
                <w:szCs w:val="27"/>
              </w:rPr>
              <w:t>E</w:t>
            </w:r>
            <w:r>
              <w:rPr>
                <w:rFonts w:ascii="Arial" w:hAnsi="Arial" w:cs="Arial"/>
                <w:spacing w:val="1"/>
                <w:w w:val="65"/>
                <w:szCs w:val="27"/>
              </w:rPr>
              <w:t>ffe</w:t>
            </w:r>
            <w:r>
              <w:rPr>
                <w:rFonts w:ascii="Arial" w:hAnsi="Arial" w:cs="Arial"/>
                <w:spacing w:val="-1"/>
                <w:w w:val="65"/>
                <w:szCs w:val="27"/>
              </w:rPr>
              <w:t>t</w:t>
            </w:r>
            <w:r>
              <w:rPr>
                <w:rFonts w:ascii="Arial" w:hAnsi="Arial" w:cs="Arial"/>
                <w:w w:val="65"/>
                <w:szCs w:val="27"/>
              </w:rPr>
              <w:t>s</w:t>
            </w:r>
            <w:r>
              <w:rPr>
                <w:rFonts w:ascii="Arial" w:hAnsi="Arial" w:cs="Arial"/>
                <w:spacing w:val="12"/>
                <w:w w:val="65"/>
                <w:szCs w:val="27"/>
              </w:rPr>
              <w:t xml:space="preserve"> </w:t>
            </w:r>
            <w:r>
              <w:rPr>
                <w:rFonts w:ascii="Arial" w:hAnsi="Arial" w:cs="Arial"/>
                <w:spacing w:val="-1"/>
                <w:w w:val="65"/>
                <w:szCs w:val="27"/>
              </w:rPr>
              <w:t>de</w:t>
            </w:r>
            <w:r>
              <w:rPr>
                <w:rFonts w:ascii="Arial" w:hAnsi="Arial" w:cs="Arial"/>
                <w:w w:val="65"/>
                <w:szCs w:val="27"/>
              </w:rPr>
              <w:t>s</w:t>
            </w:r>
            <w:r>
              <w:rPr>
                <w:rFonts w:ascii="Arial" w:hAnsi="Arial" w:cs="Arial"/>
                <w:spacing w:val="7"/>
                <w:w w:val="65"/>
                <w:szCs w:val="27"/>
              </w:rPr>
              <w:t xml:space="preserve"> </w:t>
            </w:r>
            <w:r>
              <w:rPr>
                <w:rFonts w:ascii="Arial" w:hAnsi="Arial" w:cs="Arial"/>
                <w:spacing w:val="-1"/>
                <w:w w:val="66"/>
                <w:szCs w:val="27"/>
              </w:rPr>
              <w:t>poli</w:t>
            </w:r>
            <w:r>
              <w:rPr>
                <w:rFonts w:ascii="Arial" w:hAnsi="Arial" w:cs="Arial"/>
                <w:w w:val="66"/>
                <w:szCs w:val="27"/>
              </w:rPr>
              <w:t>t</w:t>
            </w:r>
            <w:r>
              <w:rPr>
                <w:rFonts w:ascii="Arial" w:hAnsi="Arial" w:cs="Arial"/>
                <w:spacing w:val="-1"/>
                <w:w w:val="66"/>
                <w:szCs w:val="27"/>
              </w:rPr>
              <w:t>iq</w:t>
            </w:r>
            <w:r>
              <w:rPr>
                <w:rFonts w:ascii="Arial" w:hAnsi="Arial" w:cs="Arial"/>
                <w:spacing w:val="1"/>
                <w:w w:val="66"/>
                <w:szCs w:val="27"/>
              </w:rPr>
              <w:t>u</w:t>
            </w:r>
            <w:r>
              <w:rPr>
                <w:rFonts w:ascii="Arial" w:hAnsi="Arial" w:cs="Arial"/>
                <w:spacing w:val="-1"/>
                <w:w w:val="66"/>
                <w:szCs w:val="27"/>
              </w:rPr>
              <w:t>e</w:t>
            </w:r>
            <w:r>
              <w:rPr>
                <w:rFonts w:ascii="Arial" w:hAnsi="Arial" w:cs="Arial"/>
                <w:w w:val="66"/>
                <w:szCs w:val="27"/>
              </w:rPr>
              <w:t>s</w:t>
            </w:r>
          </w:p>
          <w:p w14:paraId="044DCDD1" w14:textId="77777777" w:rsidR="008862C7" w:rsidRDefault="008862C7">
            <w:pPr>
              <w:widowControl w:val="0"/>
              <w:tabs>
                <w:tab w:val="left" w:pos="708"/>
              </w:tabs>
              <w:autoSpaceDE w:val="0"/>
              <w:autoSpaceDN w:val="0"/>
              <w:adjustRightInd w:val="0"/>
              <w:spacing w:after="0" w:line="276" w:lineRule="auto"/>
              <w:ind w:left="25"/>
              <w:rPr>
                <w:rFonts w:eastAsia="Times New Roman" w:cs="Times New Roman"/>
              </w:rPr>
            </w:pPr>
            <w:r>
              <w:rPr>
                <w:rFonts w:ascii="Arial" w:hAnsi="Arial" w:cs="Arial"/>
                <w:spacing w:val="1"/>
                <w:w w:val="66"/>
                <w:szCs w:val="27"/>
              </w:rPr>
              <w:t>(</w:t>
            </w:r>
            <w:r>
              <w:rPr>
                <w:rFonts w:ascii="Arial" w:hAnsi="Arial" w:cs="Arial"/>
                <w:spacing w:val="-1"/>
                <w:w w:val="66"/>
                <w:szCs w:val="27"/>
              </w:rPr>
              <w:t>I</w:t>
            </w:r>
            <w:r>
              <w:rPr>
                <w:rFonts w:ascii="Arial" w:hAnsi="Arial" w:cs="Arial"/>
                <w:spacing w:val="1"/>
                <w:w w:val="66"/>
                <w:szCs w:val="27"/>
              </w:rPr>
              <w:t>nc</w:t>
            </w:r>
            <w:r>
              <w:rPr>
                <w:rFonts w:ascii="Arial" w:hAnsi="Arial" w:cs="Arial"/>
                <w:spacing w:val="-1"/>
                <w:w w:val="66"/>
                <w:szCs w:val="27"/>
              </w:rPr>
              <w:t>i</w:t>
            </w:r>
            <w:r>
              <w:rPr>
                <w:rFonts w:ascii="Arial" w:hAnsi="Arial" w:cs="Arial"/>
                <w:w w:val="66"/>
                <w:szCs w:val="27"/>
              </w:rPr>
              <w:t>t</w:t>
            </w:r>
            <w:r>
              <w:rPr>
                <w:rFonts w:ascii="Arial" w:hAnsi="Arial" w:cs="Arial"/>
                <w:spacing w:val="-1"/>
                <w:w w:val="66"/>
                <w:szCs w:val="27"/>
              </w:rPr>
              <w:t>atio</w:t>
            </w:r>
            <w:r>
              <w:rPr>
                <w:rFonts w:ascii="Arial" w:hAnsi="Arial" w:cs="Arial"/>
                <w:w w:val="66"/>
                <w:szCs w:val="27"/>
              </w:rPr>
              <w:t>n</w:t>
            </w:r>
            <w:r>
              <w:rPr>
                <w:rFonts w:ascii="Arial" w:hAnsi="Arial" w:cs="Arial"/>
                <w:spacing w:val="1"/>
                <w:w w:val="66"/>
                <w:szCs w:val="27"/>
              </w:rPr>
              <w:t xml:space="preserve"> s</w:t>
            </w:r>
            <w:r>
              <w:rPr>
                <w:rFonts w:ascii="Arial" w:hAnsi="Arial" w:cs="Arial"/>
                <w:spacing w:val="-1"/>
                <w:w w:val="66"/>
                <w:szCs w:val="27"/>
              </w:rPr>
              <w:t>i</w:t>
            </w:r>
            <w:r>
              <w:rPr>
                <w:rFonts w:ascii="Arial" w:hAnsi="Arial" w:cs="Arial"/>
                <w:spacing w:val="1"/>
                <w:w w:val="66"/>
                <w:szCs w:val="27"/>
              </w:rPr>
              <w:t>…</w:t>
            </w:r>
            <w:r>
              <w:rPr>
                <w:rFonts w:ascii="Arial" w:hAnsi="Arial" w:cs="Arial"/>
                <w:w w:val="66"/>
                <w:szCs w:val="27"/>
              </w:rPr>
              <w:t>)</w:t>
            </w:r>
          </w:p>
        </w:tc>
        <w:tc>
          <w:tcPr>
            <w:tcW w:w="5374" w:type="dxa"/>
            <w:gridSpan w:val="4"/>
            <w:tcBorders>
              <w:top w:val="single" w:sz="12" w:space="0" w:color="000000"/>
              <w:left w:val="single" w:sz="8" w:space="0" w:color="000000"/>
              <w:bottom w:val="single" w:sz="12" w:space="0" w:color="000000"/>
              <w:right w:val="single" w:sz="8" w:space="0" w:color="000000"/>
            </w:tcBorders>
          </w:tcPr>
          <w:p w14:paraId="37DD7171" w14:textId="77777777" w:rsidR="008862C7" w:rsidRDefault="008862C7">
            <w:pPr>
              <w:widowControl w:val="0"/>
              <w:autoSpaceDE w:val="0"/>
              <w:autoSpaceDN w:val="0"/>
              <w:adjustRightInd w:val="0"/>
              <w:spacing w:after="0" w:line="120" w:lineRule="exact"/>
              <w:rPr>
                <w:rFonts w:eastAsia="Times New Roman"/>
                <w:szCs w:val="12"/>
              </w:rPr>
            </w:pPr>
          </w:p>
          <w:p w14:paraId="4555BD77" w14:textId="77777777" w:rsidR="008862C7" w:rsidRDefault="008862C7">
            <w:pPr>
              <w:widowControl w:val="0"/>
              <w:tabs>
                <w:tab w:val="left" w:pos="800"/>
              </w:tabs>
              <w:autoSpaceDE w:val="0"/>
              <w:autoSpaceDN w:val="0"/>
              <w:adjustRightInd w:val="0"/>
              <w:spacing w:after="0"/>
              <w:ind w:left="24" w:right="6"/>
              <w:rPr>
                <w:rFonts w:eastAsia="Times New Roman" w:cs="Times New Roman"/>
                <w:lang w:val="en-US"/>
              </w:rPr>
            </w:pPr>
            <w:r>
              <w:rPr>
                <w:rFonts w:ascii="Arial" w:hAnsi="Arial" w:cs="Arial"/>
                <w:w w:val="65"/>
                <w:szCs w:val="27"/>
                <w:lang w:val="en-US"/>
              </w:rPr>
              <w:t>K</w:t>
            </w:r>
            <w:r>
              <w:rPr>
                <w:rFonts w:ascii="Arial" w:hAnsi="Arial" w:cs="Arial"/>
                <w:spacing w:val="-1"/>
                <w:w w:val="65"/>
                <w:szCs w:val="27"/>
                <w:lang w:val="en-US"/>
              </w:rPr>
              <w:t>=A</w:t>
            </w:r>
            <w:r>
              <w:rPr>
                <w:rFonts w:ascii="Arial" w:hAnsi="Arial" w:cs="Arial"/>
                <w:spacing w:val="1"/>
                <w:w w:val="65"/>
                <w:szCs w:val="27"/>
                <w:lang w:val="en-US"/>
              </w:rPr>
              <w:t>-</w:t>
            </w:r>
            <w:r>
              <w:rPr>
                <w:rFonts w:ascii="Arial" w:hAnsi="Arial" w:cs="Arial"/>
                <w:w w:val="65"/>
                <w:szCs w:val="27"/>
                <w:lang w:val="en-US"/>
              </w:rPr>
              <w:t xml:space="preserve">F    </w:t>
            </w:r>
            <w:r>
              <w:rPr>
                <w:rFonts w:ascii="Arial" w:hAnsi="Arial" w:cs="Arial"/>
                <w:spacing w:val="33"/>
                <w:w w:val="65"/>
                <w:szCs w:val="27"/>
                <w:lang w:val="en-US"/>
              </w:rPr>
              <w:t xml:space="preserve"> </w:t>
            </w:r>
            <w:r>
              <w:rPr>
                <w:rFonts w:ascii="Arial" w:hAnsi="Arial" w:cs="Arial"/>
                <w:spacing w:val="-1"/>
                <w:w w:val="65"/>
                <w:szCs w:val="27"/>
                <w:lang w:val="en-US"/>
              </w:rPr>
              <w:t>L=</w:t>
            </w:r>
            <w:r>
              <w:rPr>
                <w:rFonts w:ascii="Arial" w:hAnsi="Arial" w:cs="Arial"/>
                <w:spacing w:val="1"/>
                <w:w w:val="65"/>
                <w:szCs w:val="27"/>
                <w:lang w:val="en-US"/>
              </w:rPr>
              <w:t>G</w:t>
            </w:r>
            <w:r>
              <w:rPr>
                <w:rFonts w:ascii="Arial" w:hAnsi="Arial" w:cs="Arial"/>
                <w:w w:val="65"/>
                <w:szCs w:val="27"/>
                <w:lang w:val="en-US"/>
              </w:rPr>
              <w:t xml:space="preserve">-B                           </w:t>
            </w:r>
            <w:r>
              <w:rPr>
                <w:rFonts w:ascii="Arial" w:hAnsi="Arial" w:cs="Arial"/>
                <w:spacing w:val="45"/>
                <w:w w:val="65"/>
                <w:szCs w:val="27"/>
                <w:lang w:val="en-US"/>
              </w:rPr>
              <w:t xml:space="preserve"> </w:t>
            </w:r>
            <w:r>
              <w:rPr>
                <w:rFonts w:ascii="Arial" w:hAnsi="Arial" w:cs="Arial"/>
                <w:w w:val="65"/>
                <w:szCs w:val="27"/>
                <w:lang w:val="en-US"/>
              </w:rPr>
              <w:t>M</w:t>
            </w:r>
            <w:r>
              <w:rPr>
                <w:rFonts w:ascii="Arial" w:hAnsi="Arial" w:cs="Arial"/>
                <w:spacing w:val="-1"/>
                <w:w w:val="65"/>
                <w:szCs w:val="27"/>
                <w:lang w:val="en-US"/>
              </w:rPr>
              <w:t>=H</w:t>
            </w:r>
            <w:r>
              <w:rPr>
                <w:rFonts w:ascii="Arial" w:hAnsi="Arial" w:cs="Arial"/>
                <w:spacing w:val="1"/>
                <w:w w:val="65"/>
                <w:szCs w:val="27"/>
                <w:lang w:val="en-US"/>
              </w:rPr>
              <w:t>-</w:t>
            </w:r>
            <w:r>
              <w:rPr>
                <w:rFonts w:ascii="Arial" w:hAnsi="Arial" w:cs="Arial"/>
                <w:w w:val="65"/>
                <w:szCs w:val="27"/>
                <w:lang w:val="en-US"/>
              </w:rPr>
              <w:t xml:space="preserve">C                    </w:t>
            </w:r>
            <w:r>
              <w:rPr>
                <w:rFonts w:ascii="Arial" w:hAnsi="Arial" w:cs="Arial"/>
                <w:spacing w:val="22"/>
                <w:w w:val="65"/>
                <w:szCs w:val="27"/>
                <w:lang w:val="en-US"/>
              </w:rPr>
              <w:t xml:space="preserve"> </w:t>
            </w:r>
            <w:r>
              <w:rPr>
                <w:rFonts w:ascii="Arial" w:hAnsi="Arial" w:cs="Arial"/>
                <w:spacing w:val="-1"/>
                <w:w w:val="66"/>
                <w:szCs w:val="27"/>
                <w:lang w:val="en-US"/>
              </w:rPr>
              <w:t>N=</w:t>
            </w:r>
            <w:r>
              <w:rPr>
                <w:rFonts w:ascii="Arial" w:hAnsi="Arial" w:cs="Arial"/>
                <w:w w:val="66"/>
                <w:szCs w:val="27"/>
                <w:lang w:val="en-US"/>
              </w:rPr>
              <w:t xml:space="preserve">I-D  </w:t>
            </w:r>
            <w:r>
              <w:rPr>
                <w:rFonts w:ascii="Arial" w:hAnsi="Arial" w:cs="Arial"/>
                <w:spacing w:val="-1"/>
                <w:w w:val="65"/>
                <w:szCs w:val="27"/>
                <w:lang w:val="en-US"/>
              </w:rPr>
              <w:t>K&gt;</w:t>
            </w:r>
            <w:r>
              <w:rPr>
                <w:rFonts w:ascii="Arial" w:hAnsi="Arial" w:cs="Arial"/>
                <w:w w:val="65"/>
                <w:szCs w:val="27"/>
                <w:lang w:val="en-US"/>
              </w:rPr>
              <w:t>0</w:t>
            </w:r>
            <w:r>
              <w:rPr>
                <w:rFonts w:ascii="Arial" w:hAnsi="Arial" w:cs="Arial"/>
                <w:spacing w:val="-44"/>
                <w:w w:val="65"/>
                <w:szCs w:val="27"/>
                <w:lang w:val="en-US"/>
              </w:rPr>
              <w:t xml:space="preserve"> </w:t>
            </w:r>
            <w:r>
              <w:rPr>
                <w:rFonts w:ascii="Arial" w:hAnsi="Arial" w:cs="Arial"/>
                <w:szCs w:val="27"/>
                <w:lang w:val="en-US"/>
              </w:rPr>
              <w:tab/>
            </w:r>
            <w:r>
              <w:rPr>
                <w:rFonts w:ascii="Arial" w:hAnsi="Arial" w:cs="Arial"/>
                <w:spacing w:val="-1"/>
                <w:w w:val="65"/>
                <w:szCs w:val="27"/>
                <w:lang w:val="en-US"/>
              </w:rPr>
              <w:t>L&gt;</w:t>
            </w:r>
            <w:r>
              <w:rPr>
                <w:rFonts w:ascii="Arial" w:hAnsi="Arial" w:cs="Arial"/>
                <w:w w:val="65"/>
                <w:szCs w:val="27"/>
                <w:lang w:val="en-US"/>
              </w:rPr>
              <w:t xml:space="preserve">)                                 </w:t>
            </w:r>
            <w:r>
              <w:rPr>
                <w:rFonts w:ascii="Arial" w:hAnsi="Arial" w:cs="Arial"/>
                <w:spacing w:val="11"/>
                <w:w w:val="65"/>
                <w:szCs w:val="27"/>
                <w:lang w:val="en-US"/>
              </w:rPr>
              <w:t xml:space="preserve"> </w:t>
            </w:r>
            <w:r>
              <w:rPr>
                <w:rFonts w:ascii="Arial" w:hAnsi="Arial" w:cs="Arial"/>
                <w:spacing w:val="-1"/>
                <w:w w:val="65"/>
                <w:szCs w:val="27"/>
                <w:lang w:val="en-US"/>
              </w:rPr>
              <w:t>M&gt;</w:t>
            </w:r>
            <w:r>
              <w:rPr>
                <w:rFonts w:ascii="Arial" w:hAnsi="Arial" w:cs="Arial"/>
                <w:w w:val="65"/>
                <w:szCs w:val="27"/>
                <w:lang w:val="en-US"/>
              </w:rPr>
              <w:t xml:space="preserve">0                                              </w:t>
            </w:r>
            <w:r>
              <w:rPr>
                <w:rFonts w:ascii="Arial" w:hAnsi="Arial" w:cs="Arial"/>
                <w:spacing w:val="45"/>
                <w:w w:val="65"/>
                <w:szCs w:val="27"/>
                <w:lang w:val="en-US"/>
              </w:rPr>
              <w:t xml:space="preserve"> </w:t>
            </w:r>
            <w:r>
              <w:rPr>
                <w:rFonts w:ascii="Arial" w:hAnsi="Arial" w:cs="Arial"/>
                <w:spacing w:val="-1"/>
                <w:w w:val="66"/>
                <w:szCs w:val="27"/>
                <w:lang w:val="en-US"/>
              </w:rPr>
              <w:t>N&gt;0</w:t>
            </w:r>
          </w:p>
        </w:tc>
        <w:tc>
          <w:tcPr>
            <w:tcW w:w="1626" w:type="dxa"/>
            <w:tcBorders>
              <w:top w:val="single" w:sz="12" w:space="0" w:color="000000"/>
              <w:left w:val="single" w:sz="8" w:space="0" w:color="000000"/>
              <w:bottom w:val="single" w:sz="12" w:space="0" w:color="000000"/>
              <w:right w:val="single" w:sz="8" w:space="0" w:color="000000"/>
            </w:tcBorders>
          </w:tcPr>
          <w:p w14:paraId="055247AA" w14:textId="77777777" w:rsidR="008862C7" w:rsidRDefault="008862C7">
            <w:pPr>
              <w:widowControl w:val="0"/>
              <w:autoSpaceDE w:val="0"/>
              <w:autoSpaceDN w:val="0"/>
              <w:adjustRightInd w:val="0"/>
              <w:spacing w:after="0" w:line="120" w:lineRule="exact"/>
              <w:rPr>
                <w:rFonts w:eastAsia="Times New Roman"/>
                <w:szCs w:val="12"/>
                <w:lang w:val="en-US"/>
              </w:rPr>
            </w:pPr>
          </w:p>
          <w:p w14:paraId="4093F889" w14:textId="77777777" w:rsidR="008862C7" w:rsidRDefault="008862C7">
            <w:pPr>
              <w:widowControl w:val="0"/>
              <w:tabs>
                <w:tab w:val="left" w:pos="708"/>
              </w:tabs>
              <w:autoSpaceDE w:val="0"/>
              <w:autoSpaceDN w:val="0"/>
              <w:adjustRightInd w:val="0"/>
              <w:spacing w:after="0"/>
              <w:ind w:left="24" w:right="54"/>
              <w:rPr>
                <w:rFonts w:eastAsia="Times New Roman" w:cs="Times New Roman"/>
              </w:rPr>
            </w:pPr>
            <w:r>
              <w:rPr>
                <w:rFonts w:ascii="Arial" w:hAnsi="Arial" w:cs="Arial"/>
                <w:spacing w:val="1"/>
                <w:w w:val="66"/>
                <w:szCs w:val="27"/>
              </w:rPr>
              <w:t>O</w:t>
            </w:r>
            <w:r>
              <w:rPr>
                <w:rFonts w:ascii="Arial" w:hAnsi="Arial" w:cs="Arial"/>
                <w:spacing w:val="-1"/>
                <w:w w:val="66"/>
                <w:szCs w:val="27"/>
              </w:rPr>
              <w:t>=E</w:t>
            </w:r>
            <w:r>
              <w:rPr>
                <w:rFonts w:ascii="Arial" w:hAnsi="Arial" w:cs="Arial"/>
                <w:spacing w:val="1"/>
                <w:w w:val="66"/>
                <w:szCs w:val="27"/>
              </w:rPr>
              <w:t>-</w:t>
            </w:r>
            <w:r>
              <w:rPr>
                <w:rFonts w:ascii="Arial" w:hAnsi="Arial" w:cs="Arial"/>
                <w:w w:val="66"/>
                <w:szCs w:val="27"/>
              </w:rPr>
              <w:t>J</w:t>
            </w:r>
            <w:r>
              <w:rPr>
                <w:rFonts w:ascii="Arial" w:hAnsi="Arial" w:cs="Arial"/>
                <w:spacing w:val="1"/>
                <w:w w:val="66"/>
                <w:szCs w:val="27"/>
              </w:rPr>
              <w:t xml:space="preserve"> </w:t>
            </w:r>
            <w:r>
              <w:rPr>
                <w:rFonts w:ascii="Arial" w:hAnsi="Arial" w:cs="Arial"/>
                <w:spacing w:val="-1"/>
                <w:w w:val="66"/>
                <w:szCs w:val="27"/>
              </w:rPr>
              <w:t>=K</w:t>
            </w:r>
            <w:r>
              <w:rPr>
                <w:rFonts w:ascii="Arial" w:hAnsi="Arial" w:cs="Arial"/>
                <w:spacing w:val="-2"/>
                <w:w w:val="66"/>
                <w:szCs w:val="27"/>
              </w:rPr>
              <w:t>+</w:t>
            </w:r>
            <w:r>
              <w:rPr>
                <w:rFonts w:ascii="Arial" w:hAnsi="Arial" w:cs="Arial"/>
                <w:spacing w:val="1"/>
                <w:w w:val="66"/>
                <w:szCs w:val="27"/>
              </w:rPr>
              <w:t>L</w:t>
            </w:r>
            <w:r>
              <w:rPr>
                <w:rFonts w:ascii="Arial" w:hAnsi="Arial" w:cs="Arial"/>
                <w:spacing w:val="-2"/>
                <w:w w:val="66"/>
                <w:szCs w:val="27"/>
              </w:rPr>
              <w:t>+</w:t>
            </w:r>
            <w:r>
              <w:rPr>
                <w:rFonts w:ascii="Arial" w:hAnsi="Arial" w:cs="Arial"/>
                <w:w w:val="66"/>
                <w:szCs w:val="27"/>
              </w:rPr>
              <w:t>M</w:t>
            </w:r>
            <w:r>
              <w:rPr>
                <w:rFonts w:ascii="Arial" w:hAnsi="Arial" w:cs="Arial"/>
                <w:spacing w:val="-1"/>
                <w:w w:val="66"/>
                <w:szCs w:val="27"/>
              </w:rPr>
              <w:t xml:space="preserve">+N </w:t>
            </w:r>
            <w:r>
              <w:rPr>
                <w:rFonts w:ascii="Arial" w:hAnsi="Arial" w:cs="Arial"/>
                <w:spacing w:val="1"/>
                <w:w w:val="66"/>
                <w:szCs w:val="27"/>
              </w:rPr>
              <w:t>O</w:t>
            </w:r>
            <w:r>
              <w:rPr>
                <w:rFonts w:ascii="Arial" w:hAnsi="Arial" w:cs="Arial"/>
                <w:spacing w:val="-1"/>
                <w:w w:val="66"/>
                <w:szCs w:val="27"/>
              </w:rPr>
              <w:t>&gt;</w:t>
            </w:r>
            <w:r>
              <w:rPr>
                <w:rFonts w:ascii="Arial" w:hAnsi="Arial" w:cs="Arial"/>
                <w:w w:val="66"/>
                <w:szCs w:val="27"/>
              </w:rPr>
              <w:t>0</w:t>
            </w:r>
          </w:p>
        </w:tc>
      </w:tr>
    </w:tbl>
    <w:p w14:paraId="6224678B" w14:textId="77777777" w:rsidR="008862C7" w:rsidRDefault="008862C7" w:rsidP="008862C7">
      <w:pPr>
        <w:autoSpaceDE w:val="0"/>
        <w:autoSpaceDN w:val="0"/>
        <w:adjustRightInd w:val="0"/>
        <w:spacing w:before="120" w:after="120" w:line="360" w:lineRule="auto"/>
        <w:jc w:val="both"/>
        <w:rPr>
          <w:rFonts w:ascii="Arial" w:eastAsia="Times New Roman" w:hAnsi="Arial" w:cs="Arial"/>
        </w:rPr>
      </w:pPr>
      <w:r>
        <w:rPr>
          <w:rFonts w:ascii="Arial" w:hAnsi="Arial" w:cs="Arial"/>
          <w:b/>
        </w:rPr>
        <w:t>Source:</w:t>
      </w:r>
      <w:r>
        <w:rPr>
          <w:rFonts w:ascii="Arial" w:hAnsi="Arial" w:cs="Arial"/>
        </w:rPr>
        <w:t xml:space="preserve"> Monke et Pearson, 1989. </w:t>
      </w:r>
    </w:p>
    <w:p w14:paraId="29A53596" w14:textId="77777777" w:rsidR="008862C7" w:rsidRDefault="008862C7" w:rsidP="008862C7">
      <w:pPr>
        <w:autoSpaceDE w:val="0"/>
        <w:autoSpaceDN w:val="0"/>
        <w:adjustRightInd w:val="0"/>
        <w:spacing w:before="120" w:after="240" w:line="360" w:lineRule="auto"/>
        <w:jc w:val="both"/>
        <w:rPr>
          <w:rFonts w:ascii="Arial" w:hAnsi="Arial" w:cs="Arial"/>
        </w:rPr>
      </w:pPr>
      <w:r>
        <w:rPr>
          <w:rFonts w:ascii="Arial" w:hAnsi="Arial" w:cs="Arial"/>
          <w:sz w:val="24"/>
          <w:szCs w:val="24"/>
        </w:rPr>
        <w:lastRenderedPageBreak/>
        <w:t xml:space="preserve">Ce tableau peut être modifié et adapté aux besoins de chaque étude. Ainsi, l’appréciation globale de l’avantage comparatif est faite par le biais du ratio du coût. </w:t>
      </w:r>
    </w:p>
    <w:p w14:paraId="42057929" w14:textId="77777777" w:rsidR="008862C7" w:rsidRDefault="008862C7" w:rsidP="008862C7">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Le ratio du coût en ressource intérieure </w:t>
      </w:r>
      <w:r>
        <w:rPr>
          <w:rFonts w:ascii="Arial" w:hAnsi="Arial" w:cs="Arial"/>
          <w:i/>
          <w:sz w:val="24"/>
          <w:szCs w:val="24"/>
        </w:rPr>
        <w:t>(</w:t>
      </w:r>
      <w:r>
        <w:rPr>
          <w:rFonts w:ascii="Arial" w:hAnsi="Arial" w:cs="Arial"/>
          <w:i/>
          <w:iCs/>
          <w:sz w:val="24"/>
          <w:szCs w:val="24"/>
        </w:rPr>
        <w:t>CRI</w:t>
      </w:r>
      <w:r>
        <w:rPr>
          <w:rFonts w:ascii="Arial" w:hAnsi="Arial" w:cs="Arial"/>
          <w:i/>
          <w:sz w:val="24"/>
          <w:szCs w:val="24"/>
        </w:rPr>
        <w:t>=</w:t>
      </w:r>
      <w:r>
        <w:rPr>
          <w:rFonts w:ascii="Arial" w:hAnsi="Arial" w:cs="Arial"/>
          <w:i/>
          <w:iCs/>
          <w:sz w:val="24"/>
          <w:szCs w:val="24"/>
        </w:rPr>
        <w:t xml:space="preserve">G / </w:t>
      </w:r>
      <w:r>
        <w:rPr>
          <w:rFonts w:ascii="Arial" w:hAnsi="Arial" w:cs="Arial"/>
          <w:i/>
          <w:sz w:val="24"/>
          <w:szCs w:val="24"/>
        </w:rPr>
        <w:t>(</w:t>
      </w:r>
      <w:r>
        <w:rPr>
          <w:rFonts w:ascii="Arial" w:hAnsi="Arial" w:cs="Arial"/>
          <w:i/>
          <w:iCs/>
          <w:sz w:val="24"/>
          <w:szCs w:val="24"/>
        </w:rPr>
        <w:t>E-F</w:t>
      </w:r>
      <w:r>
        <w:rPr>
          <w:rFonts w:ascii="Arial" w:hAnsi="Arial" w:cs="Arial"/>
          <w:i/>
          <w:sz w:val="24"/>
          <w:szCs w:val="24"/>
        </w:rPr>
        <w:t>))</w:t>
      </w:r>
      <w:r>
        <w:rPr>
          <w:rFonts w:ascii="Arial" w:hAnsi="Arial" w:cs="Arial"/>
          <w:sz w:val="24"/>
          <w:szCs w:val="24"/>
        </w:rPr>
        <w:t xml:space="preserve"> mesure l’efficacité du système au prix de référence. C’est l’indicateur le plus utilisé </w:t>
      </w:r>
      <w:commentRangeStart w:id="119"/>
      <w:r>
        <w:rPr>
          <w:rFonts w:ascii="Arial" w:hAnsi="Arial" w:cs="Arial"/>
          <w:sz w:val="24"/>
          <w:szCs w:val="24"/>
        </w:rPr>
        <w:t xml:space="preserve">pour évaluer </w:t>
      </w:r>
      <w:commentRangeEnd w:id="119"/>
      <w:r>
        <w:rPr>
          <w:rStyle w:val="Marquedecommentaire"/>
          <w:rFonts w:eastAsia="Times New Roman" w:cs="Times New Roman"/>
        </w:rPr>
        <w:commentReference w:id="119"/>
      </w:r>
      <w:r>
        <w:rPr>
          <w:rFonts w:ascii="Arial" w:hAnsi="Arial" w:cs="Arial"/>
          <w:sz w:val="24"/>
          <w:szCs w:val="24"/>
        </w:rPr>
        <w:t xml:space="preserve">l’avantage comparatif d’un système productif par rapport a un autre. </w:t>
      </w:r>
    </w:p>
    <w:p w14:paraId="6705E02D" w14:textId="77777777" w:rsidR="008862C7" w:rsidRDefault="008862C7" w:rsidP="008862C7">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Si le </w:t>
      </w:r>
      <w:r>
        <w:rPr>
          <w:rFonts w:ascii="Arial" w:hAnsi="Arial" w:cs="Arial"/>
          <w:i/>
          <w:sz w:val="24"/>
          <w:szCs w:val="24"/>
        </w:rPr>
        <w:t>CRI&lt;1</w:t>
      </w:r>
      <w:r>
        <w:rPr>
          <w:rFonts w:ascii="Arial" w:hAnsi="Arial" w:cs="Arial"/>
          <w:sz w:val="24"/>
          <w:szCs w:val="24"/>
        </w:rPr>
        <w:t xml:space="preserve">, le système étudié a un avantage comparatif dans la mesure où il utilise moins de facteurs de production qu’il ne génère de valeur ajoutée. Autrement dit, il permet de produire une valeur ajoutée d’un dollar en utilisant des ressources locales dont la valeur est inférieure à un dollar. Un tel système permet d’économiser des devises. </w:t>
      </w:r>
    </w:p>
    <w:p w14:paraId="677606B8" w14:textId="77777777" w:rsidR="008862C7" w:rsidRDefault="008862C7" w:rsidP="008862C7">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 xml:space="preserve">Si le </w:t>
      </w:r>
      <w:r>
        <w:rPr>
          <w:rFonts w:ascii="Arial" w:hAnsi="Arial" w:cs="Arial"/>
          <w:i/>
          <w:sz w:val="24"/>
          <w:szCs w:val="24"/>
        </w:rPr>
        <w:t>CRI &gt;1</w:t>
      </w:r>
      <w:r>
        <w:rPr>
          <w:rFonts w:ascii="Arial" w:hAnsi="Arial" w:cs="Arial"/>
          <w:sz w:val="24"/>
          <w:szCs w:val="24"/>
        </w:rPr>
        <w:t xml:space="preserve"> indique au contraire que le système étudié utilise plus de ressources intérieures (travail, capital) qu’il ne génère de valeur ajoutée. </w:t>
      </w:r>
    </w:p>
    <w:p w14:paraId="35ECC205" w14:textId="77777777" w:rsidR="008862C7" w:rsidRDefault="008862C7" w:rsidP="008862C7">
      <w:pPr>
        <w:autoSpaceDE w:val="0"/>
        <w:autoSpaceDN w:val="0"/>
        <w:adjustRightInd w:val="0"/>
        <w:spacing w:after="120" w:line="360" w:lineRule="auto"/>
        <w:jc w:val="both"/>
        <w:rPr>
          <w:rFonts w:ascii="Arial" w:hAnsi="Arial" w:cs="Arial"/>
          <w:b/>
          <w:sz w:val="24"/>
          <w:szCs w:val="24"/>
        </w:rPr>
      </w:pPr>
      <w:r>
        <w:rPr>
          <w:rFonts w:ascii="Arial" w:hAnsi="Arial" w:cs="Arial"/>
          <w:sz w:val="24"/>
          <w:szCs w:val="24"/>
        </w:rPr>
        <w:t xml:space="preserve">Si le </w:t>
      </w:r>
      <w:r>
        <w:rPr>
          <w:rFonts w:ascii="Arial" w:hAnsi="Arial" w:cs="Arial"/>
          <w:i/>
          <w:sz w:val="24"/>
          <w:szCs w:val="24"/>
        </w:rPr>
        <w:t>CRI=1</w:t>
      </w:r>
      <w:r>
        <w:rPr>
          <w:rFonts w:ascii="Arial" w:hAnsi="Arial" w:cs="Arial"/>
          <w:sz w:val="24"/>
          <w:szCs w:val="24"/>
        </w:rPr>
        <w:t>, la balance économique ne réalise pas de gain ou ne protège pas les échanges extérieurs à travers la production domestique.</w:t>
      </w:r>
    </w:p>
    <w:p w14:paraId="56DC1959" w14:textId="77777777" w:rsidR="008862C7" w:rsidRDefault="008862C7" w:rsidP="008862C7">
      <w:pPr>
        <w:spacing w:after="120" w:line="360" w:lineRule="auto"/>
        <w:jc w:val="both"/>
        <w:rPr>
          <w:rFonts w:ascii="Calibri" w:hAnsi="Calibri" w:cs="Times New Roman"/>
          <w:sz w:val="24"/>
          <w:szCs w:val="24"/>
        </w:rPr>
      </w:pPr>
      <w:r>
        <w:rPr>
          <w:rFonts w:ascii="Arial" w:hAnsi="Arial" w:cs="Arial"/>
          <w:sz w:val="24"/>
          <w:szCs w:val="24"/>
        </w:rPr>
        <w:t xml:space="preserve">Les principaux avantages de la </w:t>
      </w:r>
      <w:r>
        <w:rPr>
          <w:rFonts w:ascii="Arial" w:hAnsi="Arial" w:cs="Arial"/>
          <w:spacing w:val="1"/>
          <w:sz w:val="24"/>
          <w:szCs w:val="24"/>
        </w:rPr>
        <w:t>M</w:t>
      </w:r>
      <w:r>
        <w:rPr>
          <w:rFonts w:ascii="Arial" w:hAnsi="Arial" w:cs="Arial"/>
          <w:sz w:val="24"/>
          <w:szCs w:val="24"/>
        </w:rPr>
        <w:t>AP</w:t>
      </w:r>
      <w:r>
        <w:rPr>
          <w:rFonts w:ascii="Arial" w:hAnsi="Arial" w:cs="Arial"/>
          <w:spacing w:val="1"/>
          <w:sz w:val="24"/>
          <w:szCs w:val="24"/>
        </w:rPr>
        <w:t xml:space="preserve"> est qu’elle p</w:t>
      </w:r>
      <w:r>
        <w:rPr>
          <w:rFonts w:ascii="Arial" w:hAnsi="Arial" w:cs="Arial"/>
          <w:sz w:val="24"/>
          <w:szCs w:val="24"/>
        </w:rPr>
        <w:t>er</w:t>
      </w:r>
      <w:r>
        <w:rPr>
          <w:rFonts w:ascii="Arial" w:hAnsi="Arial" w:cs="Arial"/>
          <w:spacing w:val="1"/>
          <w:sz w:val="24"/>
          <w:szCs w:val="24"/>
        </w:rPr>
        <w:t>m</w:t>
      </w:r>
      <w:r>
        <w:rPr>
          <w:rFonts w:ascii="Arial" w:hAnsi="Arial" w:cs="Arial"/>
          <w:spacing w:val="-2"/>
          <w:sz w:val="24"/>
          <w:szCs w:val="24"/>
        </w:rPr>
        <w:t>e</w:t>
      </w:r>
      <w:r>
        <w:rPr>
          <w:rFonts w:ascii="Arial" w:hAnsi="Arial" w:cs="Arial"/>
          <w:sz w:val="24"/>
          <w:szCs w:val="24"/>
        </w:rPr>
        <w:t>t</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mi</w:t>
      </w:r>
      <w:r>
        <w:rPr>
          <w:rFonts w:ascii="Arial" w:hAnsi="Arial" w:cs="Arial"/>
          <w:spacing w:val="-1"/>
          <w:sz w:val="24"/>
          <w:szCs w:val="24"/>
        </w:rPr>
        <w:t>e</w:t>
      </w:r>
      <w:r>
        <w:rPr>
          <w:rFonts w:ascii="Arial" w:hAnsi="Arial" w:cs="Arial"/>
          <w:spacing w:val="1"/>
          <w:sz w:val="24"/>
          <w:szCs w:val="24"/>
        </w:rPr>
        <w:t>u</w:t>
      </w:r>
      <w:r>
        <w:rPr>
          <w:rFonts w:ascii="Arial" w:hAnsi="Arial" w:cs="Arial"/>
          <w:sz w:val="24"/>
          <w:szCs w:val="24"/>
        </w:rPr>
        <w:t xml:space="preserve">x </w:t>
      </w:r>
      <w:r>
        <w:rPr>
          <w:rFonts w:ascii="Arial" w:hAnsi="Arial" w:cs="Arial"/>
          <w:spacing w:val="1"/>
          <w:sz w:val="24"/>
          <w:szCs w:val="24"/>
        </w:rPr>
        <w:t>qu</w:t>
      </w:r>
      <w:r>
        <w:rPr>
          <w:rFonts w:ascii="Arial" w:hAnsi="Arial" w:cs="Arial"/>
          <w:sz w:val="24"/>
          <w:szCs w:val="24"/>
        </w:rPr>
        <w:t>a</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f</w:t>
      </w:r>
      <w:r>
        <w:rPr>
          <w:rFonts w:ascii="Arial" w:hAnsi="Arial" w:cs="Arial"/>
          <w:sz w:val="24"/>
          <w:szCs w:val="24"/>
        </w:rPr>
        <w:t>i</w:t>
      </w:r>
      <w:r>
        <w:rPr>
          <w:rFonts w:ascii="Arial" w:hAnsi="Arial" w:cs="Arial"/>
          <w:spacing w:val="-2"/>
          <w:sz w:val="24"/>
          <w:szCs w:val="24"/>
        </w:rPr>
        <w:t>e</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les</w:t>
      </w:r>
      <w:r>
        <w:rPr>
          <w:rFonts w:ascii="Arial" w:hAnsi="Arial" w:cs="Arial"/>
          <w:spacing w:val="1"/>
          <w:sz w:val="24"/>
          <w:szCs w:val="24"/>
        </w:rPr>
        <w:t xml:space="preserve"> </w:t>
      </w:r>
      <w:r>
        <w:rPr>
          <w:rFonts w:ascii="Arial" w:hAnsi="Arial" w:cs="Arial"/>
          <w:sz w:val="24"/>
          <w:szCs w:val="24"/>
        </w:rPr>
        <w:t>e</w:t>
      </w:r>
      <w:r>
        <w:rPr>
          <w:rFonts w:ascii="Arial" w:hAnsi="Arial" w:cs="Arial"/>
          <w:spacing w:val="2"/>
          <w:sz w:val="24"/>
          <w:szCs w:val="24"/>
        </w:rPr>
        <w:t>f</w:t>
      </w:r>
      <w:r>
        <w:rPr>
          <w:rFonts w:ascii="Arial" w:hAnsi="Arial" w:cs="Arial"/>
          <w:spacing w:val="1"/>
          <w:sz w:val="24"/>
          <w:szCs w:val="24"/>
        </w:rPr>
        <w:t>f</w:t>
      </w:r>
      <w:r>
        <w:rPr>
          <w:rFonts w:ascii="Arial" w:hAnsi="Arial" w:cs="Arial"/>
          <w:spacing w:val="-2"/>
          <w:sz w:val="24"/>
          <w:szCs w:val="24"/>
        </w:rPr>
        <w:t>e</w:t>
      </w:r>
      <w:r>
        <w:rPr>
          <w:rFonts w:ascii="Arial" w:hAnsi="Arial" w:cs="Arial"/>
          <w:spacing w:val="1"/>
          <w:sz w:val="24"/>
          <w:szCs w:val="24"/>
        </w:rPr>
        <w:t>t</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es</w:t>
      </w:r>
      <w:r>
        <w:rPr>
          <w:rFonts w:ascii="Arial" w:hAnsi="Arial" w:cs="Arial"/>
          <w:spacing w:val="1"/>
          <w:sz w:val="24"/>
          <w:szCs w:val="24"/>
        </w:rPr>
        <w:t xml:space="preserve"> </w:t>
      </w:r>
      <w:r>
        <w:rPr>
          <w:rFonts w:ascii="Arial" w:hAnsi="Arial" w:cs="Arial"/>
          <w:sz w:val="24"/>
          <w:szCs w:val="24"/>
        </w:rPr>
        <w:t>i</w:t>
      </w:r>
      <w:r>
        <w:rPr>
          <w:rFonts w:ascii="Arial" w:hAnsi="Arial" w:cs="Arial"/>
          <w:spacing w:val="1"/>
          <w:sz w:val="24"/>
          <w:szCs w:val="24"/>
        </w:rPr>
        <w:t>nt</w:t>
      </w:r>
      <w:r>
        <w:rPr>
          <w:rFonts w:ascii="Arial" w:hAnsi="Arial" w:cs="Arial"/>
          <w:sz w:val="24"/>
          <w:szCs w:val="24"/>
        </w:rPr>
        <w:t>er</w:t>
      </w:r>
      <w:r>
        <w:rPr>
          <w:rFonts w:ascii="Arial" w:hAnsi="Arial" w:cs="Arial"/>
          <w:spacing w:val="5"/>
          <w:sz w:val="24"/>
          <w:szCs w:val="24"/>
        </w:rPr>
        <w:t>v</w:t>
      </w:r>
      <w:r>
        <w:rPr>
          <w:rFonts w:ascii="Arial" w:hAnsi="Arial" w:cs="Arial"/>
          <w:sz w:val="24"/>
          <w:szCs w:val="24"/>
        </w:rPr>
        <w:t>e</w:t>
      </w:r>
      <w:r>
        <w:rPr>
          <w:rFonts w:ascii="Arial" w:hAnsi="Arial" w:cs="Arial"/>
          <w:spacing w:val="1"/>
          <w:sz w:val="24"/>
          <w:szCs w:val="24"/>
        </w:rPr>
        <w:t>n</w:t>
      </w:r>
      <w:r>
        <w:rPr>
          <w:rFonts w:ascii="Arial" w:hAnsi="Arial" w:cs="Arial"/>
          <w:spacing w:val="-1"/>
          <w:sz w:val="24"/>
          <w:szCs w:val="24"/>
        </w:rPr>
        <w:t>t</w:t>
      </w:r>
      <w:r>
        <w:rPr>
          <w:rFonts w:ascii="Arial" w:hAnsi="Arial" w:cs="Arial"/>
          <w:sz w:val="24"/>
          <w:szCs w:val="24"/>
        </w:rPr>
        <w:t>io</w:t>
      </w:r>
      <w:r>
        <w:rPr>
          <w:rFonts w:ascii="Arial" w:hAnsi="Arial" w:cs="Arial"/>
          <w:spacing w:val="2"/>
          <w:sz w:val="24"/>
          <w:szCs w:val="24"/>
        </w:rPr>
        <w:t>n</w:t>
      </w:r>
      <w:r>
        <w:rPr>
          <w:rFonts w:ascii="Arial" w:hAnsi="Arial" w:cs="Arial"/>
          <w:sz w:val="24"/>
          <w:szCs w:val="24"/>
        </w:rPr>
        <w:t>s sect</w:t>
      </w:r>
      <w:r>
        <w:rPr>
          <w:rFonts w:ascii="Arial" w:hAnsi="Arial" w:cs="Arial"/>
          <w:spacing w:val="1"/>
          <w:sz w:val="24"/>
          <w:szCs w:val="24"/>
        </w:rPr>
        <w:t>o</w:t>
      </w:r>
      <w:r>
        <w:rPr>
          <w:rFonts w:ascii="Arial" w:hAnsi="Arial" w:cs="Arial"/>
          <w:spacing w:val="-2"/>
          <w:sz w:val="24"/>
          <w:szCs w:val="24"/>
        </w:rPr>
        <w:t>r</w:t>
      </w:r>
      <w:r>
        <w:rPr>
          <w:rFonts w:ascii="Arial" w:hAnsi="Arial" w:cs="Arial"/>
          <w:sz w:val="24"/>
          <w:szCs w:val="24"/>
        </w:rPr>
        <w:t>iell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es</w:t>
      </w:r>
      <w:r>
        <w:rPr>
          <w:rFonts w:ascii="Arial" w:hAnsi="Arial" w:cs="Arial"/>
          <w:spacing w:val="1"/>
          <w:sz w:val="24"/>
          <w:szCs w:val="24"/>
        </w:rPr>
        <w:t xml:space="preserve"> p</w:t>
      </w:r>
      <w:r>
        <w:rPr>
          <w:rFonts w:ascii="Arial" w:hAnsi="Arial" w:cs="Arial"/>
          <w:sz w:val="24"/>
          <w:szCs w:val="24"/>
        </w:rPr>
        <w:t>o</w:t>
      </w:r>
      <w:r>
        <w:rPr>
          <w:rFonts w:ascii="Arial" w:hAnsi="Arial" w:cs="Arial"/>
          <w:spacing w:val="1"/>
          <w:sz w:val="24"/>
          <w:szCs w:val="24"/>
        </w:rPr>
        <w:t>u</w:t>
      </w:r>
      <w:r>
        <w:rPr>
          <w:rFonts w:ascii="Arial" w:hAnsi="Arial" w:cs="Arial"/>
          <w:sz w:val="24"/>
          <w:szCs w:val="24"/>
        </w:rPr>
        <w:t>vo</w:t>
      </w:r>
      <w:r>
        <w:rPr>
          <w:rFonts w:ascii="Arial" w:hAnsi="Arial" w:cs="Arial"/>
          <w:spacing w:val="-2"/>
          <w:sz w:val="24"/>
          <w:szCs w:val="24"/>
        </w:rPr>
        <w:t>i</w:t>
      </w:r>
      <w:r>
        <w:rPr>
          <w:rFonts w:ascii="Arial" w:hAnsi="Arial" w:cs="Arial"/>
          <w:sz w:val="24"/>
          <w:szCs w:val="24"/>
        </w:rPr>
        <w:t xml:space="preserve">rs </w:t>
      </w:r>
      <w:r>
        <w:rPr>
          <w:rFonts w:ascii="Arial" w:hAnsi="Arial" w:cs="Arial"/>
          <w:spacing w:val="1"/>
          <w:sz w:val="24"/>
          <w:szCs w:val="24"/>
        </w:rPr>
        <w:t>pub</w:t>
      </w:r>
      <w:r>
        <w:rPr>
          <w:rFonts w:ascii="Arial" w:hAnsi="Arial" w:cs="Arial"/>
          <w:sz w:val="24"/>
          <w:szCs w:val="24"/>
        </w:rPr>
        <w:t xml:space="preserve">lics,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c</w:t>
      </w:r>
      <w:r>
        <w:rPr>
          <w:rFonts w:ascii="Arial" w:hAnsi="Arial" w:cs="Arial"/>
          <w:sz w:val="24"/>
          <w:szCs w:val="24"/>
        </w:rPr>
        <w:t>é</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r</w:t>
      </w:r>
      <w:r>
        <w:rPr>
          <w:rFonts w:ascii="Arial" w:hAnsi="Arial" w:cs="Arial"/>
          <w:spacing w:val="3"/>
          <w:sz w:val="24"/>
          <w:szCs w:val="24"/>
        </w:rPr>
        <w:t xml:space="preserve"> </w:t>
      </w:r>
      <w:r>
        <w:rPr>
          <w:rFonts w:ascii="Arial" w:hAnsi="Arial" w:cs="Arial"/>
          <w:sz w:val="24"/>
          <w:szCs w:val="24"/>
        </w:rPr>
        <w:t xml:space="preserve">à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z w:val="24"/>
          <w:szCs w:val="24"/>
        </w:rPr>
        <w:t>s</w:t>
      </w:r>
      <w:r>
        <w:rPr>
          <w:rFonts w:ascii="Arial" w:hAnsi="Arial" w:cs="Arial"/>
          <w:spacing w:val="-1"/>
          <w:sz w:val="24"/>
          <w:szCs w:val="24"/>
        </w:rPr>
        <w:t>c</w:t>
      </w:r>
      <w:r>
        <w:rPr>
          <w:rFonts w:ascii="Arial" w:hAnsi="Arial" w:cs="Arial"/>
          <w:spacing w:val="-2"/>
          <w:sz w:val="24"/>
          <w:szCs w:val="24"/>
        </w:rPr>
        <w:t>é</w:t>
      </w:r>
      <w:r>
        <w:rPr>
          <w:rFonts w:ascii="Arial" w:hAnsi="Arial" w:cs="Arial"/>
          <w:spacing w:val="1"/>
          <w:sz w:val="24"/>
          <w:szCs w:val="24"/>
        </w:rPr>
        <w:t>n</w:t>
      </w:r>
      <w:r>
        <w:rPr>
          <w:rFonts w:ascii="Arial" w:hAnsi="Arial" w:cs="Arial"/>
          <w:sz w:val="24"/>
          <w:szCs w:val="24"/>
        </w:rPr>
        <w:t>arios</w:t>
      </w:r>
      <w:r>
        <w:rPr>
          <w:rFonts w:ascii="Arial" w:hAnsi="Arial" w:cs="Arial"/>
          <w:spacing w:val="1"/>
          <w:sz w:val="24"/>
          <w:szCs w:val="24"/>
        </w:rPr>
        <w:t xml:space="preserve"> p</w:t>
      </w:r>
      <w:r>
        <w:rPr>
          <w:rFonts w:ascii="Arial" w:hAnsi="Arial" w:cs="Arial"/>
          <w:spacing w:val="-2"/>
          <w:sz w:val="24"/>
          <w:szCs w:val="24"/>
        </w:rPr>
        <w:t>a</w:t>
      </w:r>
      <w:r>
        <w:rPr>
          <w:rFonts w:ascii="Arial" w:hAnsi="Arial" w:cs="Arial"/>
          <w:sz w:val="24"/>
          <w:szCs w:val="24"/>
        </w:rPr>
        <w:t>r sim</w:t>
      </w:r>
      <w:r>
        <w:rPr>
          <w:rFonts w:ascii="Arial" w:hAnsi="Arial" w:cs="Arial"/>
          <w:spacing w:val="1"/>
          <w:sz w:val="24"/>
          <w:szCs w:val="24"/>
        </w:rPr>
        <w:t>u</w:t>
      </w:r>
      <w:r>
        <w:rPr>
          <w:rFonts w:ascii="Arial" w:hAnsi="Arial" w:cs="Arial"/>
          <w:sz w:val="24"/>
          <w:szCs w:val="24"/>
        </w:rPr>
        <w:t>la</w:t>
      </w:r>
      <w:r>
        <w:rPr>
          <w:rFonts w:ascii="Arial" w:hAnsi="Arial" w:cs="Arial"/>
          <w:spacing w:val="1"/>
          <w:sz w:val="24"/>
          <w:szCs w:val="24"/>
        </w:rPr>
        <w:t>t</w:t>
      </w:r>
      <w:r>
        <w:rPr>
          <w:rFonts w:ascii="Arial" w:hAnsi="Arial" w:cs="Arial"/>
          <w:sz w:val="24"/>
          <w:szCs w:val="24"/>
        </w:rPr>
        <w:t>i</w:t>
      </w:r>
      <w:r>
        <w:rPr>
          <w:rFonts w:ascii="Arial" w:hAnsi="Arial" w:cs="Arial"/>
          <w:spacing w:val="-2"/>
          <w:sz w:val="24"/>
          <w:szCs w:val="24"/>
        </w:rPr>
        <w:t>o</w:t>
      </w:r>
      <w:r>
        <w:rPr>
          <w:rFonts w:ascii="Arial" w:hAnsi="Arial" w:cs="Arial"/>
          <w:spacing w:val="1"/>
          <w:sz w:val="24"/>
          <w:szCs w:val="24"/>
        </w:rPr>
        <w:t>n</w:t>
      </w:r>
      <w:r>
        <w:rPr>
          <w:rFonts w:ascii="Arial" w:hAnsi="Arial" w:cs="Arial"/>
          <w:sz w:val="24"/>
          <w:szCs w:val="24"/>
        </w:rPr>
        <w:t>,</w:t>
      </w:r>
      <w:r>
        <w:rPr>
          <w:rFonts w:ascii="Arial" w:hAnsi="Arial" w:cs="Arial"/>
          <w:spacing w:val="39"/>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40"/>
          <w:sz w:val="24"/>
          <w:szCs w:val="24"/>
        </w:rPr>
        <w:t xml:space="preserve"> </w:t>
      </w:r>
      <w:r>
        <w:rPr>
          <w:rFonts w:ascii="Arial" w:hAnsi="Arial" w:cs="Arial"/>
          <w:spacing w:val="1"/>
          <w:sz w:val="24"/>
          <w:szCs w:val="24"/>
        </w:rPr>
        <w:t>p</w:t>
      </w:r>
      <w:r>
        <w:rPr>
          <w:rFonts w:ascii="Arial" w:hAnsi="Arial" w:cs="Arial"/>
          <w:sz w:val="24"/>
          <w:szCs w:val="24"/>
        </w:rPr>
        <w:t>ar</w:t>
      </w:r>
      <w:r>
        <w:rPr>
          <w:rFonts w:ascii="Arial" w:hAnsi="Arial" w:cs="Arial"/>
          <w:spacing w:val="37"/>
          <w:sz w:val="24"/>
          <w:szCs w:val="24"/>
        </w:rPr>
        <w:t xml:space="preserve"> </w:t>
      </w:r>
      <w:r>
        <w:rPr>
          <w:rFonts w:ascii="Arial" w:hAnsi="Arial" w:cs="Arial"/>
          <w:sz w:val="24"/>
          <w:szCs w:val="24"/>
        </w:rPr>
        <w:t>exem</w:t>
      </w:r>
      <w:r>
        <w:rPr>
          <w:rFonts w:ascii="Arial" w:hAnsi="Arial" w:cs="Arial"/>
          <w:spacing w:val="2"/>
          <w:sz w:val="24"/>
          <w:szCs w:val="24"/>
        </w:rPr>
        <w:t>p</w:t>
      </w:r>
      <w:r>
        <w:rPr>
          <w:rFonts w:ascii="Arial" w:hAnsi="Arial" w:cs="Arial"/>
          <w:sz w:val="24"/>
          <w:szCs w:val="24"/>
        </w:rPr>
        <w:t>le</w:t>
      </w:r>
      <w:r>
        <w:rPr>
          <w:rFonts w:ascii="Arial" w:hAnsi="Arial" w:cs="Arial"/>
          <w:spacing w:val="2"/>
          <w:sz w:val="24"/>
          <w:szCs w:val="24"/>
        </w:rPr>
        <w:t xml:space="preserve"> </w:t>
      </w:r>
      <w:r>
        <w:rPr>
          <w:rFonts w:ascii="Arial" w:hAnsi="Arial" w:cs="Arial"/>
          <w:sz w:val="24"/>
          <w:szCs w:val="24"/>
        </w:rPr>
        <w:t>:</w:t>
      </w:r>
      <w:r>
        <w:rPr>
          <w:rFonts w:ascii="Arial" w:hAnsi="Arial" w:cs="Arial"/>
          <w:spacing w:val="39"/>
          <w:sz w:val="24"/>
          <w:szCs w:val="24"/>
        </w:rPr>
        <w:t xml:space="preserve"> </w:t>
      </w:r>
      <w:r>
        <w:rPr>
          <w:rFonts w:ascii="Arial" w:hAnsi="Arial" w:cs="Arial"/>
          <w:sz w:val="24"/>
          <w:szCs w:val="24"/>
        </w:rPr>
        <w:t>les</w:t>
      </w:r>
      <w:r>
        <w:rPr>
          <w:rFonts w:ascii="Arial" w:hAnsi="Arial" w:cs="Arial"/>
          <w:spacing w:val="39"/>
          <w:sz w:val="24"/>
          <w:szCs w:val="24"/>
        </w:rPr>
        <w:t xml:space="preserve"> </w:t>
      </w:r>
      <w:r>
        <w:rPr>
          <w:rFonts w:ascii="Arial" w:hAnsi="Arial" w:cs="Arial"/>
          <w:sz w:val="24"/>
          <w:szCs w:val="24"/>
        </w:rPr>
        <w:t>e</w:t>
      </w:r>
      <w:r>
        <w:rPr>
          <w:rFonts w:ascii="Arial" w:hAnsi="Arial" w:cs="Arial"/>
          <w:spacing w:val="2"/>
          <w:sz w:val="24"/>
          <w:szCs w:val="24"/>
        </w:rPr>
        <w:t>f</w:t>
      </w:r>
      <w:r>
        <w:rPr>
          <w:rFonts w:ascii="Arial" w:hAnsi="Arial" w:cs="Arial"/>
          <w:spacing w:val="-1"/>
          <w:sz w:val="24"/>
          <w:szCs w:val="24"/>
        </w:rPr>
        <w:t>f</w:t>
      </w:r>
      <w:r>
        <w:rPr>
          <w:rFonts w:ascii="Arial" w:hAnsi="Arial" w:cs="Arial"/>
          <w:sz w:val="24"/>
          <w:szCs w:val="24"/>
        </w:rPr>
        <w:t>e</w:t>
      </w:r>
      <w:r>
        <w:rPr>
          <w:rFonts w:ascii="Arial" w:hAnsi="Arial" w:cs="Arial"/>
          <w:spacing w:val="2"/>
          <w:sz w:val="24"/>
          <w:szCs w:val="24"/>
        </w:rPr>
        <w:t>t</w:t>
      </w:r>
      <w:r>
        <w:rPr>
          <w:rFonts w:ascii="Arial" w:hAnsi="Arial" w:cs="Arial"/>
          <w:sz w:val="24"/>
          <w:szCs w:val="24"/>
        </w:rPr>
        <w:t>s</w:t>
      </w:r>
      <w:r>
        <w:rPr>
          <w:rFonts w:ascii="Arial" w:hAnsi="Arial" w:cs="Arial"/>
          <w:spacing w:val="39"/>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7"/>
          <w:sz w:val="24"/>
          <w:szCs w:val="24"/>
        </w:rPr>
        <w:t xml:space="preserve"> </w:t>
      </w:r>
      <w:r>
        <w:rPr>
          <w:rFonts w:ascii="Arial" w:hAnsi="Arial" w:cs="Arial"/>
          <w:spacing w:val="2"/>
          <w:sz w:val="24"/>
          <w:szCs w:val="24"/>
        </w:rPr>
        <w:t>l</w:t>
      </w:r>
      <w:r>
        <w:rPr>
          <w:rFonts w:ascii="Arial" w:hAnsi="Arial" w:cs="Arial"/>
          <w:sz w:val="24"/>
          <w:szCs w:val="24"/>
        </w:rPr>
        <w:t>a</w:t>
      </w:r>
      <w:r>
        <w:rPr>
          <w:rFonts w:ascii="Arial" w:hAnsi="Arial" w:cs="Arial"/>
          <w:spacing w:val="39"/>
          <w:sz w:val="24"/>
          <w:szCs w:val="24"/>
        </w:rPr>
        <w:t xml:space="preserve"> </w:t>
      </w:r>
      <w:r>
        <w:rPr>
          <w:rFonts w:ascii="Arial" w:hAnsi="Arial" w:cs="Arial"/>
          <w:sz w:val="24"/>
          <w:szCs w:val="24"/>
        </w:rPr>
        <w:t>varia</w:t>
      </w:r>
      <w:r>
        <w:rPr>
          <w:rFonts w:ascii="Arial" w:hAnsi="Arial" w:cs="Arial"/>
          <w:spacing w:val="1"/>
          <w:sz w:val="24"/>
          <w:szCs w:val="24"/>
        </w:rPr>
        <w:t>t</w:t>
      </w:r>
      <w:r>
        <w:rPr>
          <w:rFonts w:ascii="Arial" w:hAnsi="Arial" w:cs="Arial"/>
          <w:sz w:val="24"/>
          <w:szCs w:val="24"/>
        </w:rPr>
        <w:t>ion</w:t>
      </w:r>
      <w:r>
        <w:rPr>
          <w:rFonts w:ascii="Arial" w:hAnsi="Arial" w:cs="Arial"/>
          <w:spacing w:val="4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9"/>
          <w:sz w:val="24"/>
          <w:szCs w:val="24"/>
        </w:rPr>
        <w:t xml:space="preserve"> </w:t>
      </w:r>
      <w:r>
        <w:rPr>
          <w:rFonts w:ascii="Arial" w:hAnsi="Arial" w:cs="Arial"/>
          <w:spacing w:val="1"/>
          <w:sz w:val="24"/>
          <w:szCs w:val="24"/>
        </w:rPr>
        <w:t>p</w:t>
      </w:r>
      <w:r>
        <w:rPr>
          <w:rFonts w:ascii="Arial" w:hAnsi="Arial" w:cs="Arial"/>
          <w:sz w:val="24"/>
          <w:szCs w:val="24"/>
        </w:rPr>
        <w:t>rix</w:t>
      </w:r>
      <w:r>
        <w:rPr>
          <w:rFonts w:ascii="Arial" w:hAnsi="Arial" w:cs="Arial"/>
          <w:spacing w:val="39"/>
          <w:sz w:val="24"/>
          <w:szCs w:val="24"/>
        </w:rPr>
        <w:t xml:space="preserve"> </w:t>
      </w:r>
      <w:r>
        <w:rPr>
          <w:rFonts w:ascii="Arial" w:hAnsi="Arial" w:cs="Arial"/>
          <w:sz w:val="24"/>
          <w:szCs w:val="24"/>
        </w:rPr>
        <w:t>au</w:t>
      </w:r>
      <w:r>
        <w:rPr>
          <w:rFonts w:ascii="Arial" w:hAnsi="Arial" w:cs="Arial"/>
          <w:spacing w:val="38"/>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odu</w:t>
      </w:r>
      <w:r>
        <w:rPr>
          <w:rFonts w:ascii="Arial" w:hAnsi="Arial" w:cs="Arial"/>
          <w:spacing w:val="-3"/>
          <w:sz w:val="24"/>
          <w:szCs w:val="24"/>
        </w:rPr>
        <w:t>c</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u</w:t>
      </w:r>
      <w:r>
        <w:rPr>
          <w:rFonts w:ascii="Arial" w:hAnsi="Arial" w:cs="Arial"/>
          <w:sz w:val="24"/>
          <w:szCs w:val="24"/>
        </w:rPr>
        <w:t>r</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40"/>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ût</w:t>
      </w:r>
      <w:r>
        <w:rPr>
          <w:rFonts w:ascii="Arial" w:hAnsi="Arial" w:cs="Arial"/>
          <w:sz w:val="24"/>
          <w:szCs w:val="24"/>
        </w:rPr>
        <w:t>s</w:t>
      </w:r>
      <w:r>
        <w:rPr>
          <w:rFonts w:ascii="Arial" w:hAnsi="Arial" w:cs="Arial"/>
          <w:spacing w:val="20"/>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0"/>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du</w:t>
      </w:r>
      <w:r>
        <w:rPr>
          <w:rFonts w:ascii="Arial" w:hAnsi="Arial" w:cs="Arial"/>
          <w:spacing w:val="-3"/>
          <w:sz w:val="24"/>
          <w:szCs w:val="24"/>
        </w:rPr>
        <w:t>c</w:t>
      </w:r>
      <w:r>
        <w:rPr>
          <w:rFonts w:ascii="Arial" w:hAnsi="Arial" w:cs="Arial"/>
          <w:spacing w:val="1"/>
          <w:sz w:val="24"/>
          <w:szCs w:val="24"/>
        </w:rPr>
        <w:t>t</w:t>
      </w:r>
      <w:r>
        <w:rPr>
          <w:rFonts w:ascii="Arial" w:hAnsi="Arial" w:cs="Arial"/>
          <w:sz w:val="24"/>
          <w:szCs w:val="24"/>
        </w:rPr>
        <w:t>ion</w:t>
      </w:r>
      <w:r>
        <w:rPr>
          <w:rFonts w:ascii="Arial" w:hAnsi="Arial" w:cs="Arial"/>
          <w:spacing w:val="22"/>
          <w:sz w:val="24"/>
          <w:szCs w:val="24"/>
        </w:rPr>
        <w:t xml:space="preserve"> </w:t>
      </w:r>
      <w:r>
        <w:rPr>
          <w:rFonts w:ascii="Arial" w:hAnsi="Arial" w:cs="Arial"/>
          <w:spacing w:val="-3"/>
          <w:sz w:val="24"/>
          <w:szCs w:val="24"/>
        </w:rPr>
        <w:t>s</w:t>
      </w:r>
      <w:r>
        <w:rPr>
          <w:rFonts w:ascii="Arial" w:hAnsi="Arial" w:cs="Arial"/>
          <w:spacing w:val="1"/>
          <w:sz w:val="24"/>
          <w:szCs w:val="24"/>
        </w:rPr>
        <w:t>u</w:t>
      </w:r>
      <w:r>
        <w:rPr>
          <w:rFonts w:ascii="Arial" w:hAnsi="Arial" w:cs="Arial"/>
          <w:sz w:val="24"/>
          <w:szCs w:val="24"/>
        </w:rPr>
        <w:t>r</w:t>
      </w:r>
      <w:r>
        <w:rPr>
          <w:rFonts w:ascii="Arial" w:hAnsi="Arial" w:cs="Arial"/>
          <w:spacing w:val="18"/>
          <w:sz w:val="24"/>
          <w:szCs w:val="24"/>
        </w:rPr>
        <w:t xml:space="preserve"> </w:t>
      </w:r>
      <w:r>
        <w:rPr>
          <w:rFonts w:ascii="Arial" w:hAnsi="Arial" w:cs="Arial"/>
          <w:sz w:val="24"/>
          <w:szCs w:val="24"/>
        </w:rPr>
        <w:t>les</w:t>
      </w:r>
      <w:r>
        <w:rPr>
          <w:rFonts w:ascii="Arial" w:hAnsi="Arial" w:cs="Arial"/>
          <w:spacing w:val="20"/>
          <w:sz w:val="24"/>
          <w:szCs w:val="24"/>
        </w:rPr>
        <w:t xml:space="preserve"> </w:t>
      </w:r>
      <w:r>
        <w:rPr>
          <w:rFonts w:ascii="Arial" w:hAnsi="Arial" w:cs="Arial"/>
          <w:sz w:val="24"/>
          <w:szCs w:val="24"/>
        </w:rPr>
        <w:t>activités</w:t>
      </w:r>
      <w:r>
        <w:rPr>
          <w:rFonts w:ascii="Arial" w:hAnsi="Arial" w:cs="Arial"/>
          <w:spacing w:val="1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0"/>
          <w:sz w:val="24"/>
          <w:szCs w:val="24"/>
        </w:rPr>
        <w:t xml:space="preserve"> </w:t>
      </w:r>
      <w:r>
        <w:rPr>
          <w:rFonts w:ascii="Arial" w:hAnsi="Arial" w:cs="Arial"/>
          <w:sz w:val="24"/>
          <w:szCs w:val="24"/>
        </w:rPr>
        <w:t>la</w:t>
      </w:r>
      <w:r>
        <w:rPr>
          <w:rFonts w:ascii="Arial" w:hAnsi="Arial" w:cs="Arial"/>
          <w:spacing w:val="18"/>
          <w:sz w:val="24"/>
          <w:szCs w:val="24"/>
        </w:rPr>
        <w:t xml:space="preserve"> </w:t>
      </w:r>
      <w:r>
        <w:rPr>
          <w:rFonts w:ascii="Arial" w:hAnsi="Arial" w:cs="Arial"/>
          <w:spacing w:val="1"/>
          <w:sz w:val="24"/>
          <w:szCs w:val="24"/>
        </w:rPr>
        <w:t>f</w:t>
      </w:r>
      <w:r>
        <w:rPr>
          <w:rFonts w:ascii="Arial" w:hAnsi="Arial" w:cs="Arial"/>
          <w:sz w:val="24"/>
          <w:szCs w:val="24"/>
        </w:rPr>
        <w:t>ilière</w:t>
      </w:r>
      <w:r>
        <w:rPr>
          <w:rFonts w:ascii="Arial" w:hAnsi="Arial" w:cs="Arial"/>
          <w:spacing w:val="18"/>
          <w:sz w:val="24"/>
          <w:szCs w:val="24"/>
        </w:rPr>
        <w:t xml:space="preserve"> </w:t>
      </w:r>
      <w:r>
        <w:rPr>
          <w:rFonts w:ascii="Arial" w:hAnsi="Arial" w:cs="Arial"/>
          <w:sz w:val="24"/>
          <w:szCs w:val="24"/>
        </w:rPr>
        <w:t>et</w:t>
      </w:r>
      <w:r>
        <w:rPr>
          <w:rFonts w:ascii="Arial" w:hAnsi="Arial" w:cs="Arial"/>
          <w:spacing w:val="21"/>
          <w:sz w:val="24"/>
          <w:szCs w:val="24"/>
        </w:rPr>
        <w:t xml:space="preserve"> </w:t>
      </w:r>
      <w:r>
        <w:rPr>
          <w:rFonts w:ascii="Arial" w:hAnsi="Arial" w:cs="Arial"/>
          <w:sz w:val="24"/>
          <w:szCs w:val="24"/>
        </w:rPr>
        <w:t>l’i</w:t>
      </w:r>
      <w:r>
        <w:rPr>
          <w:rFonts w:ascii="Arial" w:hAnsi="Arial" w:cs="Arial"/>
          <w:spacing w:val="-2"/>
          <w:sz w:val="24"/>
          <w:szCs w:val="24"/>
        </w:rPr>
        <w:t>m</w:t>
      </w:r>
      <w:r>
        <w:rPr>
          <w:rFonts w:ascii="Arial" w:hAnsi="Arial" w:cs="Arial"/>
          <w:spacing w:val="1"/>
          <w:sz w:val="24"/>
          <w:szCs w:val="24"/>
        </w:rPr>
        <w:t>p</w:t>
      </w:r>
      <w:r>
        <w:rPr>
          <w:rFonts w:ascii="Arial" w:hAnsi="Arial" w:cs="Arial"/>
          <w:sz w:val="24"/>
          <w:szCs w:val="24"/>
        </w:rPr>
        <w:t>act</w:t>
      </w:r>
      <w:r>
        <w:rPr>
          <w:rFonts w:ascii="Arial" w:hAnsi="Arial" w:cs="Arial"/>
          <w:spacing w:val="20"/>
          <w:sz w:val="24"/>
          <w:szCs w:val="24"/>
        </w:rPr>
        <w:t xml:space="preserve"> </w:t>
      </w:r>
      <w:r>
        <w:rPr>
          <w:rFonts w:ascii="Arial" w:hAnsi="Arial" w:cs="Arial"/>
          <w:spacing w:val="1"/>
          <w:sz w:val="24"/>
          <w:szCs w:val="24"/>
        </w:rPr>
        <w:t>d</w:t>
      </w:r>
      <w:r>
        <w:rPr>
          <w:rFonts w:ascii="Arial" w:hAnsi="Arial" w:cs="Arial"/>
          <w:spacing w:val="-2"/>
          <w:sz w:val="24"/>
          <w:szCs w:val="24"/>
        </w:rPr>
        <w:t>’</w:t>
      </w:r>
      <w:r>
        <w:rPr>
          <w:rFonts w:ascii="Arial" w:hAnsi="Arial" w:cs="Arial"/>
          <w:spacing w:val="1"/>
          <w:sz w:val="24"/>
          <w:szCs w:val="24"/>
        </w:rPr>
        <w:t>u</w:t>
      </w:r>
      <w:r>
        <w:rPr>
          <w:rFonts w:ascii="Arial" w:hAnsi="Arial" w:cs="Arial"/>
          <w:spacing w:val="-1"/>
          <w:sz w:val="24"/>
          <w:szCs w:val="24"/>
        </w:rPr>
        <w:t>n</w:t>
      </w:r>
      <w:r>
        <w:rPr>
          <w:rFonts w:ascii="Arial" w:hAnsi="Arial" w:cs="Arial"/>
          <w:sz w:val="24"/>
          <w:szCs w:val="24"/>
        </w:rPr>
        <w:t>e</w:t>
      </w:r>
      <w:r>
        <w:rPr>
          <w:rFonts w:ascii="Arial" w:hAnsi="Arial" w:cs="Arial"/>
          <w:spacing w:val="20"/>
          <w:sz w:val="24"/>
          <w:szCs w:val="24"/>
        </w:rPr>
        <w:t xml:space="preserve"> </w:t>
      </w:r>
      <w:r>
        <w:rPr>
          <w:rFonts w:ascii="Arial" w:hAnsi="Arial" w:cs="Arial"/>
          <w:sz w:val="24"/>
          <w:szCs w:val="24"/>
        </w:rPr>
        <w:t>révi</w:t>
      </w:r>
      <w:r>
        <w:rPr>
          <w:rFonts w:ascii="Arial" w:hAnsi="Arial" w:cs="Arial"/>
          <w:spacing w:val="-1"/>
          <w:sz w:val="24"/>
          <w:szCs w:val="24"/>
        </w:rPr>
        <w:t>s</w:t>
      </w:r>
      <w:r>
        <w:rPr>
          <w:rFonts w:ascii="Arial" w:hAnsi="Arial" w:cs="Arial"/>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2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0"/>
          <w:sz w:val="24"/>
          <w:szCs w:val="24"/>
        </w:rPr>
        <w:t xml:space="preserve"> </w:t>
      </w:r>
      <w:r>
        <w:rPr>
          <w:rFonts w:ascii="Arial" w:hAnsi="Arial" w:cs="Arial"/>
          <w:sz w:val="24"/>
          <w:szCs w:val="24"/>
        </w:rPr>
        <w:t>la</w:t>
      </w:r>
      <w:r>
        <w:rPr>
          <w:rFonts w:ascii="Arial" w:hAnsi="Arial" w:cs="Arial"/>
          <w:spacing w:val="18"/>
          <w:sz w:val="24"/>
          <w:szCs w:val="24"/>
        </w:rPr>
        <w:t xml:space="preserve"> </w:t>
      </w:r>
      <w:r>
        <w:rPr>
          <w:rFonts w:ascii="Arial" w:hAnsi="Arial" w:cs="Arial"/>
          <w:spacing w:val="1"/>
          <w:sz w:val="24"/>
          <w:szCs w:val="24"/>
        </w:rPr>
        <w:t>f</w:t>
      </w:r>
      <w:r>
        <w:rPr>
          <w:rFonts w:ascii="Arial" w:hAnsi="Arial" w:cs="Arial"/>
          <w:sz w:val="24"/>
          <w:szCs w:val="24"/>
        </w:rPr>
        <w:t>is</w:t>
      </w:r>
      <w:r>
        <w:rPr>
          <w:rFonts w:ascii="Arial" w:hAnsi="Arial" w:cs="Arial"/>
          <w:spacing w:val="-1"/>
          <w:sz w:val="24"/>
          <w:szCs w:val="24"/>
        </w:rPr>
        <w:t>c</w:t>
      </w:r>
      <w:r>
        <w:rPr>
          <w:rFonts w:ascii="Arial" w:hAnsi="Arial" w:cs="Arial"/>
          <w:sz w:val="24"/>
          <w:szCs w:val="24"/>
        </w:rPr>
        <w:t>ali</w:t>
      </w:r>
      <w:r>
        <w:rPr>
          <w:rFonts w:ascii="Arial" w:hAnsi="Arial" w:cs="Arial"/>
          <w:spacing w:val="-1"/>
          <w:sz w:val="24"/>
          <w:szCs w:val="24"/>
        </w:rPr>
        <w:t>t</w:t>
      </w:r>
      <w:r>
        <w:rPr>
          <w:rFonts w:ascii="Arial" w:hAnsi="Arial" w:cs="Arial"/>
          <w:sz w:val="24"/>
          <w:szCs w:val="24"/>
        </w:rPr>
        <w:t>é</w:t>
      </w:r>
      <w:r>
        <w:rPr>
          <w:rFonts w:ascii="Arial" w:hAnsi="Arial" w:cs="Arial"/>
          <w:spacing w:val="20"/>
          <w:sz w:val="24"/>
          <w:szCs w:val="24"/>
        </w:rPr>
        <w:t xml:space="preserve"> </w:t>
      </w:r>
      <w:r>
        <w:rPr>
          <w:rFonts w:ascii="Arial" w:hAnsi="Arial" w:cs="Arial"/>
          <w:spacing w:val="-2"/>
          <w:sz w:val="24"/>
          <w:szCs w:val="24"/>
        </w:rPr>
        <w:t>e</w:t>
      </w:r>
      <w:r>
        <w:rPr>
          <w:rFonts w:ascii="Arial" w:hAnsi="Arial" w:cs="Arial"/>
          <w:sz w:val="24"/>
          <w:szCs w:val="24"/>
        </w:rPr>
        <w:t xml:space="preserve">t </w:t>
      </w:r>
      <w:r>
        <w:rPr>
          <w:rFonts w:ascii="Arial" w:hAnsi="Arial" w:cs="Arial"/>
          <w:spacing w:val="1"/>
          <w:sz w:val="24"/>
          <w:szCs w:val="24"/>
        </w:rPr>
        <w:t>d</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r</w:t>
      </w:r>
      <w:r>
        <w:rPr>
          <w:rFonts w:ascii="Arial" w:hAnsi="Arial" w:cs="Arial"/>
          <w:spacing w:val="1"/>
          <w:sz w:val="24"/>
          <w:szCs w:val="24"/>
        </w:rPr>
        <w:t>o</w:t>
      </w:r>
      <w:r>
        <w:rPr>
          <w:rFonts w:ascii="Arial" w:hAnsi="Arial" w:cs="Arial"/>
          <w:spacing w:val="-2"/>
          <w:sz w:val="24"/>
          <w:szCs w:val="24"/>
        </w:rPr>
        <w:t>i</w:t>
      </w:r>
      <w:r>
        <w:rPr>
          <w:rFonts w:ascii="Arial" w:hAnsi="Arial" w:cs="Arial"/>
          <w:spacing w:val="1"/>
          <w:sz w:val="24"/>
          <w:szCs w:val="24"/>
        </w:rPr>
        <w:t>t</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u</w:t>
      </w: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s</w:t>
      </w:r>
      <w:r>
        <w:rPr>
          <w:rFonts w:ascii="Arial" w:hAnsi="Arial" w:cs="Arial"/>
          <w:spacing w:val="-2"/>
          <w:sz w:val="24"/>
          <w:szCs w:val="24"/>
        </w:rPr>
        <w:t>u</w:t>
      </w:r>
      <w:r>
        <w:rPr>
          <w:rFonts w:ascii="Arial" w:hAnsi="Arial" w:cs="Arial"/>
          <w:sz w:val="24"/>
          <w:szCs w:val="24"/>
        </w:rPr>
        <w:t>r</w:t>
      </w:r>
      <w:r>
        <w:rPr>
          <w:rFonts w:ascii="Arial" w:hAnsi="Arial" w:cs="Arial"/>
          <w:spacing w:val="2"/>
          <w:sz w:val="24"/>
          <w:szCs w:val="24"/>
        </w:rPr>
        <w:t xml:space="preserve"> </w:t>
      </w:r>
      <w:r>
        <w:rPr>
          <w:rFonts w:ascii="Arial" w:hAnsi="Arial" w:cs="Arial"/>
          <w:sz w:val="24"/>
          <w:szCs w:val="24"/>
        </w:rPr>
        <w:t>la</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w:t>
      </w:r>
      <w:r>
        <w:rPr>
          <w:rFonts w:ascii="Arial" w:hAnsi="Arial" w:cs="Arial"/>
          <w:spacing w:val="2"/>
          <w:sz w:val="24"/>
          <w:szCs w:val="24"/>
        </w:rPr>
        <w:t>t</w:t>
      </w:r>
      <w:r>
        <w:rPr>
          <w:rFonts w:ascii="Arial" w:hAnsi="Arial" w:cs="Arial"/>
          <w:sz w:val="24"/>
          <w:szCs w:val="24"/>
        </w:rPr>
        <w:t>i</w:t>
      </w:r>
      <w:r>
        <w:rPr>
          <w:rFonts w:ascii="Arial" w:hAnsi="Arial" w:cs="Arial"/>
          <w:spacing w:val="1"/>
          <w:sz w:val="24"/>
          <w:szCs w:val="24"/>
        </w:rPr>
        <w:t>t</w:t>
      </w:r>
      <w:r>
        <w:rPr>
          <w:rFonts w:ascii="Arial" w:hAnsi="Arial" w:cs="Arial"/>
          <w:sz w:val="24"/>
          <w:szCs w:val="24"/>
        </w:rPr>
        <w:t>iv</w:t>
      </w:r>
      <w:r>
        <w:rPr>
          <w:rFonts w:ascii="Arial" w:hAnsi="Arial" w:cs="Arial"/>
          <w:spacing w:val="-3"/>
          <w:sz w:val="24"/>
          <w:szCs w:val="24"/>
        </w:rPr>
        <w:t>i</w:t>
      </w:r>
      <w:r>
        <w:rPr>
          <w:rFonts w:ascii="Arial" w:hAnsi="Arial" w:cs="Arial"/>
          <w:spacing w:val="1"/>
          <w:sz w:val="24"/>
          <w:szCs w:val="24"/>
        </w:rPr>
        <w:t>t</w:t>
      </w:r>
      <w:r>
        <w:rPr>
          <w:rFonts w:ascii="Arial" w:hAnsi="Arial" w:cs="Arial"/>
          <w:sz w:val="24"/>
          <w:szCs w:val="24"/>
        </w:rPr>
        <w:t>é.</w:t>
      </w:r>
      <w:r>
        <w:rPr>
          <w:rFonts w:ascii="Arial" w:hAnsi="Arial" w:cs="Arial"/>
          <w:spacing w:val="7"/>
          <w:sz w:val="24"/>
          <w:szCs w:val="24"/>
        </w:rPr>
        <w:t xml:space="preserve"> </w:t>
      </w:r>
      <w:r>
        <w:rPr>
          <w:rFonts w:ascii="Arial" w:hAnsi="Arial" w:cs="Arial"/>
          <w:sz w:val="24"/>
          <w:szCs w:val="24"/>
        </w:rPr>
        <w:t>E</w:t>
      </w:r>
      <w:r>
        <w:rPr>
          <w:rFonts w:ascii="Arial" w:hAnsi="Arial" w:cs="Arial"/>
          <w:spacing w:val="1"/>
          <w:sz w:val="24"/>
          <w:szCs w:val="24"/>
        </w:rPr>
        <w:t>nf</w:t>
      </w:r>
      <w:r>
        <w:rPr>
          <w:rFonts w:ascii="Arial" w:hAnsi="Arial" w:cs="Arial"/>
          <w:spacing w:val="-2"/>
          <w:sz w:val="24"/>
          <w:szCs w:val="24"/>
        </w:rPr>
        <w:t>i</w:t>
      </w:r>
      <w:r>
        <w:rPr>
          <w:rFonts w:ascii="Arial" w:hAnsi="Arial" w:cs="Arial"/>
          <w:spacing w:val="1"/>
          <w:sz w:val="24"/>
          <w:szCs w:val="24"/>
        </w:rPr>
        <w:t>n</w:t>
      </w:r>
      <w:r>
        <w:rPr>
          <w:rFonts w:ascii="Arial" w:hAnsi="Arial" w:cs="Arial"/>
          <w:sz w:val="24"/>
          <w:szCs w:val="24"/>
        </w:rPr>
        <w:t>, la</w:t>
      </w:r>
      <w:r>
        <w:rPr>
          <w:rFonts w:ascii="Arial" w:hAnsi="Arial" w:cs="Arial"/>
          <w:spacing w:val="4"/>
          <w:sz w:val="24"/>
          <w:szCs w:val="24"/>
        </w:rPr>
        <w:t xml:space="preserve"> </w:t>
      </w:r>
      <w:r>
        <w:rPr>
          <w:rFonts w:ascii="Arial" w:hAnsi="Arial" w:cs="Arial"/>
          <w:spacing w:val="1"/>
          <w:sz w:val="24"/>
          <w:szCs w:val="24"/>
        </w:rPr>
        <w:t>M</w:t>
      </w:r>
      <w:r>
        <w:rPr>
          <w:rFonts w:ascii="Arial" w:hAnsi="Arial" w:cs="Arial"/>
          <w:sz w:val="24"/>
          <w:szCs w:val="24"/>
        </w:rPr>
        <w:t>AP</w:t>
      </w:r>
      <w:r>
        <w:rPr>
          <w:rFonts w:ascii="Arial" w:hAnsi="Arial" w:cs="Arial"/>
          <w:spacing w:val="3"/>
          <w:sz w:val="24"/>
          <w:szCs w:val="24"/>
        </w:rPr>
        <w:t xml:space="preserve"> </w:t>
      </w:r>
      <w:r>
        <w:rPr>
          <w:rFonts w:ascii="Arial" w:hAnsi="Arial" w:cs="Arial"/>
          <w:spacing w:val="1"/>
          <w:sz w:val="24"/>
          <w:szCs w:val="24"/>
        </w:rPr>
        <w:t>p</w:t>
      </w:r>
      <w:r>
        <w:rPr>
          <w:rFonts w:ascii="Arial" w:hAnsi="Arial" w:cs="Arial"/>
          <w:sz w:val="24"/>
          <w:szCs w:val="24"/>
        </w:rPr>
        <w:t>er</w:t>
      </w:r>
      <w:r>
        <w:rPr>
          <w:rFonts w:ascii="Arial" w:hAnsi="Arial" w:cs="Arial"/>
          <w:spacing w:val="1"/>
          <w:sz w:val="24"/>
          <w:szCs w:val="24"/>
        </w:rPr>
        <w:t>m</w:t>
      </w:r>
      <w:r>
        <w:rPr>
          <w:rFonts w:ascii="Arial" w:hAnsi="Arial" w:cs="Arial"/>
          <w:sz w:val="24"/>
          <w:szCs w:val="24"/>
        </w:rPr>
        <w:t>et</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1"/>
          <w:sz w:val="24"/>
          <w:szCs w:val="24"/>
        </w:rPr>
        <w:t>e</w:t>
      </w:r>
      <w:r>
        <w:rPr>
          <w:rFonts w:ascii="Arial" w:hAnsi="Arial" w:cs="Arial"/>
          <w:spacing w:val="1"/>
          <w:sz w:val="24"/>
          <w:szCs w:val="24"/>
        </w:rPr>
        <w:t>nd</w:t>
      </w:r>
      <w:r>
        <w:rPr>
          <w:rFonts w:ascii="Arial" w:hAnsi="Arial" w:cs="Arial"/>
          <w:sz w:val="24"/>
          <w:szCs w:val="24"/>
        </w:rPr>
        <w:t>re</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pt</w:t>
      </w:r>
      <w:r>
        <w:rPr>
          <w:rFonts w:ascii="Arial" w:hAnsi="Arial" w:cs="Arial"/>
          <w:sz w:val="24"/>
          <w:szCs w:val="24"/>
        </w:rPr>
        <w:t>e</w:t>
      </w:r>
      <w:r>
        <w:rPr>
          <w:rFonts w:ascii="Arial" w:hAnsi="Arial" w:cs="Arial"/>
          <w:spacing w:val="2"/>
          <w:sz w:val="24"/>
          <w:szCs w:val="24"/>
        </w:rPr>
        <w:t xml:space="preserve"> les </w:t>
      </w:r>
      <w:r>
        <w:rPr>
          <w:rFonts w:ascii="Arial" w:hAnsi="Arial" w:cs="Arial"/>
          <w:sz w:val="24"/>
          <w:szCs w:val="24"/>
        </w:rPr>
        <w:t>problèmes de la répartition é</w:t>
      </w:r>
      <w:r>
        <w:rPr>
          <w:rFonts w:ascii="Arial" w:hAnsi="Arial" w:cs="Arial"/>
          <w:spacing w:val="1"/>
          <w:sz w:val="24"/>
          <w:szCs w:val="24"/>
        </w:rPr>
        <w:t>qu</w:t>
      </w:r>
      <w:r>
        <w:rPr>
          <w:rFonts w:ascii="Arial" w:hAnsi="Arial" w:cs="Arial"/>
          <w:spacing w:val="-2"/>
          <w:sz w:val="24"/>
          <w:szCs w:val="24"/>
        </w:rPr>
        <w:t>i</w:t>
      </w:r>
      <w:r>
        <w:rPr>
          <w:rFonts w:ascii="Arial" w:hAnsi="Arial" w:cs="Arial"/>
          <w:spacing w:val="1"/>
          <w:sz w:val="24"/>
          <w:szCs w:val="24"/>
        </w:rPr>
        <w:t>table du revenu entre les acteurs de la filière p</w:t>
      </w:r>
      <w:r>
        <w:rPr>
          <w:rFonts w:ascii="Arial" w:hAnsi="Arial" w:cs="Arial"/>
          <w:sz w:val="24"/>
          <w:szCs w:val="24"/>
        </w:rPr>
        <w:t>ar</w:t>
      </w:r>
      <w:r>
        <w:rPr>
          <w:rFonts w:ascii="Arial" w:hAnsi="Arial" w:cs="Arial"/>
          <w:spacing w:val="-1"/>
          <w:sz w:val="24"/>
          <w:szCs w:val="24"/>
        </w:rPr>
        <w:t xml:space="preserve"> d</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p</w:t>
      </w:r>
      <w:r>
        <w:rPr>
          <w:rFonts w:ascii="Arial" w:hAnsi="Arial" w:cs="Arial"/>
          <w:sz w:val="24"/>
          <w:szCs w:val="24"/>
        </w:rPr>
        <w:t>oli</w:t>
      </w:r>
      <w:r>
        <w:rPr>
          <w:rFonts w:ascii="Arial" w:hAnsi="Arial" w:cs="Arial"/>
          <w:spacing w:val="1"/>
          <w:sz w:val="24"/>
          <w:szCs w:val="24"/>
        </w:rPr>
        <w:t>t</w:t>
      </w:r>
      <w:r>
        <w:rPr>
          <w:rFonts w:ascii="Arial" w:hAnsi="Arial" w:cs="Arial"/>
          <w:spacing w:val="-2"/>
          <w:sz w:val="24"/>
          <w:szCs w:val="24"/>
        </w:rPr>
        <w:t>i</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es</w:t>
      </w:r>
      <w:r>
        <w:rPr>
          <w:rFonts w:ascii="Arial" w:hAnsi="Arial" w:cs="Arial"/>
          <w:spacing w:val="1"/>
          <w:sz w:val="24"/>
          <w:szCs w:val="24"/>
        </w:rPr>
        <w:t xml:space="preserve"> </w:t>
      </w:r>
      <w:r>
        <w:rPr>
          <w:rFonts w:ascii="Arial" w:hAnsi="Arial" w:cs="Arial"/>
          <w:sz w:val="24"/>
          <w:szCs w:val="24"/>
        </w:rPr>
        <w:t>agricol</w:t>
      </w:r>
      <w:r>
        <w:rPr>
          <w:rFonts w:ascii="Arial" w:hAnsi="Arial" w:cs="Arial"/>
          <w:spacing w:val="1"/>
          <w:sz w:val="24"/>
          <w:szCs w:val="24"/>
        </w:rPr>
        <w:t>e</w:t>
      </w:r>
      <w:r>
        <w:rPr>
          <w:rFonts w:ascii="Arial" w:hAnsi="Arial" w:cs="Arial"/>
          <w:sz w:val="24"/>
          <w:szCs w:val="24"/>
        </w:rPr>
        <w:t>s a</w:t>
      </w:r>
      <w:r>
        <w:rPr>
          <w:rFonts w:ascii="Arial" w:hAnsi="Arial" w:cs="Arial"/>
          <w:spacing w:val="-2"/>
          <w:sz w:val="24"/>
          <w:szCs w:val="24"/>
        </w:rPr>
        <w:t>l</w:t>
      </w:r>
      <w:r>
        <w:rPr>
          <w:rFonts w:ascii="Arial" w:hAnsi="Arial" w:cs="Arial"/>
          <w:spacing w:val="1"/>
          <w:sz w:val="24"/>
          <w:szCs w:val="24"/>
        </w:rPr>
        <w:t>t</w:t>
      </w:r>
      <w:r>
        <w:rPr>
          <w:rFonts w:ascii="Arial" w:hAnsi="Arial" w:cs="Arial"/>
          <w:sz w:val="24"/>
          <w:szCs w:val="24"/>
        </w:rPr>
        <w:t>e</w:t>
      </w:r>
      <w:r>
        <w:rPr>
          <w:rFonts w:ascii="Arial" w:hAnsi="Arial" w:cs="Arial"/>
          <w:spacing w:val="-1"/>
          <w:sz w:val="24"/>
          <w:szCs w:val="24"/>
        </w:rPr>
        <w:t>r</w:t>
      </w:r>
      <w:r>
        <w:rPr>
          <w:rFonts w:ascii="Arial" w:hAnsi="Arial" w:cs="Arial"/>
          <w:spacing w:val="1"/>
          <w:sz w:val="24"/>
          <w:szCs w:val="24"/>
        </w:rPr>
        <w:t>n</w:t>
      </w:r>
      <w:r>
        <w:rPr>
          <w:rFonts w:ascii="Arial" w:hAnsi="Arial" w:cs="Arial"/>
          <w:sz w:val="24"/>
          <w:szCs w:val="24"/>
        </w:rPr>
        <w:t>a</w:t>
      </w:r>
      <w:r>
        <w:rPr>
          <w:rFonts w:ascii="Arial" w:hAnsi="Arial" w:cs="Arial"/>
          <w:spacing w:val="1"/>
          <w:sz w:val="24"/>
          <w:szCs w:val="24"/>
        </w:rPr>
        <w:t>t</w:t>
      </w:r>
      <w:r>
        <w:rPr>
          <w:rFonts w:ascii="Arial" w:hAnsi="Arial" w:cs="Arial"/>
          <w:sz w:val="24"/>
          <w:szCs w:val="24"/>
        </w:rPr>
        <w:t>ives,</w:t>
      </w:r>
      <w:r>
        <w:rPr>
          <w:rFonts w:ascii="Arial" w:hAnsi="Arial" w:cs="Arial"/>
          <w:spacing w:val="-4"/>
          <w:sz w:val="24"/>
          <w:szCs w:val="24"/>
        </w:rPr>
        <w:t xml:space="preserve"> </w:t>
      </w:r>
      <w:r>
        <w:rPr>
          <w:rFonts w:ascii="Arial" w:hAnsi="Arial" w:cs="Arial"/>
          <w:spacing w:val="1"/>
          <w:sz w:val="24"/>
          <w:szCs w:val="24"/>
        </w:rPr>
        <w:t>qu</w:t>
      </w:r>
      <w:r>
        <w:rPr>
          <w:rFonts w:ascii="Arial" w:hAnsi="Arial" w:cs="Arial"/>
          <w:sz w:val="24"/>
          <w:szCs w:val="24"/>
        </w:rPr>
        <w:t>i</w:t>
      </w:r>
      <w:r>
        <w:rPr>
          <w:rFonts w:ascii="Arial" w:hAnsi="Arial" w:cs="Arial"/>
          <w:spacing w:val="1"/>
          <w:sz w:val="24"/>
          <w:szCs w:val="24"/>
        </w:rPr>
        <w:t xml:space="preserve"> </w:t>
      </w:r>
      <w:r>
        <w:rPr>
          <w:rFonts w:ascii="Arial" w:hAnsi="Arial" w:cs="Arial"/>
          <w:spacing w:val="-2"/>
          <w:sz w:val="24"/>
          <w:szCs w:val="24"/>
        </w:rPr>
        <w:t>r</w:t>
      </w:r>
      <w:r>
        <w:rPr>
          <w:rFonts w:ascii="Arial" w:hAnsi="Arial" w:cs="Arial"/>
          <w:sz w:val="24"/>
          <w:szCs w:val="24"/>
        </w:rPr>
        <w:t>é</w:t>
      </w:r>
      <w:r>
        <w:rPr>
          <w:rFonts w:ascii="Arial" w:hAnsi="Arial" w:cs="Arial"/>
          <w:spacing w:val="-1"/>
          <w:sz w:val="24"/>
          <w:szCs w:val="24"/>
        </w:rPr>
        <w:t>d</w:t>
      </w:r>
      <w:r>
        <w:rPr>
          <w:rFonts w:ascii="Arial" w:hAnsi="Arial" w:cs="Arial"/>
          <w:spacing w:val="1"/>
          <w:sz w:val="24"/>
          <w:szCs w:val="24"/>
        </w:rPr>
        <w:t>u</w:t>
      </w:r>
      <w:r>
        <w:rPr>
          <w:rFonts w:ascii="Arial" w:hAnsi="Arial" w:cs="Arial"/>
          <w:sz w:val="24"/>
          <w:szCs w:val="24"/>
        </w:rPr>
        <w:t>irai</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 les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is</w:t>
      </w:r>
      <w:r>
        <w:rPr>
          <w:rFonts w:ascii="Arial" w:hAnsi="Arial" w:cs="Arial"/>
          <w:spacing w:val="1"/>
          <w:sz w:val="24"/>
          <w:szCs w:val="24"/>
        </w:rPr>
        <w:t>t</w:t>
      </w:r>
      <w:r>
        <w:rPr>
          <w:rFonts w:ascii="Arial" w:hAnsi="Arial" w:cs="Arial"/>
          <w:sz w:val="24"/>
          <w:szCs w:val="24"/>
        </w:rPr>
        <w:t>o</w:t>
      </w:r>
      <w:r>
        <w:rPr>
          <w:rFonts w:ascii="Arial" w:hAnsi="Arial" w:cs="Arial"/>
          <w:spacing w:val="-2"/>
          <w:sz w:val="24"/>
          <w:szCs w:val="24"/>
        </w:rPr>
        <w:t>r</w:t>
      </w:r>
      <w:r>
        <w:rPr>
          <w:rFonts w:ascii="Arial" w:hAnsi="Arial" w:cs="Arial"/>
          <w:sz w:val="24"/>
          <w:szCs w:val="24"/>
        </w:rPr>
        <w:t>sio</w:t>
      </w:r>
      <w:r>
        <w:rPr>
          <w:rFonts w:ascii="Arial" w:hAnsi="Arial" w:cs="Arial"/>
          <w:spacing w:val="1"/>
          <w:sz w:val="24"/>
          <w:szCs w:val="24"/>
        </w:rPr>
        <w:t>n</w:t>
      </w:r>
      <w:r>
        <w:rPr>
          <w:rFonts w:ascii="Arial" w:hAnsi="Arial" w:cs="Arial"/>
          <w:sz w:val="24"/>
          <w:szCs w:val="24"/>
        </w:rPr>
        <w:t>s. L’application de la MAP pour évaluer la compétitivité d’un produit agricole</w:t>
      </w:r>
      <w:r>
        <w:rPr>
          <w:sz w:val="24"/>
          <w:szCs w:val="24"/>
        </w:rPr>
        <w:t xml:space="preserve"> </w:t>
      </w:r>
      <w:r>
        <w:rPr>
          <w:rFonts w:ascii="Arial" w:hAnsi="Arial" w:cs="Arial"/>
          <w:sz w:val="24"/>
          <w:szCs w:val="24"/>
        </w:rPr>
        <w:t xml:space="preserve">est donc le </w:t>
      </w:r>
      <w:r>
        <w:rPr>
          <w:rFonts w:ascii="Arial" w:hAnsi="Arial" w:cs="Arial"/>
          <w:spacing w:val="-2"/>
          <w:sz w:val="24"/>
          <w:szCs w:val="24"/>
        </w:rPr>
        <w:t>m</w:t>
      </w:r>
      <w:r>
        <w:rPr>
          <w:rFonts w:ascii="Arial" w:hAnsi="Arial" w:cs="Arial"/>
          <w:sz w:val="24"/>
          <w:szCs w:val="24"/>
        </w:rPr>
        <w:t>eilleur indicateur du rende</w:t>
      </w:r>
      <w:r>
        <w:rPr>
          <w:rFonts w:ascii="Arial" w:hAnsi="Arial" w:cs="Arial"/>
          <w:spacing w:val="-2"/>
          <w:sz w:val="24"/>
          <w:szCs w:val="24"/>
        </w:rPr>
        <w:t>m</w:t>
      </w:r>
      <w:r>
        <w:rPr>
          <w:rFonts w:ascii="Arial" w:hAnsi="Arial" w:cs="Arial"/>
          <w:sz w:val="24"/>
          <w:szCs w:val="24"/>
        </w:rPr>
        <w:t>ent écono</w:t>
      </w:r>
      <w:r>
        <w:rPr>
          <w:rFonts w:ascii="Arial" w:hAnsi="Arial" w:cs="Arial"/>
          <w:spacing w:val="-3"/>
          <w:sz w:val="24"/>
          <w:szCs w:val="24"/>
        </w:rPr>
        <w:t>m</w:t>
      </w:r>
      <w:r>
        <w:rPr>
          <w:rFonts w:ascii="Arial" w:hAnsi="Arial" w:cs="Arial"/>
          <w:sz w:val="24"/>
          <w:szCs w:val="24"/>
        </w:rPr>
        <w:t>ique de la filière pour la collectivité.</w:t>
      </w:r>
    </w:p>
    <w:p w14:paraId="54C55BE0" w14:textId="77777777" w:rsidR="008862C7" w:rsidRDefault="008862C7" w:rsidP="008862C7">
      <w:pPr>
        <w:spacing w:line="360" w:lineRule="auto"/>
        <w:jc w:val="both"/>
        <w:rPr>
          <w:rFonts w:ascii="Arial" w:hAnsi="Arial" w:cs="Arial"/>
          <w:sz w:val="24"/>
          <w:szCs w:val="24"/>
        </w:rPr>
      </w:pPr>
      <w:r>
        <w:rPr>
          <w:rFonts w:ascii="Arial" w:hAnsi="Arial" w:cs="Arial"/>
          <w:iCs/>
          <w:sz w:val="24"/>
          <w:szCs w:val="24"/>
        </w:rPr>
        <w:t>Selma Katlane Ben Mlouka</w:t>
      </w:r>
      <w:r>
        <w:rPr>
          <w:rStyle w:val="Appelnotedebasdep"/>
          <w:rFonts w:ascii="Arial" w:hAnsi="Arial" w:cs="Arial"/>
          <w:iCs/>
          <w:sz w:val="24"/>
          <w:szCs w:val="24"/>
        </w:rPr>
        <w:footnoteReference w:id="24"/>
      </w:r>
      <w:r>
        <w:rPr>
          <w:rFonts w:ascii="Arial" w:hAnsi="Arial" w:cs="Arial"/>
          <w:iCs/>
          <w:sz w:val="24"/>
          <w:szCs w:val="24"/>
        </w:rPr>
        <w:t xml:space="preserve"> dans une publication intitulée « processus de compétitivité : facteurs et </w:t>
      </w:r>
      <w:r>
        <w:rPr>
          <w:rFonts w:ascii="Arial" w:hAnsi="Arial" w:cs="Arial"/>
          <w:sz w:val="24"/>
          <w:szCs w:val="24"/>
        </w:rPr>
        <w:t xml:space="preserve">évaluation, application aux entreprises tunisienne », il a adopté une démarche dit </w:t>
      </w:r>
      <w:r>
        <w:rPr>
          <w:rFonts w:ascii="Arial" w:hAnsi="Arial" w:cs="Arial"/>
          <w:bCs/>
          <w:sz w:val="24"/>
          <w:szCs w:val="24"/>
        </w:rPr>
        <w:t>« </w:t>
      </w:r>
      <w:r>
        <w:rPr>
          <w:rFonts w:ascii="Arial" w:hAnsi="Arial" w:cs="Arial"/>
          <w:sz w:val="24"/>
          <w:szCs w:val="24"/>
        </w:rPr>
        <w:t xml:space="preserve">démarche de </w:t>
      </w:r>
      <w:r>
        <w:rPr>
          <w:rFonts w:ascii="Arial" w:hAnsi="Arial" w:cs="Arial"/>
          <w:bCs/>
          <w:sz w:val="24"/>
          <w:szCs w:val="24"/>
        </w:rPr>
        <w:t>scoring</w:t>
      </w:r>
      <w:r>
        <w:rPr>
          <w:rStyle w:val="Appelnotedebasdep"/>
          <w:rFonts w:ascii="Arial" w:hAnsi="Arial" w:cs="Arial"/>
          <w:bCs/>
          <w:sz w:val="24"/>
          <w:szCs w:val="24"/>
        </w:rPr>
        <w:footnoteReference w:id="25"/>
      </w:r>
      <w:r>
        <w:rPr>
          <w:rFonts w:ascii="Arial" w:hAnsi="Arial" w:cs="Arial"/>
          <w:bCs/>
          <w:sz w:val="24"/>
          <w:szCs w:val="24"/>
        </w:rPr>
        <w:t xml:space="preserve"> ». Selon cette approche, </w:t>
      </w:r>
      <w:r>
        <w:rPr>
          <w:rFonts w:ascii="Arial" w:hAnsi="Arial" w:cs="Arial"/>
          <w:sz w:val="24"/>
          <w:szCs w:val="24"/>
        </w:rPr>
        <w:t xml:space="preserve">la compétitivité d'une entreprise ne peut être que le fruit d'une démarche globale, prenant en compte tous les aspects de la compétitivité inhérente à l’environnement, à l'entreprise et au produit. Pour ce faire un Indice Synthétique des </w:t>
      </w:r>
      <w:r>
        <w:rPr>
          <w:rFonts w:ascii="Arial" w:hAnsi="Arial" w:cs="Arial"/>
          <w:sz w:val="24"/>
          <w:szCs w:val="24"/>
        </w:rPr>
        <w:lastRenderedPageBreak/>
        <w:t xml:space="preserve">Facteurs de Compétitivité (ISFC), a été confectionné pour permettre de mesurer les différents contours de la compétitivité et ainsi comparer le degré de compétitivité des entreprises dans le temps et dans l’espace. Cette approche méthodologique a permis de définir une règle de notation en trois niveaux différents. Un niveau qualifié de « fort », un niveau qualifié de « moyen » et un niveau qualifié de « faible » selon que l’entreprise dispose respectivement d’un avantage comparatif significatif, partiel ou n’en dispose pas par rapport à un indice donné. Pour interpréter l'évolution de ces indices, une échelle hiérarchique variant entre une note globale minimale de 20 à la note globale maximale de 100 points correspondant à l'existence de dix  facteurs de compétitivité (4 facteurs relatifs à l’environnement, 5 facteurs relatifs à l’entreprise et 1 facteur relatif au produit, soit 10 points chacun) a été définie. </w:t>
      </w:r>
    </w:p>
    <w:p w14:paraId="32627379"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Pour Hassine et Matoussi (2006) dans une étude sur « le rôle de la qualité dans les exportations agricoles : une vérification empirique pour la méditerranée", la méthodologie développée consiste à décomposer les prix à l’exportation en composante qualité et composante prix « pur ». Cette approche repose sur la classification des flux d’exportation en termes de performance prix et de performance qualité à partir d’une analyse croisée des valeurs unitaires et des parts de marché. La qualité est mesurée à partir d’une étude descriptive des performances à l’exportation de chacun des pays inclus dans l’échantillon</w:t>
      </w:r>
      <w:r>
        <w:rPr>
          <w:rStyle w:val="Appelnotedebasdep"/>
          <w:rFonts w:ascii="Arial" w:hAnsi="Arial" w:cs="Arial"/>
          <w:sz w:val="24"/>
          <w:szCs w:val="24"/>
        </w:rPr>
        <w:footnoteReference w:id="26"/>
      </w:r>
      <w:r>
        <w:rPr>
          <w:rFonts w:ascii="Arial" w:hAnsi="Arial" w:cs="Arial"/>
          <w:sz w:val="24"/>
          <w:szCs w:val="24"/>
        </w:rPr>
        <w:t xml:space="preserve">. </w:t>
      </w:r>
    </w:p>
    <w:p w14:paraId="05F4AD4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seconde approche</w:t>
      </w:r>
      <w:r>
        <w:rPr>
          <w:rStyle w:val="Appelnotedebasdep"/>
          <w:rFonts w:ascii="Arial" w:hAnsi="Arial" w:cs="Arial"/>
          <w:sz w:val="24"/>
          <w:szCs w:val="24"/>
        </w:rPr>
        <w:footnoteReference w:id="27"/>
      </w:r>
      <w:r>
        <w:rPr>
          <w:rFonts w:ascii="Arial" w:hAnsi="Arial" w:cs="Arial"/>
          <w:sz w:val="24"/>
          <w:szCs w:val="24"/>
        </w:rPr>
        <w:t xml:space="preserve"> consiste à définir une mesure de la qualité à partir des valeurs unitaires à l’exportation. Ces indicateurs de qualité ont été ajoutés aux facteurs explicatifs d’une équation de part de marché estimée sur donnée de panel. </w:t>
      </w:r>
    </w:p>
    <w:p w14:paraId="16A8E2E7" w14:textId="77777777" w:rsidR="008862C7" w:rsidRDefault="008862C7" w:rsidP="008862C7">
      <w:pPr>
        <w:pStyle w:val="Titre5"/>
        <w:spacing w:after="120"/>
        <w:rPr>
          <w:rFonts w:ascii="Arial" w:hAnsi="Arial" w:cs="Arial"/>
          <w:b/>
          <w:color w:val="auto"/>
        </w:rPr>
      </w:pPr>
      <w:bookmarkStart w:id="120" w:name="_Toc395107591"/>
      <w:r>
        <w:rPr>
          <w:rFonts w:ascii="Arial" w:hAnsi="Arial" w:cs="Arial"/>
          <w:b/>
          <w:color w:val="auto"/>
        </w:rPr>
        <w:t>2.1.1 Méthodologie d’évaluation des déterminants : modèles et échantillons</w:t>
      </w:r>
      <w:bookmarkEnd w:id="120"/>
    </w:p>
    <w:p w14:paraId="6815646C"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Dans cette étude, dont l’objectif est d’identifier les facteurs qui influencent la productivité et la capacité de la filière cotonnière centrafricaine à faire face à la concurrence internationale, la méthodologie d’étude utilisée comme référentiel conceptuel est la combinaison de celle élaborée par Diallo B.; Crawford E. et Dembélé N. (2009) et celle élaborée par Hassine et Matoussi (2006) et déjà déployée par des chercheurs tels que Erkel-Rousse et Le Gallo en 2002 puis Hallak (2003) et Hallak et Scott en 2005. En effet, cette méthodologie est basée d’une part sur l’évaluation de la compétitivité à partir d’un modèle sur des données de panel avec l’élaboration </w:t>
      </w:r>
      <w:r>
        <w:rPr>
          <w:rFonts w:ascii="Arial" w:hAnsi="Arial" w:cs="Arial"/>
          <w:sz w:val="24"/>
          <w:szCs w:val="24"/>
        </w:rPr>
        <w:lastRenderedPageBreak/>
        <w:t xml:space="preserve">d’un indice de qualité pouvant prendre en compte, en plus des facteurs liés au prix « purs », les facteurs liés à la qualité du produit vendu. </w:t>
      </w:r>
    </w:p>
    <w:p w14:paraId="17BA7F65" w14:textId="77777777" w:rsidR="008862C7" w:rsidRDefault="008862C7" w:rsidP="008862C7">
      <w:pPr>
        <w:autoSpaceDE w:val="0"/>
        <w:autoSpaceDN w:val="0"/>
        <w:adjustRightInd w:val="0"/>
        <w:spacing w:line="360" w:lineRule="auto"/>
        <w:jc w:val="both"/>
        <w:rPr>
          <w:rFonts w:ascii="Arial" w:hAnsi="Arial" w:cs="Arial"/>
          <w:b/>
          <w:sz w:val="24"/>
          <w:szCs w:val="24"/>
        </w:rPr>
      </w:pPr>
      <w:r>
        <w:rPr>
          <w:rFonts w:ascii="Arial" w:hAnsi="Arial" w:cs="Arial"/>
          <w:sz w:val="24"/>
          <w:szCs w:val="24"/>
        </w:rPr>
        <w:t>Une seconde approche consiste à classifier les performances commerciales des pays de l’échantillon en termes de compétitivité prix et de compétitivité structurelle en se basant sur une étude croisée qui consiste à comparer d’une part les termes de l’échange pour le coton de chaque pays de l’échantillon, à la moyenne de termes de l’échange de ces principaux concurrents. Toutefois, il convient d’établir au préalable une MAP de la filière cotonnière centrafricaine, ce qui est un élément essentiel à l’identification des principaux déterminants de la filière. Ainsi la méthodologie de l’étude combine trois outils méthodologiques permettant d’identifier, d’évaluer et de mesurer le poids relatif de chaque élément et/ou groupe d’éléments dans la compétitivité du coton centrafricain.</w:t>
      </w:r>
    </w:p>
    <w:p w14:paraId="68B5F857" w14:textId="77777777" w:rsidR="008862C7" w:rsidRDefault="008862C7" w:rsidP="008862C7">
      <w:pPr>
        <w:pStyle w:val="Paragraphedeliste"/>
        <w:numPr>
          <w:ilvl w:val="0"/>
          <w:numId w:val="19"/>
        </w:numPr>
        <w:autoSpaceDE w:val="0"/>
        <w:autoSpaceDN w:val="0"/>
        <w:adjustRightInd w:val="0"/>
        <w:spacing w:after="0" w:line="360" w:lineRule="auto"/>
        <w:jc w:val="both"/>
        <w:outlineLvl w:val="7"/>
        <w:rPr>
          <w:rFonts w:ascii="Arial" w:hAnsi="Arial" w:cs="Arial"/>
          <w:b/>
          <w:sz w:val="24"/>
          <w:szCs w:val="24"/>
        </w:rPr>
      </w:pPr>
      <w:bookmarkStart w:id="121" w:name="_Toc395107592"/>
      <w:r>
        <w:rPr>
          <w:rFonts w:ascii="Arial" w:hAnsi="Arial" w:cs="Arial"/>
          <w:b/>
          <w:sz w:val="24"/>
          <w:szCs w:val="24"/>
        </w:rPr>
        <w:t>Modèle 1 : Régression sur données de panel de la compétitivité</w:t>
      </w:r>
      <w:bookmarkEnd w:id="121"/>
      <w:r>
        <w:rPr>
          <w:rFonts w:ascii="Arial" w:hAnsi="Arial" w:cs="Arial"/>
          <w:b/>
          <w:sz w:val="24"/>
          <w:szCs w:val="24"/>
        </w:rPr>
        <w:t xml:space="preserve"> </w:t>
      </w:r>
    </w:p>
    <w:p w14:paraId="280519B8" w14:textId="77777777" w:rsidR="008862C7" w:rsidRDefault="008862C7" w:rsidP="008862C7">
      <w:pPr>
        <w:autoSpaceDE w:val="0"/>
        <w:autoSpaceDN w:val="0"/>
        <w:adjustRightInd w:val="0"/>
        <w:spacing w:line="360" w:lineRule="auto"/>
        <w:jc w:val="both"/>
        <w:rPr>
          <w:rFonts w:ascii="Arial" w:eastAsia="TimesNewRomanPSMT" w:hAnsi="Arial" w:cs="Arial"/>
          <w:sz w:val="24"/>
          <w:szCs w:val="24"/>
        </w:rPr>
      </w:pPr>
      <w:r>
        <w:rPr>
          <w:rFonts w:ascii="Arial" w:eastAsia="TimesNewRomanPSMT" w:hAnsi="Arial" w:cs="Arial"/>
          <w:sz w:val="24"/>
          <w:szCs w:val="24"/>
        </w:rPr>
        <w:t>De nombreux modèles économétriques, notamment dans le domaine des études internationales, peuvent être confrontés à des données croisées, le caractère particulier de celles-ci invite à considérer des spécifications et des méthodes d'estimation adaptées.</w:t>
      </w:r>
    </w:p>
    <w:p w14:paraId="66B861D6" w14:textId="77777777" w:rsidR="008862C7" w:rsidRDefault="008862C7" w:rsidP="008862C7">
      <w:pPr>
        <w:autoSpaceDE w:val="0"/>
        <w:autoSpaceDN w:val="0"/>
        <w:adjustRightInd w:val="0"/>
        <w:spacing w:line="360" w:lineRule="auto"/>
        <w:jc w:val="both"/>
        <w:rPr>
          <w:rFonts w:ascii="Arial" w:eastAsia="TimesNewRomanPSMT" w:hAnsi="Arial" w:cs="Arial"/>
          <w:sz w:val="24"/>
          <w:szCs w:val="24"/>
        </w:rPr>
      </w:pPr>
      <w:r>
        <w:rPr>
          <w:rFonts w:ascii="Arial" w:hAnsi="Arial" w:cs="Arial"/>
          <w:sz w:val="24"/>
          <w:szCs w:val="24"/>
        </w:rPr>
        <w:t xml:space="preserve">Le modèle à estimer est un modèle en panel, et ceci pour deux raisons. D’une part, les données auxquelles nous faisons appel ont une dimension temporelle et une dimension individuelle. D’autre part, les données de panel permettent de contrôler les facteurs qui varient entre les individus, les facteurs qui peuvent causer un biais d’omission si l’on n’en tient pas compte, les facteurs inobservables ou non disponibles qui ne peuvent être inclus dans la régression. </w:t>
      </w:r>
      <w:r>
        <w:rPr>
          <w:rFonts w:ascii="Arial" w:eastAsia="TimesNewRomanPSMT" w:hAnsi="Arial" w:cs="Arial"/>
          <w:sz w:val="24"/>
          <w:szCs w:val="24"/>
        </w:rPr>
        <w:t xml:space="preserve">Les </w:t>
      </w:r>
      <w:r>
        <w:rPr>
          <w:rFonts w:ascii="Arial" w:eastAsia="TimesNewRomanPSMT" w:hAnsi="Arial" w:cs="Arial"/>
          <w:i/>
          <w:iCs/>
          <w:sz w:val="24"/>
          <w:szCs w:val="24"/>
        </w:rPr>
        <w:t>données de panel</w:t>
      </w:r>
      <w:r>
        <w:rPr>
          <w:rFonts w:ascii="Arial" w:eastAsia="TimesNewRomanPSMT" w:hAnsi="Arial" w:cs="Arial"/>
          <w:sz w:val="24"/>
          <w:szCs w:val="24"/>
        </w:rPr>
        <w:t xml:space="preserve">, ou </w:t>
      </w:r>
      <w:r>
        <w:rPr>
          <w:rFonts w:ascii="Arial" w:eastAsia="TimesNewRomanPSMT" w:hAnsi="Arial" w:cs="Arial"/>
          <w:i/>
          <w:iCs/>
          <w:sz w:val="24"/>
          <w:szCs w:val="24"/>
        </w:rPr>
        <w:t>données croisées</w:t>
      </w:r>
      <w:r>
        <w:rPr>
          <w:rFonts w:ascii="Arial" w:eastAsia="TimesNewRomanPSMT" w:hAnsi="Arial" w:cs="Arial"/>
          <w:sz w:val="24"/>
          <w:szCs w:val="24"/>
        </w:rPr>
        <w:t xml:space="preserve">, comme les données utilisées en économétrie sont le plus souvent des séries chronologiques, tel que le volume de la production cotonnière en RCA de 1980 à 2012. On peut à l'inverse disposer de données concernant une période donnée, dites </w:t>
      </w:r>
      <w:r>
        <w:rPr>
          <w:rFonts w:ascii="Arial" w:eastAsia="TimesNewRomanPSMT" w:hAnsi="Arial" w:cs="Arial"/>
          <w:i/>
          <w:iCs/>
          <w:sz w:val="24"/>
          <w:szCs w:val="24"/>
        </w:rPr>
        <w:t>en coupe instantanée</w:t>
      </w:r>
      <w:r>
        <w:rPr>
          <w:rFonts w:ascii="Arial" w:eastAsia="TimesNewRomanPSMT" w:hAnsi="Arial" w:cs="Arial"/>
          <w:sz w:val="24"/>
          <w:szCs w:val="24"/>
        </w:rPr>
        <w:t xml:space="preserve">, tel que le volume de la production cotonnière enregistrée en 1980 dans chacun des principaux pays producteurs de coton. </w:t>
      </w:r>
    </w:p>
    <w:p w14:paraId="4A8E3F36" w14:textId="77777777" w:rsidR="008862C7" w:rsidRDefault="008862C7" w:rsidP="008862C7">
      <w:pPr>
        <w:autoSpaceDE w:val="0"/>
        <w:autoSpaceDN w:val="0"/>
        <w:adjustRightInd w:val="0"/>
        <w:spacing w:line="360" w:lineRule="auto"/>
        <w:jc w:val="both"/>
        <w:rPr>
          <w:rFonts w:ascii="Arial" w:eastAsia="TimesNewRomanPSMT" w:hAnsi="Arial" w:cs="Arial"/>
          <w:sz w:val="24"/>
          <w:szCs w:val="24"/>
        </w:rPr>
      </w:pPr>
      <w:r>
        <w:rPr>
          <w:rFonts w:ascii="Arial" w:eastAsia="TimesNewRomanPSMT" w:hAnsi="Arial" w:cs="Arial"/>
          <w:sz w:val="24"/>
          <w:szCs w:val="24"/>
        </w:rPr>
        <w:t xml:space="preserve">Les données de panel possèdent donc les deux dimensions précédentes et rapportent les valeurs des variables considérées relevées pour un ensemble, ou </w:t>
      </w:r>
      <w:r>
        <w:rPr>
          <w:rFonts w:ascii="Arial" w:eastAsia="TimesNewRomanPSMT" w:hAnsi="Arial" w:cs="Arial"/>
          <w:i/>
          <w:iCs/>
          <w:sz w:val="24"/>
          <w:szCs w:val="24"/>
        </w:rPr>
        <w:t>panel</w:t>
      </w:r>
      <w:r>
        <w:rPr>
          <w:rFonts w:ascii="Arial" w:eastAsia="TimesNewRomanPSMT" w:hAnsi="Arial" w:cs="Arial"/>
          <w:sz w:val="24"/>
          <w:szCs w:val="24"/>
        </w:rPr>
        <w:t>, d'individus sur une suite de périodes. Si en marketing ou en statistique, le mot panel désigne généralement un échantillon fixe de consommateurs interrogés à différentes périodes, en économétrie, le terme de données de panel est simplement synonyme de données croisées ayant généralement une dimension temporelle.</w:t>
      </w:r>
    </w:p>
    <w:p w14:paraId="4E1BC6BE" w14:textId="77777777" w:rsidR="008862C7" w:rsidRDefault="008862C7" w:rsidP="008862C7">
      <w:pPr>
        <w:autoSpaceDE w:val="0"/>
        <w:autoSpaceDN w:val="0"/>
        <w:adjustRightInd w:val="0"/>
        <w:spacing w:line="360" w:lineRule="auto"/>
        <w:jc w:val="both"/>
        <w:rPr>
          <w:rFonts w:ascii="Arial" w:eastAsia="TimesNewRomanPSMT" w:hAnsi="Arial" w:cs="Arial"/>
          <w:sz w:val="24"/>
          <w:szCs w:val="24"/>
        </w:rPr>
      </w:pPr>
      <w:r>
        <w:rPr>
          <w:rFonts w:ascii="Arial" w:eastAsia="TimesNewRomanPSMT" w:hAnsi="Arial" w:cs="Arial"/>
          <w:sz w:val="24"/>
          <w:szCs w:val="24"/>
        </w:rPr>
        <w:lastRenderedPageBreak/>
        <w:t>On utilise une notation naturelle à deux indices :</w:t>
      </w:r>
      <w:r>
        <w:rPr>
          <w:rFonts w:ascii="Arial" w:eastAsia="TimesNewRomanPSMT" w:hAnsi="Arial" w:cs="Arial"/>
          <w:b/>
          <w:sz w:val="24"/>
          <w:szCs w:val="24"/>
        </w:rPr>
        <w:t xml:space="preserve"> </w:t>
      </w:r>
      <m:oMath>
        <m:sSub>
          <m:sSubPr>
            <m:ctrlPr>
              <w:rPr>
                <w:rFonts w:ascii="Cambria Math" w:eastAsia="TimesNewRomanPSMT" w:hAnsi="Cambria Math" w:cs="Arial"/>
                <w:b/>
                <w:i/>
                <w:sz w:val="24"/>
                <w:szCs w:val="24"/>
              </w:rPr>
            </m:ctrlPr>
          </m:sSubPr>
          <m:e>
            <m:r>
              <m:rPr>
                <m:sty m:val="bi"/>
              </m:rPr>
              <w:rPr>
                <w:rFonts w:ascii="Cambria Math" w:eastAsia="TimesNewRomanPSMT" w:hAnsi="Cambria Math" w:cs="Arial"/>
                <w:sz w:val="24"/>
                <w:szCs w:val="24"/>
              </w:rPr>
              <m:t>X</m:t>
            </m:r>
          </m:e>
          <m:sub>
            <m:r>
              <m:rPr>
                <m:sty m:val="bi"/>
              </m:rPr>
              <w:rPr>
                <w:rFonts w:ascii="Cambria Math" w:eastAsia="TimesNewRomanPSMT" w:hAnsi="Cambria Math" w:cs="Arial"/>
                <w:sz w:val="24"/>
                <w:szCs w:val="24"/>
              </w:rPr>
              <m:t>it</m:t>
            </m:r>
          </m:sub>
        </m:sSub>
      </m:oMath>
      <w:r>
        <w:rPr>
          <w:rFonts w:ascii="Arial" w:eastAsia="TimesNewRomanPSMT" w:hAnsi="Arial" w:cs="Arial"/>
          <w:sz w:val="24"/>
          <w:szCs w:val="24"/>
        </w:rPr>
        <w:t xml:space="preserve"> note l'observation de la variable </w:t>
      </w:r>
      <w:r>
        <w:rPr>
          <w:rFonts w:ascii="Cambria Math" w:eastAsia="TimesNewRomanPSMT" w:hAnsi="Cambria Math" w:cs="Arial"/>
          <w:b/>
          <w:i/>
          <w:sz w:val="24"/>
          <w:szCs w:val="24"/>
        </w:rPr>
        <w:t>x</w:t>
      </w:r>
      <w:r>
        <w:rPr>
          <w:rFonts w:ascii="Cambria Math" w:eastAsia="TimesNewRomanPSMT" w:hAnsi="Cambria Math" w:cs="Arial"/>
          <w:sz w:val="24"/>
          <w:szCs w:val="24"/>
        </w:rPr>
        <w:t xml:space="preserve"> </w:t>
      </w:r>
      <w:r>
        <w:rPr>
          <w:rFonts w:ascii="Arial" w:eastAsia="TimesNewRomanPSMT" w:hAnsi="Arial" w:cs="Arial"/>
          <w:sz w:val="24"/>
          <w:szCs w:val="24"/>
        </w:rPr>
        <w:t xml:space="preserve">pour l'individu </w:t>
      </w:r>
      <w:r>
        <w:rPr>
          <w:rFonts w:ascii="Cambria Math" w:eastAsia="TimesNewRomanPSMT" w:hAnsi="Cambria Math" w:cs="Arial"/>
          <w:b/>
          <w:i/>
          <w:sz w:val="24"/>
          <w:szCs w:val="24"/>
        </w:rPr>
        <w:t>i</w:t>
      </w:r>
      <w:r>
        <w:rPr>
          <w:rFonts w:ascii="Cambria Math" w:eastAsia="TimesNewRomanPSMT" w:hAnsi="Cambria Math" w:cs="Arial"/>
          <w:sz w:val="24"/>
          <w:szCs w:val="24"/>
        </w:rPr>
        <w:t xml:space="preserve"> </w:t>
      </w:r>
      <w:r>
        <w:rPr>
          <w:rFonts w:ascii="Arial" w:eastAsia="TimesNewRomanPSMT" w:hAnsi="Arial" w:cs="Arial"/>
          <w:sz w:val="24"/>
          <w:szCs w:val="24"/>
        </w:rPr>
        <w:t xml:space="preserve">a la période </w:t>
      </w:r>
      <w:r>
        <w:rPr>
          <w:rFonts w:ascii="Cambria Math" w:eastAsia="TimesNewRomanPSMT" w:hAnsi="Cambria Math" w:cs="Arial"/>
          <w:b/>
          <w:i/>
          <w:sz w:val="24"/>
          <w:szCs w:val="24"/>
        </w:rPr>
        <w:t>t</w:t>
      </w:r>
      <w:r>
        <w:rPr>
          <w:rFonts w:ascii="Arial" w:eastAsia="TimesNewRomanPSMT" w:hAnsi="Arial" w:cs="Arial"/>
          <w:sz w:val="24"/>
          <w:szCs w:val="24"/>
        </w:rPr>
        <w:t xml:space="preserve">. Si on fixe l'individu observé, on obtient la série chronologique, ou </w:t>
      </w:r>
      <w:r>
        <w:rPr>
          <w:rFonts w:ascii="Arial" w:eastAsia="TimesNewRomanPSMT" w:hAnsi="Arial" w:cs="Arial"/>
          <w:i/>
          <w:iCs/>
          <w:sz w:val="24"/>
          <w:szCs w:val="24"/>
        </w:rPr>
        <w:t>coupe longitudinale</w:t>
      </w:r>
      <w:r>
        <w:rPr>
          <w:rFonts w:ascii="Arial" w:eastAsia="TimesNewRomanPSMT" w:hAnsi="Arial" w:cs="Arial"/>
          <w:sz w:val="24"/>
          <w:szCs w:val="24"/>
        </w:rPr>
        <w:t xml:space="preserve">, le concernant, tandis que si l'on fixe la période examinée, on obtient une </w:t>
      </w:r>
      <w:r>
        <w:rPr>
          <w:rFonts w:ascii="Arial" w:eastAsia="TimesNewRomanPSMT" w:hAnsi="Arial" w:cs="Arial"/>
          <w:i/>
          <w:iCs/>
          <w:sz w:val="24"/>
          <w:szCs w:val="24"/>
        </w:rPr>
        <w:t>coupe transversale</w:t>
      </w:r>
      <w:r>
        <w:rPr>
          <w:rFonts w:ascii="Arial" w:eastAsia="TimesNewRomanPSMT" w:hAnsi="Arial" w:cs="Arial"/>
          <w:sz w:val="24"/>
          <w:szCs w:val="24"/>
        </w:rPr>
        <w:t xml:space="preserve">, ou </w:t>
      </w:r>
      <w:r>
        <w:rPr>
          <w:rFonts w:ascii="Arial" w:eastAsia="TimesNewRomanPSMT" w:hAnsi="Arial" w:cs="Arial"/>
          <w:i/>
          <w:iCs/>
          <w:sz w:val="24"/>
          <w:szCs w:val="24"/>
        </w:rPr>
        <w:t>instantanée</w:t>
      </w:r>
      <w:r>
        <w:rPr>
          <w:rFonts w:ascii="Arial" w:eastAsia="TimesNewRomanPSMT" w:hAnsi="Arial" w:cs="Arial"/>
          <w:sz w:val="24"/>
          <w:szCs w:val="24"/>
        </w:rPr>
        <w:t>, pour l'ensemble des individus.</w:t>
      </w:r>
    </w:p>
    <w:p w14:paraId="1AA455D8" w14:textId="77777777" w:rsidR="008862C7" w:rsidRDefault="008862C7" w:rsidP="008862C7">
      <w:pPr>
        <w:autoSpaceDE w:val="0"/>
        <w:autoSpaceDN w:val="0"/>
        <w:adjustRightInd w:val="0"/>
        <w:spacing w:line="360" w:lineRule="auto"/>
        <w:jc w:val="both"/>
        <w:rPr>
          <w:rFonts w:ascii="Arial" w:eastAsia="Times New Roman" w:hAnsi="Arial" w:cs="Arial"/>
          <w:sz w:val="24"/>
          <w:szCs w:val="24"/>
        </w:rPr>
      </w:pPr>
      <w:r>
        <w:rPr>
          <w:rFonts w:ascii="Arial" w:hAnsi="Arial" w:cs="Arial"/>
          <w:sz w:val="24"/>
          <w:szCs w:val="24"/>
        </w:rPr>
        <w:t>Il y a deux types de spécifications dans une analyse en données de panel. Le modèle à effets fixes appelé encore modèle de la covariance et le modèle à effets aléatoires ou modèle à erreur composée. D’une manière générale, en données de panel le modèle de base se présente de la manière suivante :</w:t>
      </w:r>
    </w:p>
    <w:p w14:paraId="2D7E0BBF" w14:textId="77777777" w:rsidR="008862C7" w:rsidRDefault="008862C7" w:rsidP="008862C7">
      <w:pPr>
        <w:autoSpaceDE w:val="0"/>
        <w:autoSpaceDN w:val="0"/>
        <w:adjustRightInd w:val="0"/>
        <w:spacing w:line="360" w:lineRule="auto"/>
        <w:jc w:val="both"/>
        <w:rPr>
          <w:rFonts w:ascii="Cambria Math" w:hAnsi="Cambria Math" w:cs="Arial"/>
          <w:i/>
          <w:sz w:val="24"/>
          <w:szCs w:val="24"/>
        </w:rPr>
      </w:pPr>
      <w:r>
        <w:rPr>
          <w:rFonts w:ascii="Cambria Math" w:hAnsi="Cambria Math" w:cs="Arial"/>
          <w:i/>
          <w:sz w:val="24"/>
          <w:szCs w:val="24"/>
        </w:rPr>
        <w:t>Y</w:t>
      </w:r>
      <w:r>
        <w:rPr>
          <w:rFonts w:ascii="Cambria Math" w:hAnsi="Cambria Math" w:cs="Arial"/>
          <w:i/>
          <w:sz w:val="24"/>
          <w:szCs w:val="24"/>
          <w:vertAlign w:val="subscript"/>
        </w:rPr>
        <w:t>it</w:t>
      </w:r>
      <w:r>
        <w:rPr>
          <w:rFonts w:ascii="Cambria Math" w:hAnsi="Cambria Math" w:cs="Arial"/>
          <w:i/>
          <w:sz w:val="24"/>
          <w:szCs w:val="24"/>
        </w:rPr>
        <w:t xml:space="preserve"> = β</w:t>
      </w:r>
      <w:r>
        <w:rPr>
          <w:rFonts w:ascii="Cambria Math" w:hAnsi="Cambria Math" w:cs="Arial"/>
          <w:i/>
          <w:sz w:val="24"/>
          <w:szCs w:val="24"/>
          <w:vertAlign w:val="subscript"/>
        </w:rPr>
        <w:t xml:space="preserve">0 </w:t>
      </w:r>
      <w:r>
        <w:rPr>
          <w:rFonts w:ascii="Cambria Math" w:hAnsi="Cambria Math" w:cs="Arial"/>
          <w:i/>
          <w:sz w:val="24"/>
          <w:szCs w:val="24"/>
        </w:rPr>
        <w:t>+β’X</w:t>
      </w:r>
      <w:r>
        <w:rPr>
          <w:rFonts w:ascii="Cambria Math" w:hAnsi="Cambria Math" w:cs="Arial"/>
          <w:i/>
          <w:sz w:val="24"/>
          <w:szCs w:val="24"/>
          <w:vertAlign w:val="subscript"/>
        </w:rPr>
        <w:t xml:space="preserve">it </w:t>
      </w:r>
      <w:r>
        <w:rPr>
          <w:rFonts w:ascii="Cambria Math" w:hAnsi="Cambria Math" w:cs="Arial"/>
          <w:i/>
          <w:sz w:val="24"/>
          <w:szCs w:val="24"/>
        </w:rPr>
        <w:t>+ ε</w:t>
      </w:r>
      <w:r>
        <w:rPr>
          <w:rFonts w:ascii="Cambria Math" w:hAnsi="Cambria Math" w:cs="Arial"/>
          <w:i/>
          <w:sz w:val="24"/>
          <w:szCs w:val="24"/>
          <w:vertAlign w:val="subscript"/>
        </w:rPr>
        <w:t xml:space="preserve">it ; </w:t>
      </w:r>
      <w:r>
        <w:rPr>
          <w:rFonts w:ascii="Cambria Math" w:hAnsi="Cambria Math" w:cs="Arial"/>
          <w:i/>
          <w:sz w:val="24"/>
          <w:szCs w:val="24"/>
        </w:rPr>
        <w:t xml:space="preserve">t = 1 ;…., T ;  i= 1,…, n ; </w:t>
      </w:r>
    </w:p>
    <w:p w14:paraId="579574C7" w14:textId="77777777" w:rsidR="008862C7" w:rsidRDefault="00EA1CF0" w:rsidP="008862C7">
      <w:pPr>
        <w:autoSpaceDE w:val="0"/>
        <w:autoSpaceDN w:val="0"/>
        <w:adjustRightInd w:val="0"/>
        <w:spacing w:line="360" w:lineRule="auto"/>
        <w:jc w:val="both"/>
        <w:rPr>
          <w:rFonts w:ascii="Cambria Math" w:hAnsi="Cambria Math" w:cs="Arial"/>
          <w:i/>
          <w:sz w:val="24"/>
          <w:szCs w:val="24"/>
          <w:vertAlign w:val="subscript"/>
        </w:rPr>
      </w:pPr>
      <m:oMath>
        <m:sSub>
          <m:sSubPr>
            <m:ctrlPr>
              <w:rPr>
                <w:rFonts w:ascii="Cambria Math" w:eastAsia="Times New Roman" w:hAnsi="Cambria Math" w:cs="Arial"/>
                <w:b/>
                <w:i/>
                <w:sz w:val="24"/>
                <w:szCs w:val="24"/>
              </w:rPr>
            </m:ctrlPr>
          </m:sSubPr>
          <m:e>
            <m:r>
              <m:rPr>
                <m:sty m:val="bi"/>
              </m:rPr>
              <w:rPr>
                <w:rFonts w:ascii="Cambria Math" w:hAnsi="Cambria Math" w:cs="Arial"/>
                <w:sz w:val="24"/>
                <w:szCs w:val="24"/>
              </w:rPr>
              <m:t>ε</m:t>
            </m:r>
          </m:e>
          <m:sub>
            <m:r>
              <m:rPr>
                <m:sty m:val="bi"/>
              </m:rPr>
              <w:rPr>
                <w:rFonts w:ascii="Cambria Math" w:eastAsia="MS Mincho" w:hAnsi="Cambria Math" w:cs="Arial"/>
                <w:sz w:val="24"/>
                <w:szCs w:val="24"/>
              </w:rPr>
              <m:t>it</m:t>
            </m:r>
          </m:sub>
        </m:sSub>
      </m:oMath>
      <w:r w:rsidR="008862C7">
        <w:rPr>
          <w:rFonts w:ascii="Cambria Math" w:hAnsi="Cambria Math" w:cs="Arial"/>
          <w:i/>
          <w:sz w:val="24"/>
          <w:szCs w:val="24"/>
        </w:rPr>
        <w:t xml:space="preserve"> = α</w:t>
      </w:r>
      <w:r w:rsidR="008862C7">
        <w:rPr>
          <w:rFonts w:ascii="Cambria Math" w:hAnsi="Cambria Math" w:cs="Arial"/>
          <w:i/>
          <w:sz w:val="24"/>
          <w:szCs w:val="24"/>
          <w:vertAlign w:val="subscript"/>
        </w:rPr>
        <w:t>i</w:t>
      </w:r>
      <w:r w:rsidR="008862C7">
        <w:rPr>
          <w:rFonts w:ascii="Cambria Math" w:hAnsi="Cambria Math" w:cs="Arial"/>
          <w:i/>
          <w:sz w:val="24"/>
          <w:szCs w:val="24"/>
        </w:rPr>
        <w:t xml:space="preserve"> + </w:t>
      </w:r>
      <w:r w:rsidR="008862C7">
        <w:rPr>
          <w:rFonts w:ascii="Arial" w:hAnsi="Arial" w:cs="Arial"/>
          <w:i/>
          <w:sz w:val="24"/>
          <w:szCs w:val="24"/>
        </w:rPr>
        <w:t>ⱱ</w:t>
      </w:r>
      <w:r w:rsidR="008862C7">
        <w:rPr>
          <w:rFonts w:ascii="Cambria Math" w:hAnsi="Cambria Math" w:cs="Arial"/>
          <w:i/>
          <w:sz w:val="24"/>
          <w:szCs w:val="24"/>
          <w:vertAlign w:val="subscript"/>
        </w:rPr>
        <w:t>it</w:t>
      </w:r>
    </w:p>
    <w:p w14:paraId="1BADE0B2" w14:textId="77777777" w:rsidR="008862C7" w:rsidRDefault="008862C7" w:rsidP="008862C7">
      <w:pPr>
        <w:autoSpaceDE w:val="0"/>
        <w:autoSpaceDN w:val="0"/>
        <w:adjustRightInd w:val="0"/>
        <w:spacing w:line="360" w:lineRule="auto"/>
        <w:jc w:val="both"/>
        <w:rPr>
          <w:rFonts w:ascii="Arial" w:hAnsi="Arial" w:cs="Arial"/>
          <w:i/>
          <w:sz w:val="24"/>
          <w:szCs w:val="24"/>
          <w:vertAlign w:val="subscript"/>
        </w:rPr>
      </w:pPr>
      <w:r>
        <w:rPr>
          <w:rFonts w:ascii="Arial" w:hAnsi="Arial" w:cs="Arial"/>
          <w:sz w:val="24"/>
          <w:szCs w:val="24"/>
        </w:rPr>
        <w:t>Avec</w:t>
      </w:r>
      <w:r>
        <w:rPr>
          <w:rFonts w:ascii="Arial" w:hAnsi="Arial" w:cs="Arial"/>
          <w:i/>
          <w:iCs/>
          <w:sz w:val="24"/>
          <w:szCs w:val="24"/>
        </w:rPr>
        <w:t xml:space="preserve"> </w:t>
      </w:r>
      <w:r>
        <w:rPr>
          <w:rFonts w:ascii="Cambria Math" w:hAnsi="Cambria Math" w:cs="Arial"/>
          <w:i/>
          <w:iCs/>
          <w:sz w:val="24"/>
          <w:szCs w:val="24"/>
        </w:rPr>
        <w:t>Y</w:t>
      </w:r>
      <w:r>
        <w:rPr>
          <w:rFonts w:ascii="Cambria Math" w:hAnsi="Cambria Math" w:cs="Arial"/>
          <w:i/>
          <w:iCs/>
          <w:sz w:val="24"/>
          <w:szCs w:val="24"/>
          <w:vertAlign w:val="subscript"/>
        </w:rPr>
        <w:t>it</w:t>
      </w:r>
      <w:r>
        <w:rPr>
          <w:rFonts w:ascii="Arial" w:hAnsi="Arial" w:cs="Arial"/>
          <w:i/>
          <w:iCs/>
          <w:sz w:val="24"/>
          <w:szCs w:val="24"/>
        </w:rPr>
        <w:t xml:space="preserve"> </w:t>
      </w:r>
      <w:r>
        <w:rPr>
          <w:rFonts w:ascii="Arial" w:hAnsi="Arial" w:cs="Arial"/>
          <w:sz w:val="24"/>
          <w:szCs w:val="24"/>
        </w:rPr>
        <w:t>la variable endogène</w:t>
      </w:r>
      <w:r>
        <w:rPr>
          <w:rFonts w:ascii="Arial" w:hAnsi="Arial" w:cs="Arial"/>
          <w:i/>
          <w:sz w:val="24"/>
          <w:szCs w:val="24"/>
        </w:rPr>
        <w:t xml:space="preserve">, </w:t>
      </w:r>
      <w:r>
        <w:rPr>
          <w:rFonts w:ascii="Cambria Math" w:hAnsi="Cambria Math" w:cs="Arial"/>
          <w:i/>
          <w:iCs/>
          <w:sz w:val="24"/>
          <w:szCs w:val="24"/>
        </w:rPr>
        <w:t>X</w:t>
      </w:r>
      <w:r>
        <w:rPr>
          <w:rFonts w:ascii="Cambria Math" w:hAnsi="Cambria Math" w:cs="Arial"/>
          <w:i/>
          <w:iCs/>
          <w:sz w:val="24"/>
          <w:szCs w:val="24"/>
          <w:vertAlign w:val="subscript"/>
        </w:rPr>
        <w:t>it</w:t>
      </w:r>
      <w:r>
        <w:rPr>
          <w:rFonts w:ascii="Cambria Math" w:hAnsi="Cambria Math" w:cs="Arial"/>
          <w:i/>
          <w:iCs/>
          <w:sz w:val="24"/>
          <w:szCs w:val="24"/>
        </w:rPr>
        <w:t xml:space="preserve"> </w:t>
      </w:r>
      <w:r>
        <w:rPr>
          <w:rFonts w:ascii="Cambria Math" w:hAnsi="Cambria Math" w:cs="Arial"/>
          <w:i/>
          <w:sz w:val="24"/>
          <w:szCs w:val="24"/>
        </w:rPr>
        <w:t>= (X</w:t>
      </w:r>
      <w:r>
        <w:rPr>
          <w:rFonts w:ascii="Cambria Math" w:hAnsi="Cambria Math" w:cs="Arial"/>
          <w:i/>
          <w:sz w:val="24"/>
          <w:szCs w:val="24"/>
          <w:vertAlign w:val="subscript"/>
        </w:rPr>
        <w:t>1it</w:t>
      </w:r>
      <w:r>
        <w:rPr>
          <w:rFonts w:ascii="Cambria Math" w:hAnsi="Cambria Math" w:cs="Arial"/>
          <w:i/>
          <w:sz w:val="24"/>
          <w:szCs w:val="24"/>
        </w:rPr>
        <w:t>,…....X</w:t>
      </w:r>
      <w:r>
        <w:rPr>
          <w:rFonts w:ascii="Cambria Math" w:hAnsi="Cambria Math" w:cs="Arial"/>
          <w:i/>
          <w:sz w:val="24"/>
          <w:szCs w:val="24"/>
          <w:vertAlign w:val="subscript"/>
        </w:rPr>
        <w:t>kit</w:t>
      </w:r>
      <w:r>
        <w:rPr>
          <w:rFonts w:ascii="Cambria Math" w:hAnsi="Cambria Math" w:cs="Arial"/>
          <w:i/>
          <w:sz w:val="24"/>
          <w:szCs w:val="24"/>
        </w:rPr>
        <w:t>)</w:t>
      </w:r>
      <w:r>
        <w:rPr>
          <w:rFonts w:ascii="Arial" w:hAnsi="Arial" w:cs="Arial"/>
          <w:sz w:val="24"/>
          <w:szCs w:val="24"/>
        </w:rPr>
        <w:t xml:space="preserve"> le vecteur des variables explicatives,</w:t>
      </w:r>
      <w:r>
        <w:rPr>
          <w:rFonts w:ascii="Cambria Math" w:hAnsi="Cambria Math" w:cs="Arial"/>
          <w:i/>
          <w:sz w:val="24"/>
          <w:szCs w:val="24"/>
        </w:rPr>
        <w:t xml:space="preserve"> β</w:t>
      </w:r>
      <w:r>
        <w:rPr>
          <w:rFonts w:ascii="Cambria Math" w:hAnsi="Cambria Math" w:cs="Arial"/>
          <w:i/>
          <w:sz w:val="24"/>
          <w:szCs w:val="24"/>
          <w:vertAlign w:val="subscript"/>
        </w:rPr>
        <w:t>0</w:t>
      </w:r>
      <w:r>
        <w:rPr>
          <w:rFonts w:ascii="Arial" w:eastAsia="SymbolMT" w:hAnsi="Arial" w:cs="Arial"/>
          <w:sz w:val="24"/>
          <w:szCs w:val="24"/>
        </w:rPr>
        <w:t xml:space="preserve"> </w:t>
      </w:r>
      <w:r>
        <w:rPr>
          <w:rFonts w:ascii="Arial" w:hAnsi="Arial" w:cs="Arial"/>
          <w:sz w:val="24"/>
          <w:szCs w:val="24"/>
        </w:rPr>
        <w:t xml:space="preserve">la constante et </w:t>
      </w:r>
      <w:r>
        <w:rPr>
          <w:rFonts w:ascii="Cambria Math" w:hAnsi="Cambria Math" w:cs="Arial"/>
          <w:i/>
          <w:sz w:val="24"/>
          <w:szCs w:val="24"/>
        </w:rPr>
        <w:t>β’ = (β</w:t>
      </w:r>
      <w:r>
        <w:rPr>
          <w:rFonts w:ascii="Cambria Math" w:hAnsi="Cambria Math" w:cs="Arial"/>
          <w:i/>
          <w:sz w:val="24"/>
          <w:szCs w:val="24"/>
          <w:vertAlign w:val="subscript"/>
        </w:rPr>
        <w:t>1</w:t>
      </w:r>
      <w:r>
        <w:rPr>
          <w:rFonts w:ascii="Cambria Math" w:hAnsi="Cambria Math" w:cs="Arial"/>
          <w:i/>
          <w:sz w:val="24"/>
          <w:szCs w:val="24"/>
        </w:rPr>
        <w:t>,…. β</w:t>
      </w:r>
      <w:r>
        <w:rPr>
          <w:rFonts w:ascii="Cambria Math" w:hAnsi="Cambria Math" w:cs="Arial"/>
          <w:i/>
          <w:sz w:val="24"/>
          <w:szCs w:val="24"/>
          <w:vertAlign w:val="subscript"/>
        </w:rPr>
        <w:t>k</w:t>
      </w:r>
      <w:r>
        <w:rPr>
          <w:rFonts w:ascii="Cambria Math" w:hAnsi="Cambria Math" w:cs="Arial"/>
          <w:i/>
          <w:sz w:val="24"/>
          <w:szCs w:val="24"/>
        </w:rPr>
        <w:t>)</w:t>
      </w:r>
      <w:r>
        <w:rPr>
          <w:rFonts w:ascii="Arial" w:hAnsi="Arial" w:cs="Arial"/>
          <w:sz w:val="24"/>
          <w:szCs w:val="24"/>
        </w:rPr>
        <w:t xml:space="preserve"> le vecteur des paramètres à estimer. La variable </w:t>
      </w:r>
      <w:r>
        <w:rPr>
          <w:rFonts w:ascii="Cambria Math" w:hAnsi="Cambria Math" w:cs="Arial"/>
          <w:i/>
          <w:sz w:val="24"/>
          <w:szCs w:val="24"/>
        </w:rPr>
        <w:t>ε</w:t>
      </w:r>
      <w:r>
        <w:rPr>
          <w:rFonts w:ascii="Cambria Math" w:hAnsi="Cambria Math" w:cs="Arial"/>
          <w:i/>
          <w:sz w:val="24"/>
          <w:szCs w:val="24"/>
          <w:vertAlign w:val="subscript"/>
        </w:rPr>
        <w:t>it</w:t>
      </w:r>
      <w:r>
        <w:rPr>
          <w:rFonts w:ascii="Arial" w:hAnsi="Arial" w:cs="Arial"/>
          <w:i/>
          <w:sz w:val="24"/>
          <w:szCs w:val="24"/>
          <w:vertAlign w:val="subscript"/>
        </w:rPr>
        <w:t xml:space="preserve"> </w:t>
      </w:r>
      <w:r>
        <w:rPr>
          <w:rFonts w:ascii="Arial" w:hAnsi="Arial" w:cs="Arial"/>
          <w:sz w:val="24"/>
          <w:szCs w:val="24"/>
        </w:rPr>
        <w:t xml:space="preserve">correspond aux aléas qui sont supposés indépendants et identiquement distribués, avec </w:t>
      </w:r>
      <w:r>
        <w:rPr>
          <w:rFonts w:ascii="Cambria Math" w:hAnsi="Cambria Math" w:cs="Arial"/>
          <w:i/>
          <w:sz w:val="24"/>
          <w:szCs w:val="24"/>
        </w:rPr>
        <w:t>E (ε</w:t>
      </w:r>
      <w:r>
        <w:rPr>
          <w:rFonts w:ascii="Cambria Math" w:hAnsi="Cambria Math" w:cs="Arial"/>
          <w:i/>
          <w:sz w:val="24"/>
          <w:szCs w:val="24"/>
          <w:vertAlign w:val="subscript"/>
        </w:rPr>
        <w:t>it</w:t>
      </w:r>
      <w:r>
        <w:rPr>
          <w:rFonts w:ascii="Cambria Math" w:hAnsi="Cambria Math" w:cs="Arial"/>
          <w:i/>
          <w:sz w:val="24"/>
          <w:szCs w:val="24"/>
        </w:rPr>
        <w:t>) = 0</w:t>
      </w:r>
      <w:r>
        <w:rPr>
          <w:rFonts w:ascii="Arial" w:hAnsi="Arial" w:cs="Arial"/>
          <w:sz w:val="24"/>
          <w:szCs w:val="24"/>
        </w:rPr>
        <w:t xml:space="preserve">  et </w:t>
      </w:r>
      <w:r>
        <w:rPr>
          <w:rFonts w:ascii="Cambria Math" w:hAnsi="Cambria Math" w:cs="Arial"/>
          <w:i/>
          <w:sz w:val="24"/>
          <w:szCs w:val="24"/>
        </w:rPr>
        <w:t>var (ε</w:t>
      </w:r>
      <w:r>
        <w:rPr>
          <w:rFonts w:ascii="Cambria Math" w:hAnsi="Cambria Math" w:cs="Arial"/>
          <w:i/>
          <w:sz w:val="24"/>
          <w:szCs w:val="24"/>
          <w:vertAlign w:val="subscript"/>
        </w:rPr>
        <w:t>it</w:t>
      </w:r>
      <w:r>
        <w:rPr>
          <w:rFonts w:ascii="Cambria Math" w:hAnsi="Cambria Math" w:cs="Arial"/>
          <w:i/>
          <w:sz w:val="24"/>
          <w:szCs w:val="24"/>
        </w:rPr>
        <w:t>) =σ</w:t>
      </w:r>
      <w:r>
        <w:rPr>
          <w:rFonts w:ascii="Cambria Math" w:hAnsi="Cambria Math" w:cs="Arial"/>
          <w:i/>
          <w:sz w:val="24"/>
          <w:szCs w:val="24"/>
          <w:vertAlign w:val="subscript"/>
        </w:rPr>
        <w:t>ε</w:t>
      </w:r>
      <w:r>
        <w:rPr>
          <w:rFonts w:ascii="Cambria Math" w:hAnsi="Cambria Math" w:cs="Arial"/>
          <w:i/>
          <w:sz w:val="24"/>
          <w:szCs w:val="24"/>
          <w:vertAlign w:val="superscript"/>
        </w:rPr>
        <w:t>2</w:t>
      </w:r>
      <w:r>
        <w:rPr>
          <w:rFonts w:ascii="Arial" w:hAnsi="Arial" w:cs="Arial"/>
          <w:sz w:val="24"/>
          <w:szCs w:val="24"/>
        </w:rPr>
        <w:t xml:space="preserve">. Elle se décompose en deux termes à savoir les effets individuels </w:t>
      </w:r>
      <w:r>
        <w:rPr>
          <w:rFonts w:ascii="Cambria Math" w:hAnsi="Cambria Math" w:cs="Arial"/>
          <w:i/>
          <w:sz w:val="24"/>
          <w:szCs w:val="24"/>
        </w:rPr>
        <w:t>α</w:t>
      </w:r>
      <w:r>
        <w:rPr>
          <w:rFonts w:ascii="Cambria Math" w:hAnsi="Cambria Math" w:cs="Arial"/>
          <w:i/>
          <w:sz w:val="24"/>
          <w:szCs w:val="24"/>
          <w:vertAlign w:val="subscript"/>
        </w:rPr>
        <w:t>i</w:t>
      </w:r>
      <w:r>
        <w:rPr>
          <w:rFonts w:ascii="Arial" w:hAnsi="Arial" w:cs="Arial"/>
          <w:i/>
          <w:sz w:val="24"/>
          <w:szCs w:val="24"/>
        </w:rPr>
        <w:t xml:space="preserve"> </w:t>
      </w:r>
      <w:r>
        <w:rPr>
          <w:rFonts w:ascii="Arial" w:hAnsi="Arial" w:cs="Arial"/>
          <w:sz w:val="24"/>
          <w:szCs w:val="24"/>
        </w:rPr>
        <w:t>et</w:t>
      </w:r>
      <w:r>
        <w:rPr>
          <w:rFonts w:ascii="Arial" w:hAnsi="Arial" w:cs="Arial"/>
          <w:i/>
          <w:sz w:val="24"/>
          <w:szCs w:val="24"/>
        </w:rPr>
        <w:t xml:space="preserve"> ⱱ</w:t>
      </w:r>
      <w:r>
        <w:rPr>
          <w:rFonts w:ascii="Cambria Math" w:hAnsi="Cambria Math" w:cs="Arial"/>
          <w:i/>
          <w:sz w:val="24"/>
          <w:szCs w:val="24"/>
          <w:vertAlign w:val="subscript"/>
        </w:rPr>
        <w:t>it.</w:t>
      </w:r>
    </w:p>
    <w:p w14:paraId="7891BD70"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Dans le cas présent, </w:t>
      </w:r>
      <w:r>
        <w:rPr>
          <w:rFonts w:ascii="Cambria Math" w:hAnsi="Cambria Math" w:cs="Arial"/>
          <w:i/>
          <w:iCs/>
          <w:sz w:val="24"/>
          <w:szCs w:val="24"/>
        </w:rPr>
        <w:t>Y</w:t>
      </w:r>
      <w:r>
        <w:rPr>
          <w:rFonts w:ascii="Cambria Math" w:hAnsi="Cambria Math" w:cs="Arial"/>
          <w:i/>
          <w:iCs/>
          <w:sz w:val="24"/>
          <w:szCs w:val="24"/>
          <w:vertAlign w:val="subscript"/>
        </w:rPr>
        <w:t>it</w:t>
      </w:r>
      <w:r>
        <w:rPr>
          <w:rFonts w:ascii="Arial" w:hAnsi="Arial" w:cs="Arial"/>
          <w:i/>
          <w:iCs/>
          <w:sz w:val="24"/>
          <w:szCs w:val="24"/>
        </w:rPr>
        <w:t xml:space="preserve"> </w:t>
      </w:r>
      <w:r>
        <w:rPr>
          <w:rFonts w:ascii="Arial" w:hAnsi="Arial" w:cs="Arial"/>
          <w:sz w:val="24"/>
          <w:szCs w:val="24"/>
        </w:rPr>
        <w:t xml:space="preserve">correspond à la compétitivité du coton centrafricain (notée XPMM), mesuré par la capacité du coton centrafricain à capter une part du marché mondial par le prix et la qualité, et le vecteur des variables explicatives </w:t>
      </w:r>
      <w:r>
        <w:rPr>
          <w:rFonts w:ascii="Cambria Math" w:hAnsi="Cambria Math" w:cs="Arial"/>
          <w:i/>
          <w:iCs/>
          <w:sz w:val="24"/>
          <w:szCs w:val="24"/>
        </w:rPr>
        <w:t>X</w:t>
      </w:r>
      <w:r>
        <w:rPr>
          <w:rFonts w:ascii="Cambria Math" w:hAnsi="Cambria Math" w:cs="Arial"/>
          <w:i/>
          <w:iCs/>
          <w:sz w:val="24"/>
          <w:szCs w:val="24"/>
          <w:vertAlign w:val="subscript"/>
        </w:rPr>
        <w:t>it</w:t>
      </w:r>
      <w:r>
        <w:rPr>
          <w:rFonts w:ascii="Arial" w:hAnsi="Arial" w:cs="Arial"/>
          <w:i/>
          <w:iCs/>
          <w:sz w:val="24"/>
          <w:szCs w:val="24"/>
        </w:rPr>
        <w:t xml:space="preserve"> </w:t>
      </w:r>
      <w:r>
        <w:rPr>
          <w:rFonts w:ascii="Arial" w:hAnsi="Arial" w:cs="Arial"/>
          <w:sz w:val="24"/>
          <w:szCs w:val="24"/>
        </w:rPr>
        <w:t>a pour composante principales les variables déterminants de la compétitivité.</w:t>
      </w:r>
    </w:p>
    <w:p w14:paraId="0A1D7B69" w14:textId="77777777" w:rsidR="008862C7" w:rsidRDefault="008862C7" w:rsidP="008862C7">
      <w:pPr>
        <w:autoSpaceDE w:val="0"/>
        <w:autoSpaceDN w:val="0"/>
        <w:adjustRightInd w:val="0"/>
        <w:spacing w:line="360" w:lineRule="auto"/>
        <w:jc w:val="center"/>
        <w:rPr>
          <w:rFonts w:ascii="Arial" w:hAnsi="Arial" w:cs="Arial"/>
          <w:i/>
          <w:sz w:val="24"/>
          <w:szCs w:val="24"/>
        </w:rPr>
      </w:pPr>
      <m:oMathPara>
        <m:oMath>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XPMM</m:t>
                  </m:r>
                </m:e>
                <m:sub>
                  <m:r>
                    <m:rPr>
                      <m:sty m:val="bi"/>
                    </m:rPr>
                    <w:rPr>
                      <w:rFonts w:ascii="Cambria Math" w:hAnsi="Cambria Math" w:cs="Arial"/>
                      <w:sz w:val="24"/>
                      <w:szCs w:val="24"/>
                    </w:rPr>
                    <m:t>ij</m:t>
                  </m:r>
                </m:sub>
              </m:sSub>
            </m:e>
          </m:d>
          <m:r>
            <m:rPr>
              <m:sty m:val="bi"/>
            </m:rPr>
            <w:rPr>
              <w:rFonts w:ascii="Cambria Math" w:hAnsi="Arial" w:cs="Arial"/>
              <w:sz w:val="24"/>
              <w:szCs w:val="24"/>
            </w:rPr>
            <m:t xml:space="preserve">= </m:t>
          </m:r>
          <m:sSub>
            <m:sSubPr>
              <m:ctrlPr>
                <w:rPr>
                  <w:rFonts w:ascii="Cambria Math" w:eastAsia="Times New Roman" w:hAnsi="Arial" w:cs="Arial"/>
                  <w:b/>
                  <w:i/>
                  <w:sz w:val="24"/>
                  <w:szCs w:val="24"/>
                </w:rPr>
              </m:ctrlPr>
            </m:sSubPr>
            <m:e>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0</m:t>
                  </m:r>
                </m:sub>
              </m:sSub>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1</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Arial" w:cs="Arial"/>
                          <w:sz w:val="24"/>
                          <w:szCs w:val="24"/>
                        </w:rPr>
                        <m:t>PMC</m:t>
                      </m:r>
                    </m:e>
                    <m:sub>
                      <m:r>
                        <m:rPr>
                          <m:sty m:val="bi"/>
                        </m:rPr>
                        <w:rPr>
                          <w:rFonts w:ascii="Cambria Math" w:hAnsi="Cambria Math" w:cs="Arial"/>
                          <w:sz w:val="24"/>
                          <w:szCs w:val="24"/>
                        </w:rPr>
                        <m:t>ij</m:t>
                      </m:r>
                    </m:sub>
                  </m:sSub>
                </m:e>
              </m:d>
              <m:r>
                <m:rPr>
                  <m:sty m:val="bi"/>
                </m:rPr>
                <w:rPr>
                  <w:rFonts w:ascii="Cambria Math" w:hAnsi="Arial" w:cs="Arial"/>
                  <w:sz w:val="24"/>
                  <w:szCs w:val="24"/>
                </w:rPr>
                <m:t xml:space="preserve">+ </m:t>
              </m:r>
              <m:r>
                <m:rPr>
                  <m:sty m:val="bi"/>
                </m:rPr>
                <w:rPr>
                  <w:rFonts w:ascii="Cambria Math" w:hAnsi="Cambria Math" w:cs="Arial"/>
                  <w:sz w:val="24"/>
                  <w:szCs w:val="24"/>
                </w:rPr>
                <m:t>β</m:t>
              </m:r>
            </m:e>
            <m:sub>
              <m:r>
                <m:rPr>
                  <m:sty m:val="bi"/>
                </m:rPr>
                <w:rPr>
                  <w:rFonts w:ascii="Cambria Math" w:hAnsi="Arial" w:cs="Arial"/>
                  <w:sz w:val="24"/>
                  <w:szCs w:val="24"/>
                </w:rPr>
                <m:t>2</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PFS</m:t>
                  </m:r>
                </m:e>
                <m:sub>
                  <m:r>
                    <m:rPr>
                      <m:sty m:val="bi"/>
                    </m:rPr>
                    <w:rPr>
                      <w:rFonts w:ascii="Cambria Math" w:hAnsi="Cambria Math" w:cs="Arial"/>
                      <w:sz w:val="24"/>
                      <w:szCs w:val="24"/>
                    </w:rPr>
                    <m:t>kij</m:t>
                  </m:r>
                </m:sub>
              </m:sSub>
            </m:e>
          </m:d>
          <m:r>
            <m:rPr>
              <m:sty m:val="bi"/>
            </m:rPr>
            <w:rPr>
              <w:rFonts w:ascii="Cambria Math" w:hAnsi="Arial" w:cs="Arial"/>
              <w:sz w:val="24"/>
              <w:szCs w:val="24"/>
            </w:rPr>
            <m:t xml:space="preserve">+ </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3</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QUA</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4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ACR</m:t>
                  </m:r>
                </m:e>
                <m:sub>
                  <m:r>
                    <m:rPr>
                      <m:sty m:val="bi"/>
                    </m:rPr>
                    <w:rPr>
                      <w:rFonts w:ascii="Cambria Math" w:hAnsi="Cambria Math" w:cs="Arial"/>
                      <w:sz w:val="24"/>
                      <w:szCs w:val="24"/>
                    </w:rPr>
                    <m:t>ij</m:t>
                  </m:r>
                </m:sub>
              </m:sSub>
            </m:e>
          </m:d>
          <m:r>
            <m:rPr>
              <m:sty m:val="bi"/>
            </m:rPr>
            <w:rPr>
              <w:rFonts w:ascii="Cambria Math" w:hAnsi="Arial" w:cs="Arial"/>
              <w:sz w:val="24"/>
              <w:szCs w:val="24"/>
            </w:rPr>
            <m:t xml:space="preserve">+ </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5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CON</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6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IDE</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7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TCER</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8</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DIST</m:t>
                  </m:r>
                </m:e>
                <m:sub>
                  <m:r>
                    <m:rPr>
                      <m:sty m:val="bi"/>
                    </m:rPr>
                    <w:rPr>
                      <w:rFonts w:ascii="Cambria Math" w:hAnsi="Cambria Math" w:cs="Arial"/>
                      <w:sz w:val="24"/>
                      <w:szCs w:val="24"/>
                    </w:rPr>
                    <m:t>ij</m:t>
                  </m:r>
                </m:sub>
              </m:sSub>
            </m:e>
          </m:d>
          <m:r>
            <m:rPr>
              <m:sty m:val="bi"/>
            </m:rPr>
            <w:rPr>
              <w:rFonts w:ascii="Cambria Math" w:hAnsi="Arial" w:cs="Arial"/>
              <w:sz w:val="24"/>
              <w:szCs w:val="24"/>
            </w:rPr>
            <m:t xml:space="preserve">+ </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9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SUB</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Cambria Math" w:cs="Arial"/>
                  <w:sz w:val="24"/>
                  <w:szCs w:val="24"/>
                </w:rPr>
                <m:t>β</m:t>
              </m:r>
            </m:e>
            <m:sub>
              <m:r>
                <m:rPr>
                  <m:sty m:val="bi"/>
                </m:rPr>
                <w:rPr>
                  <w:rFonts w:ascii="Cambria Math" w:hAnsi="Arial" w:cs="Arial"/>
                  <w:sz w:val="24"/>
                  <w:szCs w:val="24"/>
                </w:rPr>
                <m:t xml:space="preserve">10 </m:t>
              </m:r>
            </m:sub>
          </m:sSub>
          <m:r>
            <m:rPr>
              <m:sty m:val="bi"/>
            </m:rPr>
            <w:rPr>
              <w:rFonts w:ascii="Cambria Math" w:hAnsi="Cambria Math" w:cs="Arial"/>
              <w:sz w:val="24"/>
              <w:szCs w:val="24"/>
            </w:rPr>
            <m:t>Log</m:t>
          </m:r>
          <m:r>
            <m:rPr>
              <m:sty m:val="bi"/>
            </m:rPr>
            <w:rPr>
              <w:rFonts w:ascii="Cambria Math" w:hAnsi="Arial" w:cs="Arial"/>
              <w:sz w:val="24"/>
              <w:szCs w:val="24"/>
            </w:rPr>
            <m:t xml:space="preserve"> </m:t>
          </m:r>
          <m:d>
            <m:dPr>
              <m:ctrlPr>
                <w:rPr>
                  <w:rFonts w:ascii="Cambria Math" w:eastAsia="Times New Roman" w:hAnsi="Arial" w:cs="Arial"/>
                  <w:b/>
                  <w:i/>
                  <w:sz w:val="24"/>
                  <w:szCs w:val="24"/>
                </w:rPr>
              </m:ctrlPr>
            </m:dPr>
            <m:e>
              <m:sSub>
                <m:sSubPr>
                  <m:ctrlPr>
                    <w:rPr>
                      <w:rFonts w:ascii="Cambria Math" w:eastAsia="Times New Roman" w:hAnsi="Arial" w:cs="Arial"/>
                      <w:b/>
                      <w:i/>
                      <w:sz w:val="24"/>
                      <w:szCs w:val="24"/>
                    </w:rPr>
                  </m:ctrlPr>
                </m:sSubPr>
                <m:e>
                  <m:r>
                    <m:rPr>
                      <m:sty m:val="bi"/>
                    </m:rPr>
                    <w:rPr>
                      <w:rFonts w:ascii="Cambria Math" w:hAnsi="Cambria Math" w:cs="Arial"/>
                      <w:sz w:val="24"/>
                      <w:szCs w:val="24"/>
                    </w:rPr>
                    <m:t>TAR</m:t>
                  </m:r>
                </m:e>
                <m:sub>
                  <m:r>
                    <m:rPr>
                      <m:sty m:val="bi"/>
                    </m:rPr>
                    <w:rPr>
                      <w:rFonts w:ascii="Cambria Math" w:hAnsi="Cambria Math" w:cs="Arial"/>
                      <w:sz w:val="24"/>
                      <w:szCs w:val="24"/>
                    </w:rPr>
                    <m:t>ij</m:t>
                  </m:r>
                </m:sub>
              </m:sSub>
            </m:e>
          </m:d>
          <m:r>
            <m:rPr>
              <m:sty m:val="bi"/>
            </m:rPr>
            <w:rPr>
              <w:rFonts w:ascii="Cambria Math" w:hAnsi="Arial" w:cs="Arial"/>
              <w:sz w:val="24"/>
              <w:szCs w:val="24"/>
            </w:rPr>
            <m:t>+</m:t>
          </m:r>
          <m:sSub>
            <m:sSubPr>
              <m:ctrlPr>
                <w:rPr>
                  <w:rFonts w:ascii="Cambria Math" w:eastAsia="Times New Roman" w:hAnsi="Arial" w:cs="Arial"/>
                  <w:b/>
                  <w:i/>
                  <w:sz w:val="24"/>
                  <w:szCs w:val="24"/>
                </w:rPr>
              </m:ctrlPr>
            </m:sSubPr>
            <m:e>
              <m:r>
                <m:rPr>
                  <m:sty m:val="bi"/>
                </m:rPr>
                <w:rPr>
                  <w:rFonts w:ascii="Cambria Math" w:hAnsi="Arial" w:cs="Arial"/>
                  <w:sz w:val="24"/>
                  <w:szCs w:val="24"/>
                </w:rPr>
                <m:t xml:space="preserve"> </m:t>
              </m:r>
              <m:r>
                <m:rPr>
                  <m:sty m:val="bi"/>
                </m:rPr>
                <w:rPr>
                  <w:rFonts w:ascii="Cambria Math" w:hAnsi="Cambria Math" w:cs="Arial"/>
                  <w:sz w:val="24"/>
                  <w:szCs w:val="24"/>
                </w:rPr>
                <m:t>ε</m:t>
              </m:r>
            </m:e>
            <m:sub>
              <m:r>
                <m:rPr>
                  <m:sty m:val="bi"/>
                </m:rPr>
                <w:rPr>
                  <w:rFonts w:ascii="Cambria Math" w:hAnsi="Cambria Math" w:cs="Arial"/>
                  <w:sz w:val="24"/>
                  <w:szCs w:val="24"/>
                </w:rPr>
                <m:t>ij</m:t>
              </m:r>
            </m:sub>
          </m:sSub>
          <m:r>
            <w:rPr>
              <w:rFonts w:ascii="Cambria Math" w:hAnsi="Arial" w:cs="Arial"/>
              <w:sz w:val="24"/>
              <w:szCs w:val="24"/>
            </w:rPr>
            <m:t xml:space="preserve">                                                                         :</m:t>
          </m:r>
          <m:r>
            <m:rPr>
              <m:sty m:val="bi"/>
            </m:rPr>
            <w:rPr>
              <w:rFonts w:ascii="Cambria Math" w:hAnsi="Arial" w:cs="Arial"/>
              <w:sz w:val="24"/>
              <w:szCs w:val="24"/>
            </w:rPr>
            <m:t>(1)</m:t>
          </m:r>
        </m:oMath>
      </m:oMathPara>
    </w:p>
    <w:p w14:paraId="2814193A"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Avec : </w:t>
      </w:r>
    </w:p>
    <w:p w14:paraId="261894BF" w14:textId="77777777" w:rsidR="008862C7" w:rsidRDefault="008862C7" w:rsidP="008862C7">
      <w:pPr>
        <w:pStyle w:val="Notedebasdepage"/>
        <w:spacing w:line="360" w:lineRule="auto"/>
        <w:jc w:val="both"/>
        <w:rPr>
          <w:rFonts w:ascii="Arial" w:hAnsi="Arial" w:cs="Arial"/>
          <w:sz w:val="24"/>
          <w:szCs w:val="24"/>
        </w:rPr>
      </w:pPr>
      <m:oMath>
        <m:r>
          <m:rPr>
            <m:sty m:val="bi"/>
          </m:rPr>
          <w:rPr>
            <w:rFonts w:ascii="Cambria Math" w:hAnsi="Cambria Math" w:cs="Arial"/>
            <w:sz w:val="24"/>
            <w:szCs w:val="24"/>
          </w:rPr>
          <m:t>XPMM</m:t>
        </m:r>
        <m:r>
          <m:rPr>
            <m:sty m:val="bi"/>
          </m:rPr>
          <w:rPr>
            <w:rFonts w:ascii="Cambria Math" w:hAnsi="Arial" w:cs="Arial"/>
            <w:sz w:val="24"/>
            <w:szCs w:val="24"/>
          </w:rPr>
          <m:t>=</m:t>
        </m:r>
        <m:f>
          <m:fPr>
            <m:ctrlPr>
              <w:rPr>
                <w:rFonts w:ascii="Cambria Math" w:hAnsi="Arial" w:cs="Arial"/>
                <w:b/>
                <w:i/>
                <w:sz w:val="24"/>
                <w:szCs w:val="24"/>
              </w:rPr>
            </m:ctrlPr>
          </m:fPr>
          <m:num>
            <m:sSub>
              <m:sSubPr>
                <m:ctrlPr>
                  <w:rPr>
                    <w:rFonts w:ascii="Cambria Math" w:hAnsi="Arial"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t</m:t>
                </m:r>
                <m:r>
                  <m:rPr>
                    <m:sty m:val="bi"/>
                  </m:rPr>
                  <w:rPr>
                    <w:rFonts w:ascii="Cambria Math" w:hAnsi="Arial" w:cs="Arial"/>
                    <w:sz w:val="24"/>
                    <w:szCs w:val="24"/>
                  </w:rPr>
                  <m:t>+1</m:t>
                </m:r>
              </m:sub>
            </m:sSub>
            <m:r>
              <m:rPr>
                <m:sty m:val="bi"/>
              </m:rPr>
              <w:rPr>
                <w:rFonts w:ascii="Cambria Math" w:hAnsi="Cambria Math" w:cs="Arial"/>
                <w:sz w:val="24"/>
                <w:szCs w:val="24"/>
              </w:rPr>
              <m:t>-</m:t>
            </m:r>
            <m:r>
              <m:rPr>
                <m:sty m:val="bi"/>
              </m:rPr>
              <w:rPr>
                <w:rFonts w:ascii="Cambria Math" w:hAnsi="Arial" w:cs="Arial"/>
                <w:sz w:val="24"/>
                <w:szCs w:val="24"/>
              </w:rPr>
              <m:t xml:space="preserve"> </m:t>
            </m:r>
            <m:sSub>
              <m:sSubPr>
                <m:ctrlPr>
                  <w:rPr>
                    <w:rFonts w:ascii="Cambria Math" w:hAnsi="Arial"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t</m:t>
                </m:r>
              </m:sub>
            </m:sSub>
          </m:num>
          <m:den>
            <m:sSub>
              <m:sSubPr>
                <m:ctrlPr>
                  <w:rPr>
                    <w:rFonts w:ascii="Cambria Math" w:hAnsi="Arial"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t</m:t>
                </m:r>
                <m:r>
                  <m:rPr>
                    <m:sty m:val="bi"/>
                  </m:rPr>
                  <w:rPr>
                    <w:rFonts w:ascii="Cambria Math" w:hAnsi="Arial" w:cs="Arial"/>
                    <w:sz w:val="24"/>
                    <w:szCs w:val="24"/>
                  </w:rPr>
                  <m:t>+1</m:t>
                </m:r>
              </m:sub>
            </m:sSub>
          </m:den>
        </m:f>
        <m:r>
          <m:rPr>
            <m:sty m:val="bi"/>
          </m:rPr>
          <w:rPr>
            <w:rFonts w:ascii="Cambria Math" w:hAnsi="Cambria Math" w:cs="Arial"/>
            <w:sz w:val="24"/>
            <w:szCs w:val="24"/>
          </w:rPr>
          <m:t>×</m:t>
        </m:r>
        <m:r>
          <m:rPr>
            <m:sty m:val="bi"/>
          </m:rPr>
          <w:rPr>
            <w:rFonts w:ascii="Cambria Math" w:hAnsi="Arial" w:cs="Arial"/>
            <w:sz w:val="24"/>
            <w:szCs w:val="24"/>
          </w:rPr>
          <m:t>100</m:t>
        </m:r>
      </m:oMath>
      <w:r>
        <w:rPr>
          <w:rFonts w:ascii="Arial" w:hAnsi="Arial" w:cs="Arial"/>
          <w:sz w:val="24"/>
          <w:szCs w:val="24"/>
        </w:rPr>
        <w:t xml:space="preserve"> ; Avec X</w:t>
      </w:r>
      <w:r>
        <w:rPr>
          <w:rFonts w:ascii="Arial" w:hAnsi="Arial" w:cs="Arial"/>
          <w:sz w:val="24"/>
          <w:szCs w:val="24"/>
          <w:vertAlign w:val="subscript"/>
        </w:rPr>
        <w:t>t</w:t>
      </w:r>
      <w:r>
        <w:rPr>
          <w:rFonts w:ascii="Arial" w:hAnsi="Arial" w:cs="Arial"/>
          <w:sz w:val="24"/>
          <w:szCs w:val="24"/>
        </w:rPr>
        <w:t xml:space="preserve"> exportation de l’année de base et X</w:t>
      </w:r>
      <w:r>
        <w:rPr>
          <w:rFonts w:ascii="Arial" w:hAnsi="Arial" w:cs="Arial"/>
          <w:sz w:val="24"/>
          <w:szCs w:val="24"/>
          <w:vertAlign w:val="subscript"/>
        </w:rPr>
        <w:t xml:space="preserve">t+1 </w:t>
      </w:r>
      <w:r>
        <w:rPr>
          <w:rFonts w:ascii="Arial" w:hAnsi="Arial" w:cs="Arial"/>
          <w:sz w:val="24"/>
          <w:szCs w:val="24"/>
        </w:rPr>
        <w:t xml:space="preserve">l’exportation de la période t+1. </w:t>
      </w:r>
    </w:p>
    <w:p w14:paraId="180F3297" w14:textId="77777777" w:rsidR="008862C7" w:rsidRDefault="008862C7" w:rsidP="008862C7">
      <w:pPr>
        <w:pStyle w:val="Notedebasdepage"/>
        <w:spacing w:line="360" w:lineRule="auto"/>
        <w:jc w:val="both"/>
        <w:rPr>
          <w:sz w:val="24"/>
          <w:szCs w:val="24"/>
        </w:rPr>
      </w:pPr>
      <w:r>
        <w:rPr>
          <w:rFonts w:ascii="Arial" w:hAnsi="Arial" w:cs="Arial"/>
          <w:sz w:val="24"/>
          <w:szCs w:val="24"/>
        </w:rPr>
        <w:tab/>
        <w:t xml:space="preserve">Ou plus exactement la croissance de la part du marché du coton centrafricain sur le marché mondial : </w:t>
      </w:r>
      <m:oMath>
        <m:r>
          <w:rPr>
            <w:rFonts w:ascii="Cambria Math" w:hAnsi="Cambria Math" w:cs="Arial"/>
            <w:sz w:val="24"/>
            <w:szCs w:val="24"/>
          </w:rPr>
          <m:t>XPMM</m:t>
        </m:r>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sSub>
                  <m:sSubPr>
                    <m:ctrlPr>
                      <w:rPr>
                        <w:rFonts w:ascii="Cambria Math" w:hAnsi="Arial" w:cs="Arial"/>
                        <w:i/>
                        <w:sz w:val="24"/>
                        <w:szCs w:val="24"/>
                      </w:rPr>
                    </m:ctrlPr>
                  </m:sSubPr>
                  <m:e>
                    <m:r>
                      <w:rPr>
                        <w:rFonts w:ascii="Cambria Math" w:hAnsi="Cambria Math" w:cs="Arial"/>
                        <w:sz w:val="24"/>
                        <w:szCs w:val="24"/>
                      </w:rPr>
                      <m:t>PM</m:t>
                    </m:r>
                  </m:e>
                  <m:sub>
                    <m:r>
                      <w:rPr>
                        <w:rFonts w:ascii="Cambria Math" w:hAnsi="Cambria Math" w:cs="Arial"/>
                        <w:sz w:val="24"/>
                        <w:szCs w:val="24"/>
                      </w:rPr>
                      <m:t>t</m:t>
                    </m:r>
                    <m:r>
                      <w:rPr>
                        <w:rFonts w:ascii="Cambria Math" w:hAnsi="Arial" w:cs="Arial"/>
                        <w:sz w:val="24"/>
                        <w:szCs w:val="24"/>
                      </w:rPr>
                      <m:t>+1</m:t>
                    </m:r>
                  </m:sub>
                </m:sSub>
                <m:r>
                  <w:rPr>
                    <w:rFonts w:ascii="Cambria Math" w:hAnsi="Cambria Math" w:cs="Arial"/>
                    <w:sz w:val="24"/>
                    <w:szCs w:val="24"/>
                  </w:rPr>
                  <m:t>-</m:t>
                </m:r>
                <m:r>
                  <w:rPr>
                    <w:rFonts w:ascii="Cambria Math" w:hAnsi="Arial" w:cs="Arial"/>
                    <w:sz w:val="24"/>
                    <w:szCs w:val="24"/>
                  </w:rPr>
                  <m:t xml:space="preserve"> </m:t>
                </m:r>
                <m:r>
                  <w:rPr>
                    <w:rFonts w:ascii="Cambria Math" w:hAnsi="Cambria Math" w:cs="Arial"/>
                    <w:sz w:val="24"/>
                    <w:szCs w:val="24"/>
                  </w:rPr>
                  <m:t>PM</m:t>
                </m:r>
              </m:e>
              <m:sub>
                <m:r>
                  <w:rPr>
                    <w:rFonts w:ascii="Cambria Math" w:hAnsi="Cambria Math" w:cs="Arial"/>
                    <w:sz w:val="24"/>
                    <w:szCs w:val="24"/>
                  </w:rPr>
                  <m:t>t</m:t>
                </m:r>
              </m:sub>
            </m:sSub>
          </m:num>
          <m:den>
            <m:sSub>
              <m:sSubPr>
                <m:ctrlPr>
                  <w:rPr>
                    <w:rFonts w:ascii="Cambria Math" w:hAnsi="Arial" w:cs="Arial"/>
                    <w:i/>
                    <w:sz w:val="24"/>
                    <w:szCs w:val="24"/>
                  </w:rPr>
                </m:ctrlPr>
              </m:sSubPr>
              <m:e>
                <m:r>
                  <w:rPr>
                    <w:rFonts w:ascii="Cambria Math" w:hAnsi="Cambria Math" w:cs="Arial"/>
                    <w:sz w:val="24"/>
                    <w:szCs w:val="24"/>
                  </w:rPr>
                  <m:t>PM</m:t>
                </m:r>
              </m:e>
              <m:sub>
                <m:r>
                  <w:rPr>
                    <w:rFonts w:ascii="Cambria Math" w:hAnsi="Cambria Math" w:cs="Arial"/>
                    <w:sz w:val="24"/>
                    <w:szCs w:val="24"/>
                  </w:rPr>
                  <m:t>t</m:t>
                </m:r>
                <m:r>
                  <w:rPr>
                    <w:rFonts w:ascii="Cambria Math" w:hAnsi="Arial" w:cs="Arial"/>
                    <w:sz w:val="24"/>
                    <w:szCs w:val="24"/>
                  </w:rPr>
                  <m:t>+1</m:t>
                </m:r>
              </m:sub>
            </m:sSub>
          </m:den>
        </m:f>
        <m:r>
          <w:rPr>
            <w:rFonts w:ascii="Cambria Math" w:hAnsi="Cambria Math" w:cs="Arial"/>
            <w:sz w:val="24"/>
            <w:szCs w:val="24"/>
          </w:rPr>
          <m:t>×</m:t>
        </m:r>
        <m:r>
          <w:rPr>
            <w:rFonts w:ascii="Cambria Math" w:hAnsi="Arial" w:cs="Arial"/>
            <w:sz w:val="24"/>
            <w:szCs w:val="24"/>
          </w:rPr>
          <m:t xml:space="preserve">100 </m:t>
        </m:r>
      </m:oMath>
      <w:r>
        <w:rPr>
          <w:rFonts w:ascii="Arial" w:hAnsi="Arial" w:cs="Arial"/>
          <w:sz w:val="24"/>
          <w:szCs w:val="24"/>
        </w:rPr>
        <w:t xml:space="preserve">où PM est un indicateur de spécialisation qui se calcule de la manière suivante : </w:t>
      </w:r>
      <m:oMath>
        <m:sSub>
          <m:sSubPr>
            <m:ctrlPr>
              <w:rPr>
                <w:rFonts w:ascii="Cambria Math" w:hAnsi="Arial" w:cs="Arial"/>
                <w:b/>
                <w:i/>
                <w:sz w:val="24"/>
                <w:szCs w:val="24"/>
              </w:rPr>
            </m:ctrlPr>
          </m:sSubPr>
          <m:e>
            <m:r>
              <m:rPr>
                <m:sty m:val="bi"/>
              </m:rPr>
              <w:rPr>
                <w:rFonts w:ascii="Cambria Math" w:hAnsi="Cambria Math" w:cs="Arial"/>
                <w:sz w:val="24"/>
                <w:szCs w:val="24"/>
              </w:rPr>
              <m:t>PM</m:t>
            </m:r>
          </m:e>
          <m:sub>
            <m:r>
              <m:rPr>
                <m:sty m:val="bi"/>
              </m:rPr>
              <w:rPr>
                <w:rFonts w:ascii="Cambria Math" w:hAnsi="Cambria Math" w:cs="Arial"/>
                <w:sz w:val="24"/>
                <w:szCs w:val="24"/>
              </w:rPr>
              <m:t>ij</m:t>
            </m:r>
          </m:sub>
        </m:sSub>
        <m:r>
          <m:rPr>
            <m:sty m:val="bi"/>
          </m:rPr>
          <w:rPr>
            <w:rFonts w:ascii="Cambria Math" w:hAnsi="Arial" w:cs="Arial"/>
            <w:sz w:val="24"/>
            <w:szCs w:val="24"/>
          </w:rPr>
          <m:t xml:space="preserve"> </m:t>
        </m:r>
        <m:r>
          <m:rPr>
            <m:sty m:val="bi"/>
          </m:rPr>
          <w:rPr>
            <w:rFonts w:ascii="Cambria Math" w:hAnsi="Cambria Math" w:cs="Arial"/>
            <w:sz w:val="24"/>
            <w:szCs w:val="24"/>
          </w:rPr>
          <m:t xml:space="preserve">= </m:t>
        </m:r>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k</m:t>
                </m:r>
                <m:d>
                  <m:dPr>
                    <m:ctrlPr>
                      <w:rPr>
                        <w:rFonts w:ascii="Cambria Math" w:hAnsi="Cambria Math"/>
                        <w:b/>
                        <w:i/>
                        <w:sz w:val="24"/>
                        <w:szCs w:val="24"/>
                      </w:rPr>
                    </m:ctrlPr>
                  </m:dPr>
                  <m:e>
                    <m:r>
                      <m:rPr>
                        <m:sty m:val="bi"/>
                      </m:rPr>
                      <w:rPr>
                        <w:rFonts w:ascii="Cambria Math" w:hAnsi="Cambria Math"/>
                        <w:sz w:val="24"/>
                        <w:szCs w:val="24"/>
                      </w:rPr>
                      <m:t>i</m:t>
                    </m:r>
                  </m:e>
                </m:d>
              </m:sub>
            </m:sSub>
          </m:num>
          <m:den>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k(w)</m:t>
                </m:r>
              </m:sub>
            </m:sSub>
          </m:den>
        </m:f>
      </m:oMath>
      <w:r>
        <w:rPr>
          <w:rFonts w:ascii="Arial" w:eastAsia="Times New Roman" w:hAnsi="Arial" w:cs="Arial"/>
          <w:b/>
          <w:sz w:val="24"/>
          <w:szCs w:val="24"/>
        </w:rPr>
        <w:t> </w:t>
      </w:r>
      <w:r>
        <w:rPr>
          <w:rFonts w:ascii="Arial" w:eastAsia="Times New Roman" w:hAnsi="Arial" w:cs="Arial"/>
          <w:sz w:val="24"/>
          <w:szCs w:val="24"/>
        </w:rPr>
        <w:t>, la part du marché de coton du pays i. où :</w:t>
      </w:r>
    </w:p>
    <w:p w14:paraId="1A147E1C" w14:textId="77777777" w:rsidR="008862C7" w:rsidRDefault="008862C7" w:rsidP="008862C7">
      <w:pPr>
        <w:pStyle w:val="Notedebasdepage"/>
        <w:spacing w:line="360" w:lineRule="auto"/>
        <w:rPr>
          <w:i/>
          <w:sz w:val="24"/>
          <w:szCs w:val="24"/>
        </w:rPr>
      </w:pPr>
      <w:r>
        <w:rPr>
          <w:rFonts w:ascii="Cambria Math" w:hAnsi="Cambria Math"/>
          <w:i/>
          <w:sz w:val="24"/>
          <w:szCs w:val="24"/>
        </w:rPr>
        <w:lastRenderedPageBreak/>
        <w:tab/>
        <w:t>X</w:t>
      </w:r>
      <w:r>
        <w:rPr>
          <w:rFonts w:ascii="Cambria Math" w:hAnsi="Cambria Math"/>
          <w:i/>
          <w:sz w:val="24"/>
          <w:szCs w:val="24"/>
          <w:vertAlign w:val="subscript"/>
        </w:rPr>
        <w:t>k(i) </w:t>
      </w:r>
      <w:r>
        <w:rPr>
          <w:rFonts w:ascii="Cambria Math" w:hAnsi="Cambria Math"/>
          <w:i/>
          <w:sz w:val="24"/>
          <w:szCs w:val="24"/>
        </w:rPr>
        <w:t>:</w:t>
      </w:r>
      <w:r>
        <w:rPr>
          <w:rFonts w:ascii="Cambria Math" w:hAnsi="Cambria Math"/>
          <w:b/>
          <w:i/>
          <w:sz w:val="24"/>
          <w:szCs w:val="24"/>
        </w:rPr>
        <w:t xml:space="preserve"> </w:t>
      </w:r>
      <w:r>
        <w:rPr>
          <w:rFonts w:ascii="Arial" w:hAnsi="Arial" w:cs="Arial"/>
          <w:sz w:val="24"/>
          <w:szCs w:val="24"/>
        </w:rPr>
        <w:t xml:space="preserve">les exportations du bien </w:t>
      </w:r>
      <w:r>
        <w:rPr>
          <w:rFonts w:ascii="Cambria Math" w:hAnsi="Cambria Math" w:cs="Arial"/>
          <w:i/>
          <w:sz w:val="24"/>
          <w:szCs w:val="24"/>
        </w:rPr>
        <w:t>k</w:t>
      </w:r>
      <w:r>
        <w:rPr>
          <w:rFonts w:ascii="Arial" w:hAnsi="Arial" w:cs="Arial"/>
          <w:sz w:val="24"/>
          <w:szCs w:val="24"/>
        </w:rPr>
        <w:t xml:space="preserve"> (le coton) du pays </w:t>
      </w:r>
      <w:r>
        <w:rPr>
          <w:rFonts w:ascii="Cambria Math" w:hAnsi="Cambria Math" w:cs="Arial"/>
          <w:i/>
          <w:sz w:val="24"/>
          <w:szCs w:val="24"/>
        </w:rPr>
        <w:t>i</w:t>
      </w:r>
      <w:r>
        <w:rPr>
          <w:rFonts w:ascii="Cambria Math" w:hAnsi="Cambria Math" w:cs="Arial"/>
          <w:b/>
          <w:i/>
          <w:sz w:val="24"/>
          <w:szCs w:val="24"/>
        </w:rPr>
        <w:t xml:space="preserve"> </w:t>
      </w:r>
      <w:r>
        <w:rPr>
          <w:rFonts w:ascii="Arial" w:hAnsi="Arial" w:cs="Arial"/>
          <w:sz w:val="24"/>
          <w:szCs w:val="24"/>
        </w:rPr>
        <w:t xml:space="preserve">au monde </w:t>
      </w:r>
      <w:r>
        <w:rPr>
          <w:rFonts w:ascii="Cambria Math" w:hAnsi="Cambria Math" w:cs="Arial"/>
          <w:i/>
          <w:sz w:val="24"/>
          <w:szCs w:val="24"/>
        </w:rPr>
        <w:t>w</w:t>
      </w:r>
      <w:r>
        <w:rPr>
          <w:rFonts w:hint="eastAsia"/>
          <w:i/>
          <w:sz w:val="24"/>
          <w:szCs w:val="24"/>
        </w:rPr>
        <w:t> ;</w:t>
      </w:r>
    </w:p>
    <w:p w14:paraId="1F36B4F1" w14:textId="77777777" w:rsidR="008862C7" w:rsidRDefault="008862C7" w:rsidP="008862C7">
      <w:pPr>
        <w:pStyle w:val="Notedebasdepage"/>
        <w:spacing w:line="360" w:lineRule="auto"/>
        <w:rPr>
          <w:i/>
          <w:sz w:val="24"/>
          <w:szCs w:val="24"/>
        </w:rPr>
      </w:pPr>
      <w:r>
        <w:rPr>
          <w:rFonts w:ascii="Cambria Math" w:hAnsi="Cambria Math"/>
          <w:i/>
          <w:sz w:val="24"/>
          <w:szCs w:val="24"/>
        </w:rPr>
        <w:tab/>
        <w:t>X</w:t>
      </w:r>
      <w:r>
        <w:rPr>
          <w:rFonts w:ascii="Cambria Math" w:hAnsi="Cambria Math"/>
          <w:i/>
          <w:sz w:val="24"/>
          <w:szCs w:val="24"/>
          <w:vertAlign w:val="subscript"/>
        </w:rPr>
        <w:t>k(w) </w:t>
      </w:r>
      <w:r>
        <w:rPr>
          <w:rFonts w:ascii="Cambria Math" w:hAnsi="Cambria Math"/>
          <w:i/>
          <w:sz w:val="24"/>
          <w:szCs w:val="24"/>
        </w:rPr>
        <w:t>:</w:t>
      </w:r>
      <w:r>
        <w:rPr>
          <w:rFonts w:ascii="Cambria Math" w:hAnsi="Cambria Math"/>
          <w:b/>
          <w:i/>
          <w:sz w:val="24"/>
          <w:szCs w:val="24"/>
        </w:rPr>
        <w:t xml:space="preserve"> </w:t>
      </w:r>
      <w:r>
        <w:rPr>
          <w:rFonts w:ascii="Arial" w:hAnsi="Arial" w:cs="Arial"/>
          <w:sz w:val="24"/>
          <w:szCs w:val="24"/>
        </w:rPr>
        <w:t>les exportations du bien</w:t>
      </w:r>
      <w:r>
        <w:rPr>
          <w:rFonts w:hint="eastAsia"/>
          <w:sz w:val="24"/>
          <w:szCs w:val="24"/>
        </w:rPr>
        <w:t xml:space="preserve"> </w:t>
      </w:r>
      <w:r>
        <w:rPr>
          <w:rFonts w:ascii="Cambria Math" w:hAnsi="Cambria Math"/>
          <w:i/>
          <w:sz w:val="24"/>
          <w:szCs w:val="24"/>
        </w:rPr>
        <w:t>k</w:t>
      </w:r>
      <w:r>
        <w:rPr>
          <w:rFonts w:hint="eastAsia"/>
          <w:sz w:val="24"/>
          <w:szCs w:val="24"/>
        </w:rPr>
        <w:t xml:space="preserve">  </w:t>
      </w:r>
      <w:r>
        <w:rPr>
          <w:rFonts w:ascii="Arial" w:hAnsi="Arial" w:cs="Arial"/>
          <w:sz w:val="24"/>
          <w:szCs w:val="24"/>
        </w:rPr>
        <w:t>(le coton) par le monde</w:t>
      </w:r>
      <w:r>
        <w:rPr>
          <w:rFonts w:hint="eastAsia"/>
          <w:sz w:val="24"/>
          <w:szCs w:val="24"/>
        </w:rPr>
        <w:t xml:space="preserve"> </w:t>
      </w:r>
      <w:r>
        <w:rPr>
          <w:rFonts w:ascii="Cambria Math" w:hAnsi="Cambria Math"/>
          <w:i/>
          <w:sz w:val="24"/>
          <w:szCs w:val="24"/>
        </w:rPr>
        <w:t>w</w:t>
      </w:r>
      <w:r>
        <w:rPr>
          <w:rFonts w:hint="eastAsia"/>
          <w:i/>
          <w:sz w:val="24"/>
          <w:szCs w:val="24"/>
        </w:rPr>
        <w:t xml:space="preserve">. </w:t>
      </w:r>
    </w:p>
    <w:p w14:paraId="10C840F1" w14:textId="77777777" w:rsidR="008862C7" w:rsidRDefault="00EA1CF0" w:rsidP="008862C7">
      <w:pPr>
        <w:pStyle w:val="Paragraphedeliste"/>
        <w:numPr>
          <w:ilvl w:val="0"/>
          <w:numId w:val="21"/>
        </w:numPr>
        <w:spacing w:after="0" w:line="360" w:lineRule="auto"/>
        <w:jc w:val="both"/>
        <w:rPr>
          <w:rFonts w:ascii="Arial" w:hAnsi="Arial" w:cs="Arial"/>
          <w:b/>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PMC</m:t>
            </m:r>
          </m:e>
          <m:sub>
            <m:r>
              <m:rPr>
                <m:sty m:val="bi"/>
              </m:rPr>
              <w:rPr>
                <w:rFonts w:ascii="Cambria Math" w:hAnsi="Cambria Math" w:cs="Arial"/>
                <w:sz w:val="24"/>
                <w:szCs w:val="24"/>
              </w:rPr>
              <m:t xml:space="preserve">ij  </m:t>
            </m:r>
          </m:sub>
        </m:sSub>
        <m:r>
          <m:rPr>
            <m:sty m:val="bi"/>
          </m:rPr>
          <w:rPr>
            <w:rFonts w:ascii="Cambria Math" w:hAnsi="Cambria Math" w:cs="Arial"/>
            <w:sz w:val="24"/>
            <w:szCs w:val="24"/>
          </w:rPr>
          <m:t xml:space="preserve">= </m:t>
        </m:r>
        <m:f>
          <m:fPr>
            <m:ctrlPr>
              <w:rPr>
                <w:rFonts w:ascii="Cambria Math" w:hAnsi="Cambria Math" w:cs="Arial"/>
                <w:b/>
                <w:i/>
                <w:sz w:val="24"/>
                <w:szCs w:val="24"/>
              </w:rPr>
            </m:ctrlPr>
          </m:fPr>
          <m:num>
            <m:sSub>
              <m:sSubPr>
                <m:ctrlPr>
                  <w:rPr>
                    <w:rFonts w:ascii="Cambria Math" w:hAnsi="Cambria Math" w:cs="Arial"/>
                    <w:b/>
                    <w:i/>
                    <w:sz w:val="24"/>
                    <w:szCs w:val="24"/>
                  </w:rPr>
                </m:ctrlPr>
              </m:sSubPr>
              <m:e>
                <m:r>
                  <m:rPr>
                    <m:sty m:val="bi"/>
                  </m:rPr>
                  <w:rPr>
                    <w:rFonts w:ascii="Cambria Math" w:hAnsi="Cambria Math" w:cs="Arial"/>
                    <w:sz w:val="24"/>
                    <w:szCs w:val="24"/>
                  </w:rPr>
                  <m:t>P</m:t>
                </m:r>
              </m:e>
              <m:sub>
                <m:r>
                  <m:rPr>
                    <m:sty m:val="bi"/>
                  </m:rPr>
                  <w:rPr>
                    <w:rFonts w:ascii="Cambria Math" w:hAnsi="Cambria Math" w:cs="Arial"/>
                    <w:sz w:val="24"/>
                    <w:szCs w:val="24"/>
                  </w:rPr>
                  <m:t>kij</m:t>
                </m:r>
              </m:sub>
            </m:sSub>
          </m:num>
          <m:den>
            <m:sSub>
              <m:sSubPr>
                <m:ctrlPr>
                  <w:rPr>
                    <w:rFonts w:ascii="Cambria Math" w:hAnsi="Cambria Math" w:cs="Arial"/>
                    <w:b/>
                    <w:i/>
                    <w:sz w:val="24"/>
                    <w:szCs w:val="24"/>
                  </w:rPr>
                </m:ctrlPr>
              </m:sSubPr>
              <m:e>
                <m:acc>
                  <m:accPr>
                    <m:chr m:val="̅"/>
                    <m:ctrlPr>
                      <w:rPr>
                        <w:rFonts w:ascii="Cambria Math" w:hAnsi="Cambria Math" w:cs="Arial"/>
                        <w:b/>
                        <w:i/>
                        <w:sz w:val="24"/>
                        <w:szCs w:val="24"/>
                      </w:rPr>
                    </m:ctrlPr>
                  </m:accPr>
                  <m:e>
                    <m:r>
                      <m:rPr>
                        <m:sty m:val="bi"/>
                      </m:rPr>
                      <w:rPr>
                        <w:rFonts w:ascii="Cambria Math" w:hAnsi="Cambria Math" w:cs="Arial"/>
                        <w:sz w:val="24"/>
                        <w:szCs w:val="24"/>
                      </w:rPr>
                      <m:t>P</m:t>
                    </m:r>
                  </m:e>
                </m:acc>
              </m:e>
              <m:sub>
                <m:r>
                  <m:rPr>
                    <m:sty m:val="bi"/>
                  </m:rPr>
                  <w:rPr>
                    <w:rFonts w:ascii="Cambria Math" w:hAnsi="Cambria Math" w:cs="Arial"/>
                    <w:sz w:val="24"/>
                    <w:szCs w:val="24"/>
                  </w:rPr>
                  <m:t>ij</m:t>
                </m:r>
              </m:sub>
            </m:sSub>
          </m:den>
        </m:f>
      </m:oMath>
      <w:r w:rsidR="008862C7">
        <w:rPr>
          <w:rFonts w:ascii="Cambria Math" w:hAnsi="Cambria Math" w:cs="Arial"/>
          <w:b/>
          <w:i/>
          <w:sz w:val="24"/>
          <w:szCs w:val="24"/>
        </w:rPr>
        <w:t xml:space="preserve"> : </w:t>
      </w:r>
      <w:r w:rsidR="008862C7">
        <w:rPr>
          <w:rFonts w:ascii="Arial" w:hAnsi="Arial" w:cs="Arial"/>
          <w:sz w:val="24"/>
          <w:szCs w:val="24"/>
        </w:rPr>
        <w:t>Le rapport du prix de la qualité</w:t>
      </w:r>
      <w:r w:rsidR="008862C7">
        <w:rPr>
          <w:rFonts w:ascii="Cambria Math" w:hAnsi="Cambria Math" w:cs="Arial"/>
          <w:i/>
          <w:sz w:val="24"/>
          <w:szCs w:val="24"/>
        </w:rPr>
        <w:t xml:space="preserve"> k </w:t>
      </w:r>
      <w:r w:rsidR="008862C7">
        <w:rPr>
          <w:rFonts w:ascii="Arial" w:hAnsi="Arial" w:cs="Arial"/>
          <w:sz w:val="24"/>
          <w:szCs w:val="24"/>
        </w:rPr>
        <w:t>du coton du pays</w:t>
      </w:r>
      <w:r w:rsidR="008862C7">
        <w:rPr>
          <w:rFonts w:ascii="Cambria Math" w:hAnsi="Cambria Math" w:cs="Arial"/>
          <w:i/>
          <w:sz w:val="24"/>
          <w:szCs w:val="24"/>
        </w:rPr>
        <w:t xml:space="preserve"> i </w:t>
      </w:r>
      <w:r w:rsidR="008862C7">
        <w:rPr>
          <w:rFonts w:ascii="Arial" w:hAnsi="Arial" w:cs="Arial"/>
          <w:sz w:val="24"/>
          <w:szCs w:val="24"/>
        </w:rPr>
        <w:t>vendu au pays</w:t>
      </w:r>
      <w:r w:rsidR="008862C7">
        <w:rPr>
          <w:rFonts w:ascii="Cambria Math" w:hAnsi="Cambria Math" w:cs="Arial"/>
          <w:i/>
          <w:sz w:val="24"/>
          <w:szCs w:val="24"/>
        </w:rPr>
        <w:t xml:space="preserve"> j </w:t>
      </w:r>
      <w:r w:rsidR="008862C7">
        <w:rPr>
          <w:rFonts w:ascii="Arial" w:hAnsi="Arial" w:cs="Arial"/>
          <w:sz w:val="24"/>
          <w:szCs w:val="24"/>
        </w:rPr>
        <w:t>sur le prix moyen de ces exportations en coton.</w:t>
      </w:r>
    </w:p>
    <w:p w14:paraId="6D702AA6"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PFS</m:t>
            </m:r>
          </m:e>
          <m:sub>
            <m:r>
              <m:rPr>
                <m:sty m:val="bi"/>
              </m:rPr>
              <w:rPr>
                <w:rFonts w:ascii="Cambria Math" w:hAnsi="Cambria Math" w:cs="Arial"/>
                <w:sz w:val="24"/>
                <w:szCs w:val="24"/>
              </w:rPr>
              <m:t>it </m:t>
            </m:r>
          </m:sub>
        </m:sSub>
      </m:oMath>
      <w:r w:rsidR="008862C7">
        <w:rPr>
          <w:rFonts w:ascii="Arial" w:hAnsi="Arial" w:cs="Arial"/>
          <w:b/>
          <w:sz w:val="24"/>
          <w:szCs w:val="24"/>
        </w:rPr>
        <w:t xml:space="preserve">: </w:t>
      </w:r>
      <w:r w:rsidR="008862C7">
        <w:rPr>
          <w:rFonts w:ascii="Arial" w:hAnsi="Arial" w:cs="Arial"/>
          <w:sz w:val="24"/>
          <w:szCs w:val="24"/>
        </w:rPr>
        <w:t>Prix des fibres synthétiques (polyesters) exprimés en cents US/livre. Ces fibres synthètiques sont des produits concurrents au coton-fibre. Plus leurs prix augmentent plus les exportations du coton augmentent.</w:t>
      </w:r>
    </w:p>
    <w:p w14:paraId="03211EFD" w14:textId="77777777" w:rsidR="008862C7" w:rsidRDefault="00EA1CF0" w:rsidP="008862C7">
      <w:pPr>
        <w:pStyle w:val="Paragraphedeliste"/>
        <w:numPr>
          <w:ilvl w:val="0"/>
          <w:numId w:val="21"/>
        </w:numPr>
        <w:spacing w:after="0" w:line="360" w:lineRule="auto"/>
        <w:jc w:val="both"/>
        <w:rPr>
          <w:rFonts w:ascii="Cambria Math" w:hAnsi="Cambria Math" w:cs="Arial"/>
          <w:b/>
          <w:i/>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QUA</m:t>
            </m:r>
          </m:e>
          <m:sub>
            <m:r>
              <m:rPr>
                <m:sty m:val="bi"/>
              </m:rPr>
              <w:rPr>
                <w:rFonts w:ascii="Cambria Math" w:hAnsi="Cambria Math" w:cs="Arial"/>
                <w:sz w:val="24"/>
                <w:szCs w:val="24"/>
              </w:rPr>
              <m:t>ij</m:t>
            </m:r>
          </m:sub>
        </m:sSub>
      </m:oMath>
      <w:r w:rsidR="008862C7">
        <w:rPr>
          <w:rFonts w:ascii="Cambria Math" w:hAnsi="Cambria Math" w:cs="Arial"/>
          <w:b/>
          <w:i/>
          <w:sz w:val="24"/>
          <w:szCs w:val="24"/>
        </w:rPr>
        <w:t xml:space="preserve"> =  </w:t>
      </w:r>
      <m:oMath>
        <m:f>
          <m:fPr>
            <m:ctrlPr>
              <w:rPr>
                <w:rFonts w:ascii="Cambria Math" w:hAnsi="Arial" w:cs="Arial"/>
                <w:b/>
                <w:i/>
                <w:sz w:val="24"/>
                <w:szCs w:val="24"/>
              </w:rPr>
            </m:ctrlPr>
          </m:fPr>
          <m:num>
            <m:sSub>
              <m:sSubPr>
                <m:ctrlPr>
                  <w:rPr>
                    <w:rFonts w:ascii="Cambria Math" w:hAnsi="Arial" w:cs="Arial"/>
                    <w:b/>
                    <w:i/>
                    <w:sz w:val="24"/>
                    <w:szCs w:val="24"/>
                  </w:rPr>
                </m:ctrlPr>
              </m:sSubPr>
              <m:e>
                <m:acc>
                  <m:accPr>
                    <m:chr m:val="̅"/>
                    <m:ctrlPr>
                      <w:rPr>
                        <w:rFonts w:ascii="Cambria Math" w:hAnsi="Arial" w:cs="Arial"/>
                        <w:b/>
                        <w:i/>
                        <w:sz w:val="24"/>
                        <w:szCs w:val="24"/>
                      </w:rPr>
                    </m:ctrlPr>
                  </m:accPr>
                  <m:e>
                    <m:r>
                      <m:rPr>
                        <m:sty m:val="bi"/>
                      </m:rPr>
                      <w:rPr>
                        <w:rFonts w:ascii="Cambria Math" w:hAnsi="Arial" w:cs="Arial"/>
                        <w:sz w:val="24"/>
                        <w:szCs w:val="24"/>
                      </w:rPr>
                      <m:t>PME</m:t>
                    </m:r>
                  </m:e>
                </m:acc>
              </m:e>
              <m:sub>
                <m:r>
                  <m:rPr>
                    <m:sty m:val="bi"/>
                  </m:rPr>
                  <w:rPr>
                    <w:rFonts w:ascii="Cambria Math" w:hAnsi="Cambria Math" w:cs="Arial"/>
                    <w:sz w:val="24"/>
                    <w:szCs w:val="24"/>
                  </w:rPr>
                  <m:t>kit</m:t>
                </m:r>
              </m:sub>
            </m:sSub>
          </m:num>
          <m:den>
            <m:sSub>
              <m:sSubPr>
                <m:ctrlPr>
                  <w:rPr>
                    <w:rFonts w:ascii="Cambria Math" w:hAnsi="Arial" w:cs="Arial"/>
                    <w:b/>
                    <w:i/>
                    <w:sz w:val="24"/>
                    <w:szCs w:val="24"/>
                  </w:rPr>
                </m:ctrlPr>
              </m:sSubPr>
              <m:e>
                <m:acc>
                  <m:accPr>
                    <m:chr m:val="̅"/>
                    <m:ctrlPr>
                      <w:rPr>
                        <w:rFonts w:ascii="Cambria Math" w:hAnsi="Arial" w:cs="Arial"/>
                        <w:b/>
                        <w:i/>
                        <w:sz w:val="24"/>
                        <w:szCs w:val="24"/>
                      </w:rPr>
                    </m:ctrlPr>
                  </m:accPr>
                  <m:e>
                    <m:r>
                      <m:rPr>
                        <m:sty m:val="bi"/>
                      </m:rPr>
                      <w:rPr>
                        <w:rFonts w:ascii="Cambria Math" w:hAnsi="Cambria Math" w:cs="Arial"/>
                        <w:sz w:val="24"/>
                        <w:szCs w:val="24"/>
                      </w:rPr>
                      <m:t>PMC</m:t>
                    </m:r>
                  </m:e>
                </m:acc>
              </m:e>
              <m:sub>
                <m:r>
                  <m:rPr>
                    <m:sty m:val="bi"/>
                  </m:rPr>
                  <w:rPr>
                    <w:rFonts w:ascii="Cambria Math" w:hAnsi="Cambria Math" w:cs="Arial"/>
                    <w:sz w:val="24"/>
                    <w:szCs w:val="24"/>
                  </w:rPr>
                  <m:t>ij</m:t>
                </m:r>
              </m:sub>
            </m:sSub>
          </m:den>
        </m:f>
      </m:oMath>
      <w:r w:rsidR="008862C7">
        <w:rPr>
          <w:rFonts w:ascii="Arial" w:hAnsi="Arial" w:cs="Arial"/>
          <w:sz w:val="24"/>
          <w:szCs w:val="24"/>
        </w:rPr>
        <w:t xml:space="preserve"> : Représente le rapport du prix moyen à l’exportation du coton du pays i avec le prix mondial du coton. il capte l’effet de la qualité </w:t>
      </w:r>
      <w:r w:rsidR="008862C7">
        <w:rPr>
          <w:rFonts w:ascii="Cambria Math" w:hAnsi="Cambria Math" w:cs="Arial"/>
          <w:i/>
          <w:sz w:val="24"/>
          <w:szCs w:val="24"/>
        </w:rPr>
        <w:t>k</w:t>
      </w:r>
      <w:r w:rsidR="008862C7">
        <w:rPr>
          <w:rFonts w:ascii="Arial" w:hAnsi="Arial" w:cs="Arial"/>
          <w:sz w:val="24"/>
          <w:szCs w:val="24"/>
        </w:rPr>
        <w:t xml:space="preserve"> du coton du pays </w:t>
      </w:r>
      <w:r w:rsidR="008862C7">
        <w:rPr>
          <w:rFonts w:ascii="Cambria Math" w:hAnsi="Cambria Math" w:cs="Arial"/>
          <w:i/>
          <w:sz w:val="24"/>
          <w:szCs w:val="24"/>
        </w:rPr>
        <w:t>i</w:t>
      </w:r>
      <w:r w:rsidR="008862C7">
        <w:rPr>
          <w:rFonts w:ascii="Arial" w:hAnsi="Arial" w:cs="Arial"/>
          <w:sz w:val="24"/>
          <w:szCs w:val="24"/>
        </w:rPr>
        <w:t xml:space="preserve"> dans ces parts du marché au près du pays j. Une valeur supérieure à 1 traduit la bonne qualité relative du coton du pays i dans ces exportations. </w:t>
      </w:r>
    </w:p>
    <w:p w14:paraId="28AE8CFA" w14:textId="77777777" w:rsidR="008862C7" w:rsidRDefault="00EA1CF0" w:rsidP="008862C7">
      <w:pPr>
        <w:pStyle w:val="Notedebasdepage"/>
        <w:numPr>
          <w:ilvl w:val="0"/>
          <w:numId w:val="21"/>
        </w:numPr>
        <w:suppressLineNumbers w:val="0"/>
        <w:suppressAutoHyphens w:val="0"/>
        <w:spacing w:after="0" w:line="36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ACR</m:t>
            </m:r>
          </m:e>
          <m:sub>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i, w</m:t>
                </m:r>
              </m:e>
            </m:d>
          </m:sub>
        </m:sSub>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i</m:t>
                            </m:r>
                          </m:e>
                        </m:d>
                      </m:sub>
                    </m:sSub>
                  </m:num>
                  <m:den>
                    <m:sSub>
                      <m:sSubPr>
                        <m:ctrlPr>
                          <w:rPr>
                            <w:rFonts w:ascii="Cambria Math" w:hAnsi="Cambria Math"/>
                            <w:i/>
                            <w:sz w:val="24"/>
                            <w:szCs w:val="24"/>
                          </w:rPr>
                        </m:ctrlPr>
                      </m:sSubPr>
                      <m:e>
                        <m:r>
                          <w:rPr>
                            <w:rFonts w:ascii="Cambria Math" w:hAnsi="Cambria Math"/>
                            <w:sz w:val="24"/>
                            <w:szCs w:val="24"/>
                          </w:rPr>
                          <m:t>TX</m:t>
                        </m:r>
                      </m:e>
                      <m:sub>
                        <m:r>
                          <w:rPr>
                            <w:rFonts w:ascii="Cambria Math" w:hAnsi="Cambria Math"/>
                            <w:sz w:val="24"/>
                            <w:szCs w:val="24"/>
                          </w:rPr>
                          <m:t>i</m:t>
                        </m:r>
                      </m:sub>
                    </m:sSub>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w</m:t>
                            </m:r>
                          </m:e>
                        </m:d>
                      </m:sub>
                    </m:sSub>
                  </m:num>
                  <m:den>
                    <m:sSub>
                      <m:sSubPr>
                        <m:ctrlPr>
                          <w:rPr>
                            <w:rFonts w:ascii="Cambria Math" w:hAnsi="Cambria Math"/>
                            <w:i/>
                            <w:sz w:val="24"/>
                            <w:szCs w:val="24"/>
                          </w:rPr>
                        </m:ctrlPr>
                      </m:sSubPr>
                      <m:e>
                        <m:r>
                          <w:rPr>
                            <w:rFonts w:ascii="Cambria Math" w:hAnsi="Cambria Math"/>
                            <w:sz w:val="24"/>
                            <w:szCs w:val="24"/>
                          </w:rPr>
                          <m:t>TX</m:t>
                        </m:r>
                      </m:e>
                      <m:sub>
                        <m:r>
                          <w:rPr>
                            <w:rFonts w:ascii="Cambria Math" w:hAnsi="Cambria Math"/>
                            <w:sz w:val="24"/>
                            <w:szCs w:val="24"/>
                          </w:rPr>
                          <m:t>w</m:t>
                        </m:r>
                      </m:sub>
                    </m:sSub>
                  </m:den>
                </m:f>
              </m:den>
            </m:f>
          </m:e>
        </m:d>
      </m:oMath>
      <w:r w:rsidR="008862C7">
        <w:rPr>
          <w:rFonts w:hint="eastAsia"/>
          <w:sz w:val="24"/>
          <w:szCs w:val="24"/>
        </w:rPr>
        <w:t xml:space="preserve"> : </w:t>
      </w:r>
      <w:r w:rsidR="008862C7">
        <w:rPr>
          <w:rFonts w:ascii="Arial" w:hAnsi="Arial" w:cs="Arial"/>
          <w:sz w:val="24"/>
          <w:szCs w:val="24"/>
        </w:rPr>
        <w:t>Avantage Comparatif Révélé de Bella Balassa, il représente la spécialisation relative du pays i par rapport au reste du monde pour le produit</w:t>
      </w:r>
      <w:r w:rsidR="008862C7">
        <w:rPr>
          <w:rFonts w:ascii="Cambria Math" w:hAnsi="Cambria Math" w:cs="Arial"/>
          <w:i/>
          <w:sz w:val="24"/>
          <w:szCs w:val="24"/>
        </w:rPr>
        <w:t xml:space="preserve"> k  </w:t>
      </w:r>
      <w:r w:rsidR="008862C7">
        <w:rPr>
          <w:rFonts w:ascii="Arial" w:hAnsi="Arial" w:cs="Arial"/>
          <w:sz w:val="24"/>
          <w:szCs w:val="24"/>
        </w:rPr>
        <w:t>(le coton). Avec :</w:t>
      </w:r>
      <w:r w:rsidR="008862C7">
        <w:rPr>
          <w:rFonts w:hint="eastAsia"/>
          <w:sz w:val="24"/>
          <w:szCs w:val="24"/>
        </w:rPr>
        <w:t xml:space="preserve"> </w:t>
      </w:r>
    </w:p>
    <w:p w14:paraId="4B632E16" w14:textId="77777777" w:rsidR="008862C7" w:rsidRDefault="008862C7" w:rsidP="008862C7">
      <w:pPr>
        <w:pStyle w:val="Notedebasdepage"/>
        <w:spacing w:line="360" w:lineRule="auto"/>
        <w:ind w:left="928"/>
        <w:jc w:val="both"/>
        <w:rPr>
          <w:i/>
          <w:sz w:val="24"/>
          <w:szCs w:val="24"/>
        </w:rPr>
      </w:pPr>
      <w:r>
        <w:rPr>
          <w:rFonts w:ascii="Cambria Math" w:hAnsi="Cambria Math"/>
          <w:i/>
          <w:sz w:val="24"/>
          <w:szCs w:val="24"/>
        </w:rPr>
        <w:t>X</w:t>
      </w:r>
      <w:r>
        <w:rPr>
          <w:rFonts w:ascii="Cambria Math" w:hAnsi="Cambria Math"/>
          <w:i/>
          <w:sz w:val="24"/>
          <w:szCs w:val="24"/>
          <w:vertAlign w:val="subscript"/>
        </w:rPr>
        <w:t>k(i) </w:t>
      </w:r>
      <w:r>
        <w:rPr>
          <w:rFonts w:ascii="Cambria Math" w:hAnsi="Cambria Math"/>
          <w:i/>
          <w:sz w:val="24"/>
          <w:szCs w:val="24"/>
        </w:rPr>
        <w:t xml:space="preserve">: </w:t>
      </w:r>
      <w:r>
        <w:rPr>
          <w:rFonts w:ascii="Arial" w:hAnsi="Arial" w:cs="Arial"/>
          <w:sz w:val="24"/>
          <w:szCs w:val="24"/>
        </w:rPr>
        <w:t xml:space="preserve">les exportations du bien </w:t>
      </w:r>
      <w:r>
        <w:rPr>
          <w:rFonts w:ascii="Cambria Math" w:hAnsi="Cambria Math" w:cs="Arial"/>
          <w:i/>
          <w:sz w:val="24"/>
          <w:szCs w:val="24"/>
        </w:rPr>
        <w:t>k</w:t>
      </w:r>
      <w:r>
        <w:rPr>
          <w:rFonts w:ascii="Arial" w:hAnsi="Arial" w:cs="Arial"/>
          <w:sz w:val="24"/>
          <w:szCs w:val="24"/>
        </w:rPr>
        <w:t xml:space="preserve"> (le coton) du pays </w:t>
      </w:r>
      <w:r>
        <w:rPr>
          <w:rFonts w:ascii="Cambria Math" w:hAnsi="Cambria Math" w:cs="Arial"/>
          <w:i/>
          <w:sz w:val="24"/>
          <w:szCs w:val="24"/>
        </w:rPr>
        <w:t xml:space="preserve">i </w:t>
      </w:r>
      <w:r>
        <w:rPr>
          <w:rFonts w:ascii="Arial" w:hAnsi="Arial" w:cs="Arial"/>
          <w:sz w:val="24"/>
          <w:szCs w:val="24"/>
        </w:rPr>
        <w:t xml:space="preserve">au monde </w:t>
      </w:r>
      <w:r>
        <w:rPr>
          <w:rFonts w:ascii="Cambria Math" w:hAnsi="Cambria Math" w:cs="Arial"/>
          <w:i/>
          <w:sz w:val="24"/>
          <w:szCs w:val="24"/>
        </w:rPr>
        <w:t>w</w:t>
      </w:r>
      <w:r>
        <w:rPr>
          <w:rFonts w:hint="eastAsia"/>
          <w:i/>
          <w:sz w:val="24"/>
          <w:szCs w:val="24"/>
        </w:rPr>
        <w:t> ;</w:t>
      </w:r>
    </w:p>
    <w:p w14:paraId="36EBD59D" w14:textId="77777777" w:rsidR="008862C7" w:rsidRDefault="008862C7" w:rsidP="008862C7">
      <w:pPr>
        <w:pStyle w:val="Notedebasdepage"/>
        <w:spacing w:line="360" w:lineRule="auto"/>
        <w:ind w:left="928"/>
        <w:jc w:val="both"/>
        <w:rPr>
          <w:i/>
          <w:sz w:val="24"/>
          <w:szCs w:val="24"/>
        </w:rPr>
      </w:pPr>
      <w:r>
        <w:rPr>
          <w:rFonts w:ascii="Cambria Math" w:hAnsi="Cambria Math"/>
          <w:i/>
          <w:sz w:val="24"/>
          <w:szCs w:val="24"/>
        </w:rPr>
        <w:t>X</w:t>
      </w:r>
      <w:r>
        <w:rPr>
          <w:rFonts w:ascii="Cambria Math" w:hAnsi="Cambria Math"/>
          <w:i/>
          <w:sz w:val="24"/>
          <w:szCs w:val="24"/>
          <w:vertAlign w:val="subscript"/>
        </w:rPr>
        <w:t>k(w) </w:t>
      </w:r>
      <w:r>
        <w:rPr>
          <w:rFonts w:ascii="Cambria Math" w:hAnsi="Cambria Math"/>
          <w:i/>
          <w:sz w:val="24"/>
          <w:szCs w:val="24"/>
        </w:rPr>
        <w:t xml:space="preserve">: </w:t>
      </w:r>
      <w:r>
        <w:rPr>
          <w:rFonts w:ascii="Arial" w:hAnsi="Arial" w:cs="Arial"/>
          <w:sz w:val="24"/>
          <w:szCs w:val="24"/>
        </w:rPr>
        <w:t>les exportations du bien</w:t>
      </w:r>
      <w:r>
        <w:rPr>
          <w:rFonts w:hint="eastAsia"/>
          <w:sz w:val="24"/>
          <w:szCs w:val="24"/>
        </w:rPr>
        <w:t xml:space="preserve"> </w:t>
      </w:r>
      <w:r>
        <w:rPr>
          <w:rFonts w:ascii="Cambria Math" w:hAnsi="Cambria Math"/>
          <w:i/>
          <w:sz w:val="24"/>
          <w:szCs w:val="24"/>
        </w:rPr>
        <w:t>k</w:t>
      </w:r>
      <w:r>
        <w:rPr>
          <w:rFonts w:hint="eastAsia"/>
          <w:sz w:val="24"/>
          <w:szCs w:val="24"/>
        </w:rPr>
        <w:t xml:space="preserve">  </w:t>
      </w:r>
      <w:r>
        <w:rPr>
          <w:rFonts w:ascii="Arial" w:hAnsi="Arial" w:cs="Arial"/>
          <w:sz w:val="24"/>
          <w:szCs w:val="24"/>
        </w:rPr>
        <w:t>(le coton) par le monde</w:t>
      </w:r>
      <w:r>
        <w:rPr>
          <w:rFonts w:hint="eastAsia"/>
          <w:sz w:val="24"/>
          <w:szCs w:val="24"/>
        </w:rPr>
        <w:t xml:space="preserve"> </w:t>
      </w:r>
      <w:r>
        <w:rPr>
          <w:rFonts w:ascii="Cambria Math" w:hAnsi="Cambria Math"/>
          <w:i/>
          <w:sz w:val="24"/>
          <w:szCs w:val="24"/>
        </w:rPr>
        <w:t>w</w:t>
      </w:r>
      <w:r>
        <w:rPr>
          <w:rFonts w:hint="eastAsia"/>
          <w:i/>
          <w:sz w:val="24"/>
          <w:szCs w:val="24"/>
        </w:rPr>
        <w:t xml:space="preserve">. </w:t>
      </w:r>
    </w:p>
    <w:p w14:paraId="106EB6CA" w14:textId="77777777" w:rsidR="008862C7" w:rsidRDefault="008862C7" w:rsidP="008862C7">
      <w:pPr>
        <w:pStyle w:val="Notedebasdepage"/>
        <w:spacing w:line="360" w:lineRule="auto"/>
        <w:ind w:left="928"/>
        <w:jc w:val="both"/>
        <w:rPr>
          <w:sz w:val="24"/>
          <w:szCs w:val="24"/>
        </w:rPr>
      </w:pPr>
      <w:r>
        <w:rPr>
          <w:rFonts w:ascii="Cambria Math" w:hAnsi="Cambria Math"/>
          <w:i/>
          <w:sz w:val="24"/>
          <w:szCs w:val="24"/>
        </w:rPr>
        <w:t>TX</w:t>
      </w:r>
      <w:r>
        <w:rPr>
          <w:rFonts w:ascii="Cambria Math" w:hAnsi="Cambria Math"/>
          <w:i/>
          <w:sz w:val="24"/>
          <w:szCs w:val="24"/>
          <w:vertAlign w:val="subscript"/>
        </w:rPr>
        <w:t>i</w:t>
      </w:r>
      <w:r>
        <w:rPr>
          <w:rFonts w:ascii="Cambria Math" w:hAnsi="Cambria Math"/>
          <w:i/>
          <w:sz w:val="24"/>
          <w:szCs w:val="24"/>
        </w:rPr>
        <w:t> </w:t>
      </w:r>
      <w:r>
        <w:rPr>
          <w:rFonts w:hint="eastAsia"/>
          <w:sz w:val="24"/>
          <w:szCs w:val="24"/>
        </w:rPr>
        <w:t xml:space="preserve">: </w:t>
      </w:r>
      <w:r>
        <w:rPr>
          <w:rFonts w:ascii="Arial" w:hAnsi="Arial" w:cs="Arial"/>
          <w:sz w:val="24"/>
          <w:szCs w:val="24"/>
        </w:rPr>
        <w:t>Total des exportations du pays</w:t>
      </w:r>
      <w:r>
        <w:rPr>
          <w:rFonts w:hint="eastAsia"/>
          <w:sz w:val="24"/>
          <w:szCs w:val="24"/>
        </w:rPr>
        <w:t xml:space="preserve"> </w:t>
      </w:r>
      <w:r>
        <w:rPr>
          <w:rFonts w:hint="eastAsia"/>
          <w:i/>
          <w:sz w:val="24"/>
          <w:szCs w:val="24"/>
        </w:rPr>
        <w:t>i</w:t>
      </w:r>
      <w:r>
        <w:rPr>
          <w:rFonts w:hint="eastAsia"/>
          <w:sz w:val="24"/>
          <w:szCs w:val="24"/>
        </w:rPr>
        <w:t xml:space="preserve"> </w:t>
      </w:r>
      <w:r>
        <w:rPr>
          <w:rFonts w:ascii="Arial" w:hAnsi="Arial" w:cs="Arial"/>
          <w:sz w:val="24"/>
          <w:szCs w:val="24"/>
        </w:rPr>
        <w:t>au monde.</w:t>
      </w:r>
      <w:r>
        <w:rPr>
          <w:rFonts w:hint="eastAsia"/>
          <w:sz w:val="24"/>
          <w:szCs w:val="24"/>
        </w:rPr>
        <w:t xml:space="preserve"> </w:t>
      </w:r>
    </w:p>
    <w:p w14:paraId="02671331" w14:textId="77777777" w:rsidR="008862C7" w:rsidRDefault="008862C7" w:rsidP="008862C7">
      <w:pPr>
        <w:pStyle w:val="Notedebasdepage"/>
        <w:spacing w:line="360" w:lineRule="auto"/>
        <w:ind w:left="928"/>
        <w:jc w:val="both"/>
        <w:rPr>
          <w:i/>
          <w:sz w:val="24"/>
          <w:szCs w:val="24"/>
        </w:rPr>
      </w:pPr>
      <w:r>
        <w:rPr>
          <w:rFonts w:ascii="Cambria Math" w:hAnsi="Cambria Math"/>
          <w:i/>
          <w:sz w:val="24"/>
          <w:szCs w:val="24"/>
        </w:rPr>
        <w:t>TX</w:t>
      </w:r>
      <w:r>
        <w:rPr>
          <w:rFonts w:ascii="Cambria Math" w:hAnsi="Cambria Math"/>
          <w:i/>
          <w:sz w:val="24"/>
          <w:szCs w:val="24"/>
          <w:vertAlign w:val="subscript"/>
        </w:rPr>
        <w:t>w</w:t>
      </w:r>
      <w:r>
        <w:rPr>
          <w:rFonts w:hint="eastAsia"/>
          <w:sz w:val="24"/>
          <w:szCs w:val="24"/>
        </w:rPr>
        <w:t xml:space="preserve"> : </w:t>
      </w:r>
      <w:r>
        <w:rPr>
          <w:rFonts w:ascii="Arial" w:hAnsi="Arial" w:cs="Arial"/>
          <w:sz w:val="24"/>
          <w:szCs w:val="24"/>
        </w:rPr>
        <w:t>Total des exportations mondiales.</w:t>
      </w:r>
      <w:r>
        <w:rPr>
          <w:rFonts w:hint="eastAsia"/>
          <w:i/>
          <w:sz w:val="24"/>
          <w:szCs w:val="24"/>
        </w:rPr>
        <w:t> </w:t>
      </w:r>
    </w:p>
    <w:p w14:paraId="4757EDEE" w14:textId="77777777" w:rsidR="008862C7" w:rsidRDefault="008862C7" w:rsidP="008862C7">
      <w:pPr>
        <w:pStyle w:val="Notedebasdepage"/>
        <w:spacing w:line="360" w:lineRule="auto"/>
        <w:ind w:left="568"/>
        <w:jc w:val="both"/>
        <w:rPr>
          <w:rFonts w:ascii="Arial" w:hAnsi="Arial" w:cs="Arial"/>
          <w:sz w:val="24"/>
          <w:szCs w:val="24"/>
        </w:rPr>
      </w:pPr>
      <w:r>
        <w:rPr>
          <w:rFonts w:ascii="Arial" w:hAnsi="Arial" w:cs="Arial"/>
          <w:sz w:val="24"/>
          <w:szCs w:val="24"/>
        </w:rPr>
        <w:tab/>
        <w:t>Un indice supérieur à 1 traduit un avantage comparatif de ce pays sur le commerce du coton. Ceci indique que la part des exportations totales du coton dans les exportations totales du pays considéré est supérieure à la moyenne mondiale. On s’attend à un effet positif de cet indice sur les exportations.</w:t>
      </w:r>
    </w:p>
    <w:p w14:paraId="134FA6F9"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CON</m:t>
            </m:r>
          </m:e>
          <m:sub>
            <m:r>
              <m:rPr>
                <m:sty m:val="bi"/>
              </m:rPr>
              <w:rPr>
                <w:rFonts w:ascii="Cambria Math" w:hAnsi="Cambria Math" w:cs="Arial"/>
                <w:sz w:val="24"/>
                <w:szCs w:val="24"/>
              </w:rPr>
              <m:t>ij</m:t>
            </m:r>
          </m:sub>
        </m:sSub>
      </m:oMath>
      <w:r w:rsidR="008862C7">
        <w:rPr>
          <w:rFonts w:ascii="Arial" w:hAnsi="Arial" w:cs="Arial"/>
          <w:b/>
          <w:sz w:val="24"/>
          <w:szCs w:val="24"/>
        </w:rPr>
        <w:t xml:space="preserve"> : </w:t>
      </w:r>
      <w:r w:rsidR="008862C7">
        <w:rPr>
          <w:rFonts w:ascii="Arial" w:hAnsi="Arial" w:cs="Arial"/>
          <w:sz w:val="24"/>
          <w:szCs w:val="24"/>
        </w:rPr>
        <w:t>Traduit les consommations mondiales du coton. Représentant les demandes mondiales. Plus les consommations mondiales augmentent, plus l’exportation aussi. L’effet positif est attendu.</w:t>
      </w:r>
    </w:p>
    <w:p w14:paraId="71C54AF6"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IDE</m:t>
            </m:r>
          </m:e>
          <m:sub>
            <m:r>
              <m:rPr>
                <m:sty m:val="bi"/>
              </m:rPr>
              <w:rPr>
                <w:rFonts w:ascii="Cambria Math" w:hAnsi="Cambria Math" w:cs="Arial"/>
                <w:sz w:val="24"/>
                <w:szCs w:val="24"/>
              </w:rPr>
              <m:t>ij</m:t>
            </m:r>
          </m:sub>
        </m:sSub>
      </m:oMath>
      <w:r w:rsidR="008862C7">
        <w:rPr>
          <w:rFonts w:ascii="Arial" w:hAnsi="Arial" w:cs="Arial"/>
          <w:b/>
          <w:sz w:val="24"/>
          <w:szCs w:val="24"/>
        </w:rPr>
        <w:t xml:space="preserve"> : </w:t>
      </w:r>
      <w:r w:rsidR="008862C7">
        <w:rPr>
          <w:rFonts w:ascii="Arial" w:hAnsi="Arial" w:cs="Arial"/>
          <w:sz w:val="24"/>
          <w:szCs w:val="24"/>
        </w:rPr>
        <w:t>Flux des investissements directs étrangers, c’est un indicateur de la compétitivité structurelle. On s’attend à un impact positif sur les exportations.</w:t>
      </w:r>
    </w:p>
    <w:p w14:paraId="38D9BB86"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TCER</m:t>
            </m:r>
          </m:e>
          <m:sub>
            <m:r>
              <m:rPr>
                <m:sty m:val="bi"/>
              </m:rPr>
              <w:rPr>
                <w:rFonts w:ascii="Cambria Math" w:hAnsi="Cambria Math" w:cs="Arial"/>
                <w:sz w:val="24"/>
                <w:szCs w:val="24"/>
              </w:rPr>
              <m:t>ij</m:t>
            </m:r>
          </m:sub>
        </m:sSub>
      </m:oMath>
      <w:r w:rsidR="008862C7">
        <w:rPr>
          <w:rFonts w:ascii="Arial" w:hAnsi="Arial" w:cs="Arial"/>
          <w:b/>
          <w:sz w:val="24"/>
          <w:szCs w:val="24"/>
        </w:rPr>
        <w:t xml:space="preserve"> : </w:t>
      </w:r>
      <w:r w:rsidR="008862C7">
        <w:rPr>
          <w:rFonts w:ascii="Arial" w:hAnsi="Arial" w:cs="Arial"/>
          <w:sz w:val="24"/>
          <w:szCs w:val="24"/>
        </w:rPr>
        <w:t>Le Taux de Change Effectif Réel, de chaque pays exprimé par rapport au dollar base 100 = 2000. C’est un indicateur de compétitivité prix. L’effet attendu dépend de l’évolution du dollar.</w:t>
      </w:r>
    </w:p>
    <w:p w14:paraId="13FBDCC6"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DIS</m:t>
            </m:r>
          </m:e>
          <m:sub>
            <m:r>
              <m:rPr>
                <m:sty m:val="bi"/>
              </m:rPr>
              <w:rPr>
                <w:rFonts w:ascii="Cambria Math" w:hAnsi="Cambria Math" w:cs="Arial"/>
                <w:sz w:val="24"/>
                <w:szCs w:val="24"/>
              </w:rPr>
              <m:t>ij</m:t>
            </m:r>
          </m:sub>
        </m:sSub>
        <m:r>
          <m:rPr>
            <m:sty m:val="bi"/>
          </m:rPr>
          <w:rPr>
            <w:rFonts w:ascii="Cambria Math" w:hAnsi="Cambria Math" w:cs="Arial"/>
            <w:sz w:val="24"/>
            <w:szCs w:val="24"/>
          </w:rPr>
          <m:t xml:space="preserve"> : </m:t>
        </m:r>
      </m:oMath>
      <w:r w:rsidR="008862C7">
        <w:rPr>
          <w:rFonts w:ascii="Arial" w:hAnsi="Arial" w:cs="Arial"/>
          <w:sz w:val="24"/>
          <w:szCs w:val="24"/>
        </w:rPr>
        <w:t>Rreprésente la distance bilatérale entre le pays i et j car on suppose que les coûts de transport sont une fonction décroissante de la compétitivité. Elle prend la valeur 1 ou 0 selon que c’est un pays côtier ou non. On s’attend à un effet inverse sur la compétitivité. C’est-à-dire plus elle est grande plus la compétitivité prix se trouve réduit.</w:t>
      </w:r>
    </w:p>
    <w:p w14:paraId="40514A48"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SUB</m:t>
            </m:r>
          </m:e>
          <m:sub>
            <m:r>
              <m:rPr>
                <m:sty m:val="bi"/>
              </m:rPr>
              <w:rPr>
                <w:rFonts w:ascii="Cambria Math" w:hAnsi="Cambria Math" w:cs="Arial"/>
                <w:sz w:val="24"/>
                <w:szCs w:val="24"/>
              </w:rPr>
              <m:t>ij</m:t>
            </m:r>
          </m:sub>
        </m:sSub>
        <m:r>
          <w:rPr>
            <w:rFonts w:ascii="Cambria Math" w:hAnsi="Cambria Math" w:cs="Arial"/>
            <w:sz w:val="24"/>
            <w:szCs w:val="24"/>
          </w:rPr>
          <m:t xml:space="preserve">  </m:t>
        </m:r>
      </m:oMath>
      <w:r w:rsidR="008862C7">
        <w:rPr>
          <w:rFonts w:ascii="Arial" w:hAnsi="Arial" w:cs="Arial"/>
          <w:sz w:val="24"/>
          <w:szCs w:val="24"/>
        </w:rPr>
        <w:t>: Variable muette introduite pour capter l’effet des subventions sur les exportations. Elle prend les valeurs 1 ou 0 selon que le pays accorde ou non une subvention au secteur.</w:t>
      </w:r>
    </w:p>
    <w:p w14:paraId="099B8866" w14:textId="77777777" w:rsidR="008862C7" w:rsidRDefault="00EA1CF0" w:rsidP="008862C7">
      <w:pPr>
        <w:pStyle w:val="Paragraphedeliste"/>
        <w:numPr>
          <w:ilvl w:val="0"/>
          <w:numId w:val="21"/>
        </w:numPr>
        <w:spacing w:after="0"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TAR</m:t>
            </m:r>
          </m:e>
          <m:sub>
            <m:r>
              <m:rPr>
                <m:sty m:val="bi"/>
              </m:rPr>
              <w:rPr>
                <w:rFonts w:ascii="Cambria Math" w:hAnsi="Cambria Math" w:cs="Arial"/>
                <w:sz w:val="24"/>
                <w:szCs w:val="24"/>
              </w:rPr>
              <m:t>ij</m:t>
            </m:r>
          </m:sub>
        </m:sSub>
      </m:oMath>
      <w:r w:rsidR="008862C7">
        <w:rPr>
          <w:rFonts w:ascii="Cambria Math" w:hAnsi="Cambria Math" w:cs="Arial"/>
          <w:b/>
          <w:i/>
          <w:sz w:val="24"/>
          <w:szCs w:val="24"/>
        </w:rPr>
        <w:t> </w:t>
      </w:r>
      <w:r w:rsidR="008862C7">
        <w:rPr>
          <w:rFonts w:ascii="Arial" w:hAnsi="Arial" w:cs="Arial"/>
          <w:b/>
          <w:sz w:val="24"/>
          <w:szCs w:val="24"/>
        </w:rPr>
        <w:t>:</w:t>
      </w:r>
      <w:r w:rsidR="008862C7">
        <w:rPr>
          <w:rFonts w:ascii="Cambria Math" w:hAnsi="Cambria Math" w:cs="Arial"/>
          <w:i/>
          <w:sz w:val="24"/>
          <w:szCs w:val="24"/>
        </w:rPr>
        <w:t xml:space="preserve"> </w:t>
      </w:r>
      <w:r w:rsidR="008862C7">
        <w:rPr>
          <w:rFonts w:ascii="Arial" w:hAnsi="Arial" w:cs="Arial"/>
          <w:sz w:val="24"/>
          <w:szCs w:val="24"/>
        </w:rPr>
        <w:t>Dummy variable introduite pour capter l’effet des taxes douanières. Elle prend les valeurs 1 ou 0 selon que le pays taxe ou non les produits importés ou exportés de la filière.</w:t>
      </w:r>
    </w:p>
    <w:p w14:paraId="2ECC552C" w14:textId="77777777" w:rsidR="008862C7" w:rsidRDefault="008862C7" w:rsidP="008862C7">
      <w:pPr>
        <w:autoSpaceDE w:val="0"/>
        <w:autoSpaceDN w:val="0"/>
        <w:adjustRightInd w:val="0"/>
        <w:spacing w:before="240" w:line="360" w:lineRule="auto"/>
        <w:jc w:val="both"/>
        <w:rPr>
          <w:rFonts w:ascii="Arial" w:hAnsi="Arial" w:cs="Arial"/>
          <w:sz w:val="24"/>
          <w:szCs w:val="24"/>
        </w:rPr>
      </w:pPr>
      <w:r>
        <w:rPr>
          <w:rFonts w:ascii="Arial" w:hAnsi="Arial" w:cs="Arial"/>
          <w:sz w:val="24"/>
          <w:szCs w:val="24"/>
        </w:rPr>
        <w:t xml:space="preserve">Pour l’estimation, notre échantillon est composé de </w:t>
      </w:r>
      <w:commentRangeStart w:id="122"/>
      <w:r>
        <w:rPr>
          <w:rFonts w:ascii="Arial" w:hAnsi="Arial" w:cs="Arial"/>
          <w:sz w:val="24"/>
          <w:szCs w:val="24"/>
        </w:rPr>
        <w:t>17 pays d’Afrique, et 34 pays</w:t>
      </w:r>
      <w:commentRangeEnd w:id="122"/>
      <w:r>
        <w:rPr>
          <w:rStyle w:val="Marquedecommentaire"/>
          <w:rFonts w:eastAsia="Times New Roman" w:cs="Times New Roman"/>
        </w:rPr>
        <w:commentReference w:id="122"/>
      </w:r>
      <w:r>
        <w:rPr>
          <w:rFonts w:ascii="Arial" w:hAnsi="Arial" w:cs="Arial"/>
          <w:sz w:val="24"/>
          <w:szCs w:val="24"/>
        </w:rPr>
        <w:t xml:space="preserve"> producteurs de coton se trouvant en dehors de l’Afrique (Europe, Asie, Amérique), soit un échantillon de 50 pays à travers le monde. La période d’étude s’étend de 1980 à 2012 (</w:t>
      </w:r>
      <m:oMath>
        <m:r>
          <w:rPr>
            <w:rFonts w:ascii="Cambria Math" w:hAnsi="Cambria Math" w:cs="Arial"/>
            <w:sz w:val="24"/>
            <w:szCs w:val="24"/>
          </w:rPr>
          <m:t>i = 1,…….50</m:t>
        </m:r>
      </m:oMath>
      <w:r>
        <w:rPr>
          <w:rFonts w:ascii="Arial" w:hAnsi="Arial" w:cs="Arial"/>
          <w:sz w:val="24"/>
          <w:szCs w:val="24"/>
        </w:rPr>
        <w:t xml:space="preserve"> et</w:t>
      </w:r>
      <m:oMath>
        <m:r>
          <w:rPr>
            <w:rFonts w:ascii="Cambria Math" w:hAnsi="Cambria Math" w:cs="Arial"/>
            <w:sz w:val="24"/>
            <w:szCs w:val="24"/>
          </w:rPr>
          <m:t xml:space="preserve"> t = 1,……33</m:t>
        </m:r>
      </m:oMath>
      <w:r>
        <w:rPr>
          <w:rFonts w:ascii="Arial" w:hAnsi="Arial" w:cs="Arial"/>
          <w:sz w:val="24"/>
          <w:szCs w:val="24"/>
        </w:rPr>
        <w:t xml:space="preserve">, soient </w:t>
      </w:r>
      <m:oMath>
        <m:r>
          <w:rPr>
            <w:rFonts w:ascii="Cambria Math" w:hAnsi="Cambria Math" w:cs="Arial"/>
            <w:sz w:val="24"/>
            <w:szCs w:val="24"/>
          </w:rPr>
          <m:t>51×33 =</m:t>
        </m:r>
        <m:r>
          <w:rPr>
            <w:rFonts w:ascii="Cambria Math" w:hAnsi="Cambria Math"/>
            <w:sz w:val="24"/>
            <w:szCs w:val="24"/>
          </w:rPr>
          <m:t xml:space="preserve"> </m:t>
        </m:r>
        <m:r>
          <w:rPr>
            <w:rFonts w:ascii="Cambria Math" w:hAnsi="Cambria Math" w:cs="Arial"/>
            <w:sz w:val="24"/>
            <w:szCs w:val="24"/>
          </w:rPr>
          <m:t>1683</m:t>
        </m:r>
      </m:oMath>
      <w:r>
        <w:rPr>
          <w:rFonts w:ascii="Arial" w:hAnsi="Arial" w:cs="Arial"/>
          <w:sz w:val="24"/>
          <w:szCs w:val="24"/>
        </w:rPr>
        <w:t xml:space="preserve"> observations). Les données sur les agrégats concernés (exportations, productions, consommations…) sont issues de la base de donné de la FAO (FAOSTAT de 2014), du Comité Consultatif International du Coton (CCIC, 2014) de la Banque Mondiale (WDI, 2008 et 2014) et de la BEAC. </w:t>
      </w:r>
    </w:p>
    <w:p w14:paraId="6FEC4196" w14:textId="77777777" w:rsidR="008862C7" w:rsidRDefault="008862C7" w:rsidP="008862C7">
      <w:pPr>
        <w:pStyle w:val="Paragraphedeliste"/>
        <w:numPr>
          <w:ilvl w:val="0"/>
          <w:numId w:val="19"/>
        </w:numPr>
        <w:autoSpaceDE w:val="0"/>
        <w:autoSpaceDN w:val="0"/>
        <w:adjustRightInd w:val="0"/>
        <w:spacing w:after="120" w:line="360" w:lineRule="auto"/>
        <w:jc w:val="both"/>
        <w:outlineLvl w:val="7"/>
        <w:rPr>
          <w:rFonts w:ascii="Arial" w:hAnsi="Arial" w:cs="Arial"/>
          <w:sz w:val="24"/>
          <w:szCs w:val="24"/>
        </w:rPr>
      </w:pPr>
      <w:bookmarkStart w:id="123" w:name="_Toc395107593"/>
      <w:r>
        <w:rPr>
          <w:rFonts w:ascii="Arial" w:hAnsi="Arial" w:cs="Arial"/>
          <w:b/>
          <w:sz w:val="24"/>
          <w:szCs w:val="24"/>
        </w:rPr>
        <w:t>Modèle 2 : Classification des flux d’exportation en termes de performance prix et de performance qualité</w:t>
      </w:r>
      <w:bookmarkEnd w:id="123"/>
    </w:p>
    <w:p w14:paraId="559D181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 méthodologie utilisée pour opérer une classification des exportations des pays retenus dans notre échantillon en termes de leur performance prix et performance qualité est celle déjà utilisée par Aiginger (1995 et 1997) et</w:t>
      </w:r>
      <w:r>
        <w:rPr>
          <w:rFonts w:ascii="Arial" w:hAnsi="Arial" w:cs="Arial"/>
          <w:bCs/>
          <w:sz w:val="24"/>
          <w:szCs w:val="24"/>
        </w:rPr>
        <w:t xml:space="preserve"> Erkel-Rousse</w:t>
      </w:r>
      <w:r>
        <w:rPr>
          <w:rFonts w:ascii="Arial" w:hAnsi="Arial" w:cs="Arial"/>
          <w:sz w:val="24"/>
          <w:szCs w:val="24"/>
        </w:rPr>
        <w:t xml:space="preserve"> et Le Gallo (2002). Elle consiste premièrement à considérer pour chaque pays</w:t>
      </w:r>
      <w:r>
        <w:rPr>
          <w:rFonts w:ascii="Cambria Math" w:hAnsi="Cambria Math" w:cs="Arial"/>
          <w:i/>
          <w:sz w:val="24"/>
          <w:szCs w:val="24"/>
        </w:rPr>
        <w:t xml:space="preserve"> </w:t>
      </w:r>
      <w:r>
        <w:rPr>
          <w:rFonts w:ascii="Arial" w:hAnsi="Arial" w:cs="Arial"/>
          <w:i/>
          <w:sz w:val="24"/>
          <w:szCs w:val="24"/>
        </w:rPr>
        <w:t>i</w:t>
      </w:r>
      <w:r>
        <w:rPr>
          <w:rFonts w:ascii="Arial" w:hAnsi="Arial" w:cs="Arial"/>
          <w:sz w:val="24"/>
          <w:szCs w:val="24"/>
        </w:rPr>
        <w:t xml:space="preserve"> (de l’échantillon) exportant le bien</w:t>
      </w:r>
      <w:r>
        <w:rPr>
          <w:rFonts w:ascii="Cambria Math" w:hAnsi="Cambria Math" w:cs="Arial"/>
          <w:i/>
          <w:sz w:val="24"/>
          <w:szCs w:val="24"/>
        </w:rPr>
        <w:t xml:space="preserve"> </w:t>
      </w:r>
      <w:r>
        <w:rPr>
          <w:rFonts w:ascii="Arial" w:hAnsi="Arial" w:cs="Arial"/>
          <w:i/>
          <w:sz w:val="24"/>
          <w:szCs w:val="24"/>
        </w:rPr>
        <w:t>K</w:t>
      </w:r>
      <w:r>
        <w:rPr>
          <w:rFonts w:ascii="Arial" w:hAnsi="Arial" w:cs="Arial"/>
          <w:sz w:val="24"/>
          <w:szCs w:val="24"/>
        </w:rPr>
        <w:t xml:space="preserve"> (le coton fibre) à comparer les termes de l’échange de ce dernier</w:t>
      </w:r>
      <m:oMath>
        <m:r>
          <w:rPr>
            <w:rFonts w:ascii="Cambria Math" w:hAnsi="Cambria Math" w:cs="Arial"/>
            <w:sz w:val="24"/>
            <w:szCs w:val="24"/>
          </w:rPr>
          <m:t>(</m:t>
        </m:r>
        <m:sSub>
          <m:sSubPr>
            <m:ctrlPr>
              <w:rPr>
                <w:rFonts w:ascii="Cambria Math" w:eastAsia="Times New Roman" w:hAnsi="Cambria Math" w:cs="Arial"/>
                <w:i/>
                <w:sz w:val="24"/>
                <w:szCs w:val="24"/>
              </w:rPr>
            </m:ctrlPr>
          </m:sSubPr>
          <m:e>
            <m:r>
              <w:rPr>
                <w:rFonts w:ascii="Cambria Math" w:hAnsi="Cambria Math" w:cs="Arial"/>
                <w:sz w:val="24"/>
                <w:szCs w:val="24"/>
              </w:rPr>
              <m:t>TE</m:t>
            </m:r>
          </m:e>
          <m:sub>
            <m:r>
              <w:rPr>
                <w:rFonts w:ascii="Cambria Math" w:hAnsi="Cambria Math" w:cs="Arial"/>
                <w:sz w:val="24"/>
                <w:szCs w:val="24"/>
              </w:rPr>
              <m:t>ki</m:t>
            </m:r>
          </m:sub>
        </m:sSub>
      </m:oMath>
      <w:r>
        <w:rPr>
          <w:rFonts w:ascii="Arial" w:hAnsi="Arial" w:cs="Arial"/>
          <w:sz w:val="24"/>
          <w:szCs w:val="24"/>
        </w:rPr>
        <w:t>) à la moyenne de ces principaux concurrents</w:t>
      </w:r>
      <m:oMath>
        <m:r>
          <w:rPr>
            <w:rFonts w:ascii="Cambria Math"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hAnsi="Cambria Math" w:cs="Arial"/>
                    <w:sz w:val="24"/>
                    <w:szCs w:val="24"/>
                  </w:rPr>
                  <m:t>TE</m:t>
                </m:r>
              </m:e>
              <m:sub>
                <m:r>
                  <w:rPr>
                    <w:rFonts w:ascii="Cambria Math" w:hAnsi="Cambria Math" w:cs="Arial"/>
                    <w:sz w:val="24"/>
                    <w:szCs w:val="24"/>
                  </w:rPr>
                  <m:t>k.</m:t>
                </m:r>
              </m:sub>
            </m:sSub>
          </m:e>
        </m:acc>
      </m:oMath>
      <w:r>
        <w:rPr>
          <w:rFonts w:ascii="Arial" w:hAnsi="Arial" w:cs="Arial"/>
          <w:sz w:val="24"/>
          <w:szCs w:val="24"/>
        </w:rPr>
        <w:t>). En second lieu on évalue la performance à l’exportation du pays i. Celle-ci est jugée bonne ou médiocre selon que son avantage commercial, relatif à celui de ces principaux concurrents, sur le marché international du produit K</w:t>
      </w:r>
      <m:oMath>
        <m:r>
          <w:rPr>
            <w:rFonts w:ascii="Cambria Math" w:hAnsi="Cambria Math" w:cs="Arial"/>
            <w:sz w:val="24"/>
            <w:szCs w:val="24"/>
          </w:rPr>
          <m:t xml:space="preserve"> (</m:t>
        </m:r>
        <m:sSub>
          <m:sSubPr>
            <m:ctrlPr>
              <w:rPr>
                <w:rFonts w:ascii="Cambria Math" w:eastAsia="Times New Roman" w:hAnsi="Cambria Math" w:cs="Arial"/>
                <w:i/>
                <w:sz w:val="24"/>
                <w:szCs w:val="24"/>
              </w:rPr>
            </m:ctrlPr>
          </m:sSubPr>
          <m:e>
            <m:r>
              <w:rPr>
                <w:rFonts w:ascii="Cambria Math" w:hAnsi="Cambria Math" w:cs="Arial"/>
                <w:sz w:val="24"/>
                <w:szCs w:val="24"/>
              </w:rPr>
              <m:t>PM</m:t>
            </m:r>
          </m:e>
          <m:sub>
            <m:r>
              <w:rPr>
                <w:rFonts w:ascii="Cambria Math" w:hAnsi="Cambria Math" w:cs="Arial"/>
                <w:sz w:val="24"/>
                <w:szCs w:val="24"/>
              </w:rPr>
              <m:t>ki</m:t>
            </m:r>
          </m:sub>
        </m:sSub>
      </m:oMath>
      <w:r>
        <w:rPr>
          <w:rFonts w:ascii="Arial" w:hAnsi="Arial" w:cs="Arial"/>
          <w:sz w:val="24"/>
          <w:szCs w:val="24"/>
        </w:rPr>
        <w:t xml:space="preserve">) est supérieur ou inférieur à son avantage commercial relatif moyen </w:t>
      </w:r>
      <m:oMath>
        <m:r>
          <w:rPr>
            <w:rFonts w:ascii="Cambria Math"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hAnsi="Cambria Math" w:cs="Arial"/>
                    <w:sz w:val="24"/>
                    <w:szCs w:val="24"/>
                  </w:rPr>
                  <m:t>PM</m:t>
                </m:r>
              </m:e>
              <m:sub>
                <m:r>
                  <w:rPr>
                    <w:rFonts w:ascii="Cambria Math" w:hAnsi="Cambria Math" w:cs="Arial"/>
                    <w:sz w:val="24"/>
                    <w:szCs w:val="24"/>
                  </w:rPr>
                  <m:t>i.</m:t>
                </m:r>
              </m:sub>
            </m:sSub>
          </m:e>
        </m:acc>
      </m:oMath>
      <w:r>
        <w:rPr>
          <w:rFonts w:ascii="Arial" w:hAnsi="Arial" w:cs="Arial"/>
          <w:sz w:val="24"/>
          <w:szCs w:val="24"/>
        </w:rPr>
        <w:t>).</w:t>
      </w:r>
    </w:p>
    <w:p w14:paraId="06B138B1"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b/>
          <w:sz w:val="24"/>
          <w:szCs w:val="24"/>
        </w:rPr>
        <w:lastRenderedPageBreak/>
        <w:t>Tableau 2.3 :</w:t>
      </w:r>
      <w:r>
        <w:rPr>
          <w:rFonts w:ascii="Arial" w:hAnsi="Arial" w:cs="Arial"/>
          <w:sz w:val="24"/>
          <w:szCs w:val="24"/>
        </w:rPr>
        <w:t xml:space="preserve"> Modèle de classification des exportations cotonnières par rapport à leur performance-prix et performance qualité.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435"/>
      </w:tblGrid>
      <w:tr w:rsidR="008862C7" w14:paraId="342CEB54" w14:textId="77777777" w:rsidTr="008862C7">
        <w:tc>
          <w:tcPr>
            <w:tcW w:w="2268" w:type="dxa"/>
            <w:tcBorders>
              <w:top w:val="single" w:sz="4" w:space="0" w:color="auto"/>
              <w:left w:val="single" w:sz="4" w:space="0" w:color="auto"/>
              <w:bottom w:val="single" w:sz="4" w:space="0" w:color="auto"/>
              <w:right w:val="single" w:sz="4" w:space="0" w:color="auto"/>
            </w:tcBorders>
          </w:tcPr>
          <w:p w14:paraId="57D8A315" w14:textId="77777777" w:rsidR="008862C7" w:rsidRDefault="008862C7">
            <w:pPr>
              <w:tabs>
                <w:tab w:val="left" w:pos="708"/>
              </w:tabs>
              <w:spacing w:after="0" w:line="240" w:lineRule="auto"/>
              <w:jc w:val="center"/>
              <w:rPr>
                <w:rFonts w:ascii="Arial" w:eastAsia="Times New Roman" w:hAnsi="Arial" w:cs="Arial"/>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14:paraId="2CF55318" w14:textId="77777777" w:rsidR="008862C7" w:rsidRDefault="00EA1CF0">
            <w:pPr>
              <w:tabs>
                <w:tab w:val="left" w:pos="708"/>
              </w:tabs>
              <w:spacing w:after="0" w:line="240" w:lineRule="auto"/>
              <w:jc w:val="center"/>
              <w:rPr>
                <w:rFonts w:ascii="Arial" w:eastAsia="Times New Roman" w:hAnsi="Arial" w:cs="Arial"/>
                <w:b/>
                <w:sz w:val="24"/>
                <w:szCs w:val="24"/>
              </w:rPr>
            </w:pPr>
            <m:oMathPara>
              <m:oMath>
                <m:sSub>
                  <m:sSubPr>
                    <m:ctrlPr>
                      <w:rPr>
                        <w:rFonts w:ascii="Cambria Math" w:eastAsia="Times New Roman" w:hAnsi="Arial" w:cs="Arial"/>
                        <w:b/>
                        <w:i/>
                        <w:sz w:val="24"/>
                        <w:szCs w:val="24"/>
                      </w:rPr>
                    </m:ctrlPr>
                  </m:sSubPr>
                  <m:e>
                    <m:r>
                      <m:rPr>
                        <m:sty m:val="bi"/>
                      </m:rPr>
                      <w:rPr>
                        <w:rFonts w:ascii="Cambria Math" w:hAnsi="Cambria Math" w:cs="Arial"/>
                        <w:sz w:val="24"/>
                        <w:szCs w:val="24"/>
                      </w:rPr>
                      <m:t>TE</m:t>
                    </m:r>
                  </m:e>
                  <m:sub>
                    <m:r>
                      <m:rPr>
                        <m:sty m:val="bi"/>
                      </m:rPr>
                      <w:rPr>
                        <w:rFonts w:ascii="Cambria Math" w:hAnsi="Cambria Math" w:cs="Arial"/>
                        <w:sz w:val="24"/>
                        <w:szCs w:val="24"/>
                      </w:rPr>
                      <m:t>ki</m:t>
                    </m:r>
                  </m:sub>
                </m:sSub>
                <m:r>
                  <m:rPr>
                    <m:sty m:val="bi"/>
                  </m:rPr>
                  <w:rPr>
                    <w:rFonts w:ascii="Cambria Math" w:hAnsi="Arial" w:cs="Arial"/>
                    <w:sz w:val="24"/>
                    <w:szCs w:val="24"/>
                  </w:rPr>
                  <m:t>&lt;</m:t>
                </m:r>
                <m:r>
                  <w:rPr>
                    <w:rFonts w:ascii="Cambria Math" w:hAnsi="Arial" w:cs="Arial"/>
                    <w:sz w:val="24"/>
                    <w:szCs w:val="24"/>
                  </w:rPr>
                  <m:t xml:space="preserve"> </m:t>
                </m:r>
                <m:acc>
                  <m:accPr>
                    <m:chr m:val="̅"/>
                    <m:ctrlPr>
                      <w:rPr>
                        <w:rFonts w:ascii="Cambria Math" w:eastAsia="Times New Roman" w:hAnsi="Arial" w:cs="Arial"/>
                        <w:b/>
                        <w:i/>
                        <w:sz w:val="24"/>
                        <w:szCs w:val="24"/>
                      </w:rPr>
                    </m:ctrlPr>
                  </m:accPr>
                  <m:e>
                    <m:sSub>
                      <m:sSubPr>
                        <m:ctrlPr>
                          <w:rPr>
                            <w:rFonts w:ascii="Cambria Math" w:eastAsia="Times New Roman" w:hAnsi="Arial" w:cs="Arial"/>
                            <w:b/>
                            <w:i/>
                            <w:sz w:val="24"/>
                            <w:szCs w:val="24"/>
                          </w:rPr>
                        </m:ctrlPr>
                      </m:sSubPr>
                      <m:e>
                        <m:r>
                          <m:rPr>
                            <m:sty m:val="bi"/>
                          </m:rPr>
                          <w:rPr>
                            <w:rFonts w:ascii="Cambria Math" w:hAnsi="Cambria Math" w:cs="Arial"/>
                            <w:sz w:val="24"/>
                            <w:szCs w:val="24"/>
                          </w:rPr>
                          <m:t>TE</m:t>
                        </m:r>
                      </m:e>
                      <m:sub>
                        <m:r>
                          <m:rPr>
                            <m:sty m:val="bi"/>
                          </m:rPr>
                          <w:rPr>
                            <w:rFonts w:ascii="Cambria Math" w:hAnsi="Cambria Math" w:cs="Arial"/>
                            <w:sz w:val="24"/>
                            <w:szCs w:val="24"/>
                          </w:rPr>
                          <m:t>k</m:t>
                        </m:r>
                        <m:r>
                          <m:rPr>
                            <m:sty m:val="bi"/>
                          </m:rPr>
                          <w:rPr>
                            <w:rFonts w:ascii="Cambria Math" w:hAnsi="Arial" w:cs="Arial"/>
                            <w:sz w:val="24"/>
                            <w:szCs w:val="24"/>
                          </w:rPr>
                          <m:t>.</m:t>
                        </m:r>
                      </m:sub>
                    </m:sSub>
                  </m:e>
                </m:acc>
              </m:oMath>
            </m:oMathPara>
          </w:p>
        </w:tc>
        <w:tc>
          <w:tcPr>
            <w:tcW w:w="3435" w:type="dxa"/>
            <w:tcBorders>
              <w:top w:val="single" w:sz="4" w:space="0" w:color="auto"/>
              <w:left w:val="single" w:sz="4" w:space="0" w:color="auto"/>
              <w:bottom w:val="single" w:sz="4" w:space="0" w:color="auto"/>
              <w:right w:val="single" w:sz="4" w:space="0" w:color="auto"/>
            </w:tcBorders>
            <w:hideMark/>
          </w:tcPr>
          <w:p w14:paraId="5A8179DD" w14:textId="77777777" w:rsidR="008862C7" w:rsidRDefault="00EA1CF0">
            <w:pPr>
              <w:tabs>
                <w:tab w:val="left" w:pos="708"/>
              </w:tabs>
              <w:spacing w:after="0" w:line="240" w:lineRule="auto"/>
              <w:jc w:val="center"/>
              <w:rPr>
                <w:rFonts w:ascii="Arial" w:eastAsia="Times New Roman" w:hAnsi="Arial" w:cs="Arial"/>
                <w:b/>
                <w:sz w:val="24"/>
                <w:szCs w:val="24"/>
              </w:rPr>
            </w:pPr>
            <m:oMathPara>
              <m:oMath>
                <m:sSub>
                  <m:sSubPr>
                    <m:ctrlPr>
                      <w:rPr>
                        <w:rFonts w:ascii="Cambria Math" w:eastAsia="Times New Roman" w:hAnsi="Arial" w:cs="Arial"/>
                        <w:b/>
                        <w:i/>
                        <w:sz w:val="24"/>
                        <w:szCs w:val="24"/>
                      </w:rPr>
                    </m:ctrlPr>
                  </m:sSubPr>
                  <m:e>
                    <m:r>
                      <m:rPr>
                        <m:sty m:val="bi"/>
                      </m:rPr>
                      <w:rPr>
                        <w:rFonts w:ascii="Cambria Math" w:hAnsi="Cambria Math" w:cs="Arial"/>
                        <w:sz w:val="24"/>
                        <w:szCs w:val="24"/>
                      </w:rPr>
                      <m:t>TE</m:t>
                    </m:r>
                  </m:e>
                  <m:sub>
                    <m:r>
                      <m:rPr>
                        <m:sty m:val="bi"/>
                      </m:rPr>
                      <w:rPr>
                        <w:rFonts w:ascii="Cambria Math" w:hAnsi="Cambria Math" w:cs="Arial"/>
                        <w:sz w:val="24"/>
                        <w:szCs w:val="24"/>
                      </w:rPr>
                      <m:t>ki</m:t>
                    </m:r>
                  </m:sub>
                </m:sSub>
                <m:r>
                  <m:rPr>
                    <m:sty m:val="bi"/>
                  </m:rPr>
                  <w:rPr>
                    <w:rFonts w:ascii="Cambria Math" w:hAnsi="Arial" w:cs="Arial"/>
                    <w:sz w:val="24"/>
                    <w:szCs w:val="24"/>
                  </w:rPr>
                  <m:t>&gt;</m:t>
                </m:r>
                <m:r>
                  <w:rPr>
                    <w:rFonts w:ascii="Cambria Math" w:hAnsi="Arial" w:cs="Arial"/>
                    <w:sz w:val="24"/>
                    <w:szCs w:val="24"/>
                  </w:rPr>
                  <m:t xml:space="preserve"> </m:t>
                </m:r>
                <m:acc>
                  <m:accPr>
                    <m:chr m:val="̅"/>
                    <m:ctrlPr>
                      <w:rPr>
                        <w:rFonts w:ascii="Cambria Math" w:eastAsia="Times New Roman" w:hAnsi="Arial" w:cs="Arial"/>
                        <w:b/>
                        <w:i/>
                        <w:sz w:val="24"/>
                        <w:szCs w:val="24"/>
                      </w:rPr>
                    </m:ctrlPr>
                  </m:accPr>
                  <m:e>
                    <m:sSub>
                      <m:sSubPr>
                        <m:ctrlPr>
                          <w:rPr>
                            <w:rFonts w:ascii="Cambria Math" w:eastAsia="Times New Roman" w:hAnsi="Arial" w:cs="Arial"/>
                            <w:b/>
                            <w:i/>
                            <w:sz w:val="24"/>
                            <w:szCs w:val="24"/>
                          </w:rPr>
                        </m:ctrlPr>
                      </m:sSubPr>
                      <m:e>
                        <m:r>
                          <m:rPr>
                            <m:sty m:val="bi"/>
                          </m:rPr>
                          <w:rPr>
                            <w:rFonts w:ascii="Cambria Math" w:hAnsi="Cambria Math" w:cs="Arial"/>
                            <w:sz w:val="24"/>
                            <w:szCs w:val="24"/>
                          </w:rPr>
                          <m:t>TE</m:t>
                        </m:r>
                      </m:e>
                      <m:sub>
                        <m:r>
                          <m:rPr>
                            <m:sty m:val="bi"/>
                          </m:rPr>
                          <w:rPr>
                            <w:rFonts w:ascii="Cambria Math" w:hAnsi="Cambria Math" w:cs="Arial"/>
                            <w:sz w:val="24"/>
                            <w:szCs w:val="24"/>
                          </w:rPr>
                          <m:t>k</m:t>
                        </m:r>
                        <m:r>
                          <m:rPr>
                            <m:sty m:val="bi"/>
                          </m:rPr>
                          <w:rPr>
                            <w:rFonts w:ascii="Cambria Math" w:hAnsi="Arial" w:cs="Arial"/>
                            <w:sz w:val="24"/>
                            <w:szCs w:val="24"/>
                          </w:rPr>
                          <m:t>.</m:t>
                        </m:r>
                      </m:sub>
                    </m:sSub>
                  </m:e>
                </m:acc>
              </m:oMath>
            </m:oMathPara>
          </w:p>
        </w:tc>
      </w:tr>
      <w:tr w:rsidR="008862C7" w14:paraId="6C8E2CA9" w14:textId="77777777" w:rsidTr="008862C7">
        <w:tc>
          <w:tcPr>
            <w:tcW w:w="2268" w:type="dxa"/>
            <w:tcBorders>
              <w:top w:val="single" w:sz="4" w:space="0" w:color="auto"/>
              <w:left w:val="single" w:sz="4" w:space="0" w:color="auto"/>
              <w:bottom w:val="single" w:sz="4" w:space="0" w:color="auto"/>
              <w:right w:val="single" w:sz="4" w:space="0" w:color="auto"/>
            </w:tcBorders>
            <w:hideMark/>
          </w:tcPr>
          <w:p w14:paraId="3A4CB967" w14:textId="77777777" w:rsidR="008862C7" w:rsidRDefault="00EA1CF0">
            <w:pPr>
              <w:tabs>
                <w:tab w:val="left" w:pos="708"/>
              </w:tabs>
              <w:spacing w:after="0" w:line="240" w:lineRule="auto"/>
              <w:jc w:val="center"/>
              <w:rPr>
                <w:rFonts w:ascii="Arial" w:eastAsia="Times New Roman" w:hAnsi="Arial" w:cs="Arial"/>
                <w:b/>
                <w:sz w:val="24"/>
                <w:szCs w:val="24"/>
              </w:rPr>
            </w:pPr>
            <m:oMathPara>
              <m:oMath>
                <m:sSub>
                  <m:sSubPr>
                    <m:ctrlPr>
                      <w:rPr>
                        <w:rFonts w:ascii="Cambria Math" w:eastAsia="Times New Roman" w:hAnsi="Arial" w:cs="Arial"/>
                        <w:b/>
                        <w:i/>
                        <w:sz w:val="24"/>
                        <w:szCs w:val="24"/>
                      </w:rPr>
                    </m:ctrlPr>
                  </m:sSubPr>
                  <m:e>
                    <m:r>
                      <m:rPr>
                        <m:sty m:val="bi"/>
                      </m:rPr>
                      <w:rPr>
                        <w:rFonts w:ascii="Cambria Math" w:hAnsi="Cambria Math" w:cs="Arial"/>
                        <w:sz w:val="24"/>
                        <w:szCs w:val="24"/>
                      </w:rPr>
                      <m:t>PM</m:t>
                    </m:r>
                  </m:e>
                  <m:sub>
                    <m:r>
                      <m:rPr>
                        <m:sty m:val="bi"/>
                      </m:rPr>
                      <w:rPr>
                        <w:rFonts w:ascii="Cambria Math" w:hAnsi="Cambria Math" w:cs="Arial"/>
                        <w:sz w:val="24"/>
                        <w:szCs w:val="24"/>
                      </w:rPr>
                      <m:t>ki</m:t>
                    </m:r>
                  </m:sub>
                </m:sSub>
                <m:r>
                  <m:rPr>
                    <m:sty m:val="bi"/>
                  </m:rPr>
                  <w:rPr>
                    <w:rFonts w:ascii="Cambria Math" w:hAnsi="Arial" w:cs="Arial"/>
                    <w:sz w:val="24"/>
                    <w:szCs w:val="24"/>
                  </w:rPr>
                  <m:t>&lt;</m:t>
                </m:r>
                <m:acc>
                  <m:accPr>
                    <m:chr m:val="̅"/>
                    <m:ctrlPr>
                      <w:rPr>
                        <w:rFonts w:ascii="Cambria Math" w:eastAsia="Times New Roman" w:hAnsi="Arial" w:cs="Arial"/>
                        <w:b/>
                        <w:i/>
                        <w:sz w:val="24"/>
                        <w:szCs w:val="24"/>
                      </w:rPr>
                    </m:ctrlPr>
                  </m:accPr>
                  <m:e>
                    <m:sSub>
                      <m:sSubPr>
                        <m:ctrlPr>
                          <w:rPr>
                            <w:rFonts w:ascii="Cambria Math" w:eastAsia="Times New Roman" w:hAnsi="Arial" w:cs="Arial"/>
                            <w:b/>
                            <w:i/>
                            <w:sz w:val="24"/>
                            <w:szCs w:val="24"/>
                          </w:rPr>
                        </m:ctrlPr>
                      </m:sSubPr>
                      <m:e>
                        <m:r>
                          <m:rPr>
                            <m:sty m:val="bi"/>
                          </m:rPr>
                          <w:rPr>
                            <w:rFonts w:ascii="Cambria Math" w:hAnsi="Cambria Math" w:cs="Arial"/>
                            <w:sz w:val="24"/>
                            <w:szCs w:val="24"/>
                          </w:rPr>
                          <m:t>PM</m:t>
                        </m:r>
                      </m:e>
                      <m:sub>
                        <m:r>
                          <m:rPr>
                            <m:sty m:val="bi"/>
                          </m:rPr>
                          <w:rPr>
                            <w:rFonts w:ascii="Cambria Math" w:hAnsi="Cambria Math" w:cs="Arial"/>
                            <w:sz w:val="24"/>
                            <w:szCs w:val="24"/>
                          </w:rPr>
                          <m:t>i</m:t>
                        </m:r>
                        <m:r>
                          <m:rPr>
                            <m:sty m:val="bi"/>
                          </m:rPr>
                          <w:rPr>
                            <w:rFonts w:ascii="Cambria Math" w:hAnsi="Arial" w:cs="Arial"/>
                            <w:sz w:val="24"/>
                            <w:szCs w:val="24"/>
                          </w:rPr>
                          <m:t>.</m:t>
                        </m:r>
                      </m:sub>
                    </m:sSub>
                  </m:e>
                </m:acc>
              </m:oMath>
            </m:oMathPara>
          </w:p>
        </w:tc>
        <w:tc>
          <w:tcPr>
            <w:tcW w:w="3402" w:type="dxa"/>
            <w:tcBorders>
              <w:top w:val="single" w:sz="4" w:space="0" w:color="auto"/>
              <w:left w:val="single" w:sz="4" w:space="0" w:color="auto"/>
              <w:bottom w:val="single" w:sz="4" w:space="0" w:color="auto"/>
              <w:right w:val="single" w:sz="4" w:space="0" w:color="auto"/>
            </w:tcBorders>
            <w:hideMark/>
          </w:tcPr>
          <w:p w14:paraId="2C716DA0" w14:textId="77777777" w:rsidR="008862C7" w:rsidRDefault="008862C7">
            <w:pPr>
              <w:spacing w:after="0" w:line="240" w:lineRule="auto"/>
              <w:jc w:val="center"/>
              <w:rPr>
                <w:rFonts w:ascii="Arial" w:eastAsia="Times New Roman" w:hAnsi="Arial" w:cs="Arial"/>
                <w:b/>
                <w:sz w:val="24"/>
                <w:szCs w:val="24"/>
              </w:rPr>
            </w:pPr>
            <w:r>
              <w:rPr>
                <w:rFonts w:ascii="Arial" w:hAnsi="Arial" w:cs="Arial"/>
                <w:b/>
                <w:sz w:val="24"/>
                <w:szCs w:val="24"/>
              </w:rPr>
              <w:t>S</w:t>
            </w:r>
          </w:p>
          <w:p w14:paraId="1687585D"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Problèmes structurels</w:t>
            </w:r>
          </w:p>
        </w:tc>
        <w:tc>
          <w:tcPr>
            <w:tcW w:w="3435" w:type="dxa"/>
            <w:tcBorders>
              <w:top w:val="single" w:sz="4" w:space="0" w:color="auto"/>
              <w:left w:val="single" w:sz="4" w:space="0" w:color="auto"/>
              <w:bottom w:val="single" w:sz="4" w:space="0" w:color="auto"/>
              <w:right w:val="single" w:sz="4" w:space="0" w:color="auto"/>
            </w:tcBorders>
            <w:hideMark/>
          </w:tcPr>
          <w:p w14:paraId="615594F7" w14:textId="77777777" w:rsidR="008862C7" w:rsidRDefault="008862C7">
            <w:pPr>
              <w:spacing w:after="0" w:line="240" w:lineRule="auto"/>
              <w:jc w:val="center"/>
              <w:rPr>
                <w:rFonts w:ascii="Arial" w:eastAsia="Times New Roman" w:hAnsi="Arial" w:cs="Arial"/>
                <w:b/>
                <w:sz w:val="24"/>
                <w:szCs w:val="24"/>
              </w:rPr>
            </w:pPr>
            <w:r>
              <w:rPr>
                <w:rFonts w:ascii="Arial" w:hAnsi="Arial" w:cs="Arial"/>
                <w:b/>
                <w:sz w:val="24"/>
                <w:szCs w:val="24"/>
              </w:rPr>
              <w:t>M</w:t>
            </w:r>
          </w:p>
          <w:p w14:paraId="2B40B5E0"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Faible compétitivité-prix</w:t>
            </w:r>
          </w:p>
        </w:tc>
      </w:tr>
      <w:tr w:rsidR="008862C7" w14:paraId="78B18A8A" w14:textId="77777777" w:rsidTr="008862C7">
        <w:tc>
          <w:tcPr>
            <w:tcW w:w="2268" w:type="dxa"/>
            <w:tcBorders>
              <w:top w:val="single" w:sz="4" w:space="0" w:color="auto"/>
              <w:left w:val="single" w:sz="4" w:space="0" w:color="auto"/>
              <w:bottom w:val="single" w:sz="4" w:space="0" w:color="auto"/>
              <w:right w:val="single" w:sz="4" w:space="0" w:color="auto"/>
            </w:tcBorders>
            <w:hideMark/>
          </w:tcPr>
          <w:p w14:paraId="25544AE1" w14:textId="77777777" w:rsidR="008862C7" w:rsidRDefault="00EA1CF0">
            <w:pPr>
              <w:tabs>
                <w:tab w:val="left" w:pos="708"/>
              </w:tabs>
              <w:spacing w:after="0" w:line="240" w:lineRule="auto"/>
              <w:jc w:val="center"/>
              <w:rPr>
                <w:rFonts w:ascii="Arial" w:eastAsia="Times New Roman" w:hAnsi="Arial" w:cs="Arial"/>
                <w:b/>
                <w:sz w:val="24"/>
                <w:szCs w:val="24"/>
              </w:rPr>
            </w:pPr>
            <m:oMath>
              <m:sSub>
                <m:sSubPr>
                  <m:ctrlPr>
                    <w:rPr>
                      <w:rFonts w:ascii="Cambria Math" w:eastAsia="Times New Roman" w:hAnsi="Arial" w:cs="Arial"/>
                      <w:b/>
                      <w:i/>
                      <w:sz w:val="24"/>
                      <w:szCs w:val="24"/>
                    </w:rPr>
                  </m:ctrlPr>
                </m:sSubPr>
                <m:e>
                  <m:r>
                    <m:rPr>
                      <m:sty m:val="bi"/>
                    </m:rPr>
                    <w:rPr>
                      <w:rFonts w:ascii="Cambria Math" w:hAnsi="Cambria Math" w:cs="Arial"/>
                      <w:sz w:val="24"/>
                      <w:szCs w:val="24"/>
                    </w:rPr>
                    <m:t>PM</m:t>
                  </m:r>
                </m:e>
                <m:sub>
                  <m:r>
                    <m:rPr>
                      <m:sty m:val="bi"/>
                    </m:rPr>
                    <w:rPr>
                      <w:rFonts w:ascii="Cambria Math" w:hAnsi="Cambria Math" w:cs="Arial"/>
                      <w:sz w:val="24"/>
                      <w:szCs w:val="24"/>
                    </w:rPr>
                    <m:t>ki</m:t>
                  </m:r>
                </m:sub>
              </m:sSub>
              <m:r>
                <m:rPr>
                  <m:sty m:val="bi"/>
                </m:rPr>
                <w:rPr>
                  <w:rFonts w:ascii="Cambria Math" w:hAnsi="Arial" w:cs="Arial"/>
                  <w:sz w:val="24"/>
                  <w:szCs w:val="24"/>
                </w:rPr>
                <m:t>&gt;</m:t>
              </m:r>
              <m:r>
                <w:rPr>
                  <w:rFonts w:ascii="Cambria Math" w:hAnsi="Arial" w:cs="Arial"/>
                  <w:sz w:val="24"/>
                  <w:szCs w:val="24"/>
                </w:rPr>
                <m:t xml:space="preserve"> </m:t>
              </m:r>
              <m:acc>
                <m:accPr>
                  <m:chr m:val="̅"/>
                  <m:ctrlPr>
                    <w:rPr>
                      <w:rFonts w:ascii="Cambria Math" w:eastAsia="Times New Roman" w:hAnsi="Arial" w:cs="Arial"/>
                      <w:b/>
                      <w:i/>
                      <w:sz w:val="24"/>
                      <w:szCs w:val="24"/>
                    </w:rPr>
                  </m:ctrlPr>
                </m:accPr>
                <m:e>
                  <m:sSub>
                    <m:sSubPr>
                      <m:ctrlPr>
                        <w:rPr>
                          <w:rFonts w:ascii="Cambria Math" w:eastAsia="Times New Roman" w:hAnsi="Arial" w:cs="Arial"/>
                          <w:b/>
                          <w:i/>
                          <w:sz w:val="24"/>
                          <w:szCs w:val="24"/>
                        </w:rPr>
                      </m:ctrlPr>
                    </m:sSubPr>
                    <m:e>
                      <m:r>
                        <m:rPr>
                          <m:sty m:val="bi"/>
                        </m:rPr>
                        <w:rPr>
                          <w:rFonts w:ascii="Cambria Math" w:hAnsi="Cambria Math" w:cs="Arial"/>
                          <w:sz w:val="24"/>
                          <w:szCs w:val="24"/>
                        </w:rPr>
                        <m:t>PM</m:t>
                      </m:r>
                    </m:e>
                    <m:sub>
                      <m:r>
                        <m:rPr>
                          <m:sty m:val="bi"/>
                        </m:rPr>
                        <w:rPr>
                          <w:rFonts w:ascii="Cambria Math" w:hAnsi="Cambria Math" w:cs="Arial"/>
                          <w:sz w:val="24"/>
                          <w:szCs w:val="24"/>
                        </w:rPr>
                        <m:t>i</m:t>
                      </m:r>
                      <m:r>
                        <m:rPr>
                          <m:sty m:val="bi"/>
                        </m:rPr>
                        <w:rPr>
                          <w:rFonts w:ascii="Cambria Math" w:hAnsi="Arial" w:cs="Arial"/>
                          <w:sz w:val="24"/>
                          <w:szCs w:val="24"/>
                        </w:rPr>
                        <m:t>.</m:t>
                      </m:r>
                    </m:sub>
                  </m:sSub>
                </m:e>
              </m:acc>
            </m:oMath>
            <w:r w:rsidR="008862C7">
              <w:rPr>
                <w:rFonts w:ascii="Arial" w:hAnsi="Arial" w:cs="Arial"/>
                <w:b/>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hideMark/>
          </w:tcPr>
          <w:p w14:paraId="2DC95A67" w14:textId="77777777" w:rsidR="008862C7" w:rsidRDefault="008862C7">
            <w:pPr>
              <w:spacing w:after="0" w:line="240" w:lineRule="auto"/>
              <w:jc w:val="center"/>
              <w:rPr>
                <w:rFonts w:ascii="Arial" w:eastAsia="Times New Roman" w:hAnsi="Arial" w:cs="Arial"/>
                <w:b/>
                <w:sz w:val="24"/>
                <w:szCs w:val="24"/>
              </w:rPr>
            </w:pPr>
            <w:r>
              <w:rPr>
                <w:rFonts w:ascii="Arial" w:hAnsi="Arial" w:cs="Arial"/>
                <w:b/>
                <w:sz w:val="24"/>
                <w:szCs w:val="24"/>
              </w:rPr>
              <w:t>P</w:t>
            </w:r>
          </w:p>
          <w:p w14:paraId="209DF1E5"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Bonne compétitivité-prix</w:t>
            </w:r>
          </w:p>
        </w:tc>
        <w:tc>
          <w:tcPr>
            <w:tcW w:w="3435" w:type="dxa"/>
            <w:tcBorders>
              <w:top w:val="single" w:sz="4" w:space="0" w:color="auto"/>
              <w:left w:val="single" w:sz="4" w:space="0" w:color="auto"/>
              <w:bottom w:val="single" w:sz="4" w:space="0" w:color="auto"/>
              <w:right w:val="single" w:sz="4" w:space="0" w:color="auto"/>
            </w:tcBorders>
            <w:hideMark/>
          </w:tcPr>
          <w:p w14:paraId="665594D0" w14:textId="77777777" w:rsidR="008862C7" w:rsidRDefault="008862C7">
            <w:pPr>
              <w:spacing w:after="0" w:line="240" w:lineRule="auto"/>
              <w:jc w:val="center"/>
              <w:rPr>
                <w:rFonts w:ascii="Arial" w:eastAsia="Times New Roman" w:hAnsi="Arial" w:cs="Arial"/>
                <w:b/>
                <w:sz w:val="24"/>
                <w:szCs w:val="24"/>
              </w:rPr>
            </w:pPr>
            <w:r>
              <w:rPr>
                <w:rFonts w:ascii="Arial" w:hAnsi="Arial" w:cs="Arial"/>
                <w:b/>
                <w:sz w:val="24"/>
                <w:szCs w:val="24"/>
              </w:rPr>
              <w:t>Q</w:t>
            </w:r>
          </w:p>
          <w:p w14:paraId="7C3AD95C"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Bonne compétitivité-qualité</w:t>
            </w:r>
          </w:p>
        </w:tc>
      </w:tr>
    </w:tbl>
    <w:p w14:paraId="4E1CD488" w14:textId="77777777" w:rsidR="008862C7" w:rsidRDefault="008862C7" w:rsidP="008862C7">
      <w:pPr>
        <w:autoSpaceDE w:val="0"/>
        <w:autoSpaceDN w:val="0"/>
        <w:adjustRightInd w:val="0"/>
        <w:spacing w:before="120" w:line="360" w:lineRule="auto"/>
        <w:jc w:val="both"/>
        <w:rPr>
          <w:rFonts w:ascii="Arial" w:eastAsia="Times New Roman" w:hAnsi="Arial" w:cs="Arial"/>
        </w:rPr>
      </w:pPr>
      <w:r>
        <w:rPr>
          <w:rFonts w:ascii="Arial" w:hAnsi="Arial" w:cs="Arial"/>
        </w:rPr>
        <w:t>Source : Hassine  et Matoussi, 2006.</w:t>
      </w:r>
    </w:p>
    <w:p w14:paraId="43123DBF"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Ce tableau permettra donc de faire une analyse, segmenter des performances commerciales du coton centrafricain en termes de compétitivité-prix et de compétitivité-structurelle. En croisant les écarts de taux de changes et ceux des parts du marchés du coton de chaque concurrent, on peut facilement distinguer les avantages et désavantages prix des avantages et désavantages structurels de chaque concurrent. Ceci nous permet alors de construire aisément le modèle suivant, qui essaiera de quantifié le poids respectif de la compétitivité prix et de la compétitivité qualité dans le modèle.</w:t>
      </w:r>
    </w:p>
    <w:p w14:paraId="2DD7A826" w14:textId="77777777" w:rsidR="008862C7" w:rsidRDefault="008862C7" w:rsidP="008862C7">
      <w:pPr>
        <w:pStyle w:val="Standard"/>
        <w:spacing w:after="120" w:line="360" w:lineRule="auto"/>
        <w:jc w:val="both"/>
        <w:outlineLvl w:val="4"/>
        <w:rPr>
          <w:rFonts w:ascii="Arial" w:hAnsi="Arial" w:cs="Arial"/>
          <w:b/>
        </w:rPr>
      </w:pPr>
      <w:bookmarkStart w:id="124" w:name="_Toc395107594"/>
      <w:bookmarkStart w:id="125" w:name="_Toc321250968"/>
      <w:r>
        <w:rPr>
          <w:rFonts w:ascii="Arial" w:hAnsi="Arial" w:cs="Arial"/>
          <w:b/>
        </w:rPr>
        <w:t>2.2. Terrain de recherche</w:t>
      </w:r>
      <w:bookmarkEnd w:id="124"/>
      <w:bookmarkEnd w:id="125"/>
    </w:p>
    <w:p w14:paraId="455A7287" w14:textId="77777777" w:rsidR="008862C7" w:rsidRDefault="008862C7" w:rsidP="008862C7">
      <w:pPr>
        <w:pStyle w:val="Standard"/>
        <w:spacing w:line="360" w:lineRule="auto"/>
        <w:jc w:val="both"/>
        <w:rPr>
          <w:rFonts w:ascii="Arial" w:hAnsi="Arial" w:cs="Arial"/>
        </w:rPr>
      </w:pPr>
      <w:r>
        <w:rPr>
          <w:rFonts w:ascii="Arial" w:hAnsi="Arial" w:cs="Arial"/>
        </w:rPr>
        <w:t xml:space="preserve">On entend par terrain de recherche (cadre de l’étude) le milieu global où se passe la recherche. Il s’agit principalement du cadre géographique, social, et professionnel où se déroule l’étude. Dans cette partie nous aborderons nos terrains de recherche. </w:t>
      </w:r>
    </w:p>
    <w:p w14:paraId="39E86BC7" w14:textId="77777777" w:rsidR="008862C7" w:rsidRDefault="008862C7" w:rsidP="008862C7">
      <w:pPr>
        <w:pStyle w:val="Standard"/>
        <w:spacing w:line="360" w:lineRule="auto"/>
        <w:jc w:val="both"/>
        <w:rPr>
          <w:rFonts w:ascii="Arial" w:hAnsi="Arial" w:cs="Arial"/>
        </w:rPr>
      </w:pPr>
      <w:r>
        <w:rPr>
          <w:rFonts w:ascii="Arial" w:hAnsi="Arial" w:cs="Arial"/>
        </w:rPr>
        <w:t>La culture du coton en RCA occupe la région des savanes, vaste zone géographique allant du nord-ouest (Ouham et Ouham-Péndé) au centre-sud (Kémo ; Nana-Gribizi et la Ouaka).</w:t>
      </w:r>
    </w:p>
    <w:p w14:paraId="247B76C1" w14:textId="77777777" w:rsidR="00E72C3F" w:rsidRDefault="00E72C3F" w:rsidP="008862C7">
      <w:pPr>
        <w:pStyle w:val="Standard"/>
        <w:spacing w:line="360" w:lineRule="auto"/>
        <w:jc w:val="both"/>
        <w:rPr>
          <w:rFonts w:ascii="Arial" w:hAnsi="Arial" w:cs="Arial"/>
        </w:rPr>
      </w:pPr>
    </w:p>
    <w:p w14:paraId="2F878C34" w14:textId="77777777" w:rsidR="00E72C3F" w:rsidRDefault="00E72C3F" w:rsidP="008862C7">
      <w:pPr>
        <w:pStyle w:val="Standard"/>
        <w:spacing w:line="360" w:lineRule="auto"/>
        <w:jc w:val="both"/>
        <w:rPr>
          <w:rFonts w:ascii="Arial" w:hAnsi="Arial" w:cs="Arial"/>
        </w:rPr>
      </w:pPr>
    </w:p>
    <w:p w14:paraId="7E1A624E" w14:textId="77777777" w:rsidR="00E72C3F" w:rsidRDefault="00E72C3F" w:rsidP="008862C7">
      <w:pPr>
        <w:pStyle w:val="Standard"/>
        <w:spacing w:line="360" w:lineRule="auto"/>
        <w:jc w:val="both"/>
        <w:rPr>
          <w:rFonts w:ascii="Arial" w:hAnsi="Arial" w:cs="Arial"/>
        </w:rPr>
      </w:pPr>
    </w:p>
    <w:p w14:paraId="553A4C1C" w14:textId="77777777" w:rsidR="00E72C3F" w:rsidRDefault="00E72C3F" w:rsidP="008862C7">
      <w:pPr>
        <w:pStyle w:val="Standard"/>
        <w:spacing w:line="360" w:lineRule="auto"/>
        <w:jc w:val="both"/>
        <w:rPr>
          <w:rFonts w:ascii="Arial" w:hAnsi="Arial" w:cs="Arial"/>
        </w:rPr>
      </w:pPr>
    </w:p>
    <w:p w14:paraId="3886BF17" w14:textId="77777777" w:rsidR="00E72C3F" w:rsidRDefault="00E72C3F" w:rsidP="008862C7">
      <w:pPr>
        <w:pStyle w:val="Standard"/>
        <w:spacing w:line="360" w:lineRule="auto"/>
        <w:jc w:val="both"/>
        <w:rPr>
          <w:rFonts w:ascii="Arial" w:hAnsi="Arial" w:cs="Arial"/>
        </w:rPr>
      </w:pPr>
    </w:p>
    <w:p w14:paraId="245DA4EE" w14:textId="77777777" w:rsidR="00E72C3F" w:rsidRDefault="00E72C3F" w:rsidP="008862C7">
      <w:pPr>
        <w:pStyle w:val="Standard"/>
        <w:spacing w:line="360" w:lineRule="auto"/>
        <w:jc w:val="both"/>
        <w:rPr>
          <w:rFonts w:ascii="Arial" w:hAnsi="Arial" w:cs="Arial"/>
        </w:rPr>
      </w:pPr>
    </w:p>
    <w:p w14:paraId="378D148E" w14:textId="77777777" w:rsidR="00E72C3F" w:rsidRDefault="00E72C3F" w:rsidP="008862C7">
      <w:pPr>
        <w:pStyle w:val="Standard"/>
        <w:spacing w:line="360" w:lineRule="auto"/>
        <w:jc w:val="both"/>
        <w:rPr>
          <w:rFonts w:ascii="Arial" w:hAnsi="Arial" w:cs="Arial"/>
        </w:rPr>
      </w:pPr>
    </w:p>
    <w:p w14:paraId="3A5A5A1D" w14:textId="77777777" w:rsidR="00E72C3F" w:rsidRDefault="00E72C3F" w:rsidP="008862C7">
      <w:pPr>
        <w:pStyle w:val="Standard"/>
        <w:spacing w:line="360" w:lineRule="auto"/>
        <w:jc w:val="both"/>
        <w:rPr>
          <w:rFonts w:ascii="Arial" w:hAnsi="Arial" w:cs="Arial"/>
        </w:rPr>
      </w:pPr>
    </w:p>
    <w:p w14:paraId="373FCBCC" w14:textId="77777777" w:rsidR="008862C7" w:rsidRDefault="008862C7" w:rsidP="008862C7">
      <w:pPr>
        <w:pStyle w:val="Standard"/>
        <w:spacing w:after="0" w:line="360" w:lineRule="auto"/>
        <w:jc w:val="both"/>
        <w:rPr>
          <w:rFonts w:ascii="Arial" w:hAnsi="Arial" w:cs="Arial"/>
        </w:rPr>
      </w:pPr>
      <w:commentRangeStart w:id="126"/>
      <w:r>
        <w:rPr>
          <w:rFonts w:ascii="Arial" w:hAnsi="Arial" w:cs="Arial"/>
          <w:b/>
        </w:rPr>
        <w:lastRenderedPageBreak/>
        <w:t xml:space="preserve">Figure 2.2 : </w:t>
      </w:r>
      <w:r>
        <w:rPr>
          <w:rFonts w:ascii="Arial" w:hAnsi="Arial" w:cs="Arial"/>
        </w:rPr>
        <w:t>Zone de production cotonnière en RCA</w:t>
      </w:r>
      <w:commentRangeEnd w:id="126"/>
      <w:r>
        <w:rPr>
          <w:rStyle w:val="Marquedecommentaire"/>
          <w:rFonts w:eastAsia="Times New Roman" w:cs="Times New Roman"/>
        </w:rPr>
        <w:commentReference w:id="126"/>
      </w:r>
    </w:p>
    <w:p w14:paraId="257A32F8" w14:textId="77777777" w:rsidR="008862C7" w:rsidRDefault="008862C7" w:rsidP="008862C7">
      <w:pPr>
        <w:pStyle w:val="Standard"/>
        <w:spacing w:after="0" w:line="360" w:lineRule="auto"/>
        <w:jc w:val="both"/>
        <w:rPr>
          <w:rFonts w:ascii="Arial" w:hAnsi="Arial" w:cs="Arial"/>
        </w:rPr>
      </w:pPr>
      <w:r>
        <w:rPr>
          <w:rFonts w:ascii="Arial" w:hAnsi="Arial" w:cs="Arial"/>
          <w:noProof/>
          <w:lang w:eastAsia="fr-FR" w:bidi="ar-SA"/>
        </w:rPr>
        <w:drawing>
          <wp:inline distT="0" distB="0" distL="0" distR="0" wp14:anchorId="0EBF1A88" wp14:editId="54699917">
            <wp:extent cx="5819140" cy="3705225"/>
            <wp:effectExtent l="0" t="0" r="0" b="0"/>
            <wp:docPr id="2" name="Image 2" descr="Description : H:\TheseKadekoy_page282_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H:\TheseKadekoy_page282_image5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140" cy="3705225"/>
                    </a:xfrm>
                    <a:prstGeom prst="rect">
                      <a:avLst/>
                    </a:prstGeom>
                    <a:noFill/>
                    <a:ln>
                      <a:noFill/>
                    </a:ln>
                  </pic:spPr>
                </pic:pic>
              </a:graphicData>
            </a:graphic>
          </wp:inline>
        </w:drawing>
      </w:r>
    </w:p>
    <w:p w14:paraId="5C02101C" w14:textId="77777777" w:rsidR="008862C7" w:rsidRDefault="008862C7" w:rsidP="008862C7">
      <w:pPr>
        <w:pStyle w:val="Standard"/>
        <w:spacing w:after="0" w:line="360" w:lineRule="auto"/>
        <w:jc w:val="both"/>
        <w:rPr>
          <w:rFonts w:ascii="Arial" w:hAnsi="Arial" w:cs="Arial"/>
        </w:rPr>
      </w:pPr>
      <w:r>
        <w:rPr>
          <w:rFonts w:ascii="Arial" w:hAnsi="Arial" w:cs="Arial"/>
          <w:b/>
          <w:u w:val="single"/>
        </w:rPr>
        <w:t>Source</w:t>
      </w:r>
      <w:r>
        <w:rPr>
          <w:rFonts w:ascii="Arial" w:hAnsi="Arial" w:cs="Arial"/>
          <w:b/>
        </w:rPr>
        <w:t xml:space="preserve"> : </w:t>
      </w:r>
      <w:r>
        <w:rPr>
          <w:rFonts w:ascii="Arial" w:hAnsi="Arial" w:cs="Arial"/>
        </w:rPr>
        <w:t>Kadékoy-Tigagué, 2010.</w:t>
      </w:r>
    </w:p>
    <w:p w14:paraId="5630EEF7" w14:textId="77777777" w:rsidR="008862C7" w:rsidRDefault="008862C7" w:rsidP="008862C7">
      <w:pPr>
        <w:pStyle w:val="Standard"/>
        <w:spacing w:before="120" w:line="360" w:lineRule="auto"/>
        <w:jc w:val="both"/>
        <w:rPr>
          <w:rFonts w:ascii="Arial" w:hAnsi="Arial" w:cs="Arial"/>
        </w:rPr>
      </w:pPr>
      <w:r>
        <w:rPr>
          <w:rFonts w:ascii="Arial" w:hAnsi="Arial" w:cs="Arial"/>
        </w:rPr>
        <w:t>La crise que traverse cette filière depuis quelques décennies et les derniers évènements militaro-politiques qu’a connus le pays ces dernières années ont eu une incidence négative sur la croissance de la superficie consacrée à la culture du coton en RCA. De même, les usines d’égrainage, qui étaient au nombre de 7</w:t>
      </w:r>
      <w:r>
        <w:rPr>
          <w:rStyle w:val="Appelnotedebasdep"/>
          <w:rFonts w:ascii="Arial" w:hAnsi="Arial" w:cs="Arial"/>
        </w:rPr>
        <w:footnoteReference w:id="28"/>
      </w:r>
      <w:r>
        <w:rPr>
          <w:rFonts w:ascii="Arial" w:hAnsi="Arial" w:cs="Arial"/>
        </w:rPr>
        <w:t xml:space="preserve"> dans le passé, ne sont plus que quatre dont seulement celle de Bossangoa est effectivement opérationnelle </w:t>
      </w:r>
      <w:commentRangeStart w:id="127"/>
      <w:r>
        <w:rPr>
          <w:rFonts w:ascii="Arial" w:hAnsi="Arial" w:cs="Arial"/>
        </w:rPr>
        <w:t>à ce jour</w:t>
      </w:r>
      <w:commentRangeEnd w:id="127"/>
      <w:r>
        <w:rPr>
          <w:rStyle w:val="Marquedecommentaire"/>
          <w:rFonts w:eastAsia="Times New Roman" w:cs="Times New Roman"/>
        </w:rPr>
        <w:commentReference w:id="127"/>
      </w:r>
      <w:r>
        <w:rPr>
          <w:rStyle w:val="Appelnotedebasdep"/>
          <w:rFonts w:ascii="Arial" w:hAnsi="Arial" w:cs="Arial"/>
        </w:rPr>
        <w:footnoteReference w:id="29"/>
      </w:r>
      <w:r>
        <w:rPr>
          <w:rFonts w:ascii="Arial" w:hAnsi="Arial" w:cs="Arial"/>
        </w:rPr>
        <w:t>. Lesquelles sont situées à Bossangoa (nord-ouest) à Bambari (centre-est), et à Péndé (nord-ouest)</w:t>
      </w:r>
      <w:r>
        <w:rPr>
          <w:rStyle w:val="Appelnotedebasdep"/>
          <w:rFonts w:ascii="Arial" w:hAnsi="Arial" w:cs="Arial"/>
        </w:rPr>
        <w:footnoteReference w:id="30"/>
      </w:r>
      <w:r>
        <w:rPr>
          <w:rFonts w:ascii="Arial" w:hAnsi="Arial" w:cs="Arial"/>
        </w:rPr>
        <w:t>. Ce qui fait de ses sous-préfectures des zones stratégiques dans la filière coton en RCA et seront donc retenues comme notre zone d’étude.</w:t>
      </w:r>
    </w:p>
    <w:p w14:paraId="2E4C700B" w14:textId="77777777" w:rsidR="008862C7" w:rsidRDefault="008862C7" w:rsidP="008862C7">
      <w:pPr>
        <w:suppressAutoHyphens/>
        <w:spacing w:after="120" w:line="360" w:lineRule="auto"/>
        <w:jc w:val="both"/>
        <w:outlineLvl w:val="6"/>
        <w:rPr>
          <w:rFonts w:ascii="Arial" w:hAnsi="Arial" w:cs="Arial"/>
        </w:rPr>
      </w:pPr>
      <w:bookmarkStart w:id="128" w:name="_Toc395107595"/>
      <w:bookmarkStart w:id="129" w:name="_Toc321250969"/>
      <w:r>
        <w:rPr>
          <w:rFonts w:ascii="Arial" w:hAnsi="Arial" w:cs="Arial"/>
          <w:b/>
        </w:rPr>
        <w:t>2.2.1. Sous-préfecture de Bossangoa</w:t>
      </w:r>
      <w:bookmarkEnd w:id="128"/>
      <w:bookmarkEnd w:id="129"/>
    </w:p>
    <w:p w14:paraId="45732891" w14:textId="77777777" w:rsidR="008862C7" w:rsidRDefault="008862C7" w:rsidP="008862C7">
      <w:pPr>
        <w:pStyle w:val="Paragraphedeliste"/>
        <w:numPr>
          <w:ilvl w:val="0"/>
          <w:numId w:val="22"/>
        </w:numPr>
        <w:suppressAutoHyphens/>
        <w:spacing w:after="120" w:line="360" w:lineRule="auto"/>
        <w:jc w:val="both"/>
        <w:outlineLvl w:val="6"/>
        <w:rPr>
          <w:rFonts w:ascii="Arial" w:hAnsi="Arial" w:cs="Arial"/>
        </w:rPr>
      </w:pPr>
      <w:bookmarkStart w:id="130" w:name="_Toc395107596"/>
      <w:r>
        <w:rPr>
          <w:rFonts w:ascii="Arial" w:hAnsi="Arial" w:cs="Arial"/>
          <w:b/>
        </w:rPr>
        <w:t>Milieu physique</w:t>
      </w:r>
      <w:bookmarkEnd w:id="130"/>
    </w:p>
    <w:p w14:paraId="6DE822F5" w14:textId="77777777" w:rsidR="008862C7" w:rsidRDefault="008862C7" w:rsidP="008862C7">
      <w:pPr>
        <w:pStyle w:val="Standard"/>
        <w:spacing w:line="360" w:lineRule="auto"/>
        <w:jc w:val="both"/>
        <w:rPr>
          <w:rFonts w:ascii="Arial" w:hAnsi="Arial" w:cs="Arial"/>
        </w:rPr>
      </w:pPr>
      <w:r>
        <w:rPr>
          <w:rFonts w:ascii="Arial" w:hAnsi="Arial" w:cs="Arial"/>
        </w:rPr>
        <w:t xml:space="preserve">La sous-préfecture de Bossangoa appartient à la Préfecture de l’Ouham qui fut la Préfecture la plus affectée par les évènements politico-militaires de 2003 et de 2013. Considérée comme la </w:t>
      </w:r>
      <w:r>
        <w:rPr>
          <w:rFonts w:ascii="Arial" w:hAnsi="Arial" w:cs="Arial"/>
        </w:rPr>
        <w:lastRenderedPageBreak/>
        <w:t>ville pilote de la Préfecture de l’Ouham, localisée au Nord de la République Centrafricaine, la Sous-préfecture de Bossangoa est limitée au Nord par la Sous-préfecture de Nana-Bakassa, au Sud par la Sous-préfecture de Bossembélé, à l’Est par la Sous-préfecture de Bouca et à l’Ouest par celle de Bozoum. Située à 305 km de la capitale Bangui, Bossangoa demeure l’une des villes les plus structurées de la Centrafrique, couvrant une superficie de treize mille cinquante-deux kilomètres carrés (13052 km</w:t>
      </w:r>
      <w:r>
        <w:rPr>
          <w:rFonts w:ascii="Arial" w:hAnsi="Arial" w:cs="Arial"/>
          <w:vertAlign w:val="superscript"/>
        </w:rPr>
        <w:t>²)</w:t>
      </w:r>
      <w:r>
        <w:rPr>
          <w:rFonts w:ascii="Arial" w:hAnsi="Arial" w:cs="Arial"/>
        </w:rPr>
        <w:t>.</w:t>
      </w:r>
    </w:p>
    <w:p w14:paraId="7D91FA80" w14:textId="77777777" w:rsidR="008862C7" w:rsidRDefault="008862C7" w:rsidP="008862C7">
      <w:pPr>
        <w:pStyle w:val="Standard"/>
        <w:spacing w:line="360" w:lineRule="auto"/>
        <w:jc w:val="both"/>
        <w:rPr>
          <w:rFonts w:ascii="Arial" w:hAnsi="Arial" w:cs="Arial"/>
        </w:rPr>
      </w:pPr>
      <w:r>
        <w:rPr>
          <w:rFonts w:ascii="Arial" w:hAnsi="Arial" w:cs="Arial"/>
        </w:rPr>
        <w:t>Malgré sa position stratégique qui lui avait permis d’être avantagée sur le plan des infrastructures, elle a subi d’énormes dommages occasionnant ainsi la fuite des populations vers d’autres lieux plus sécurisés. Elle a été, en effet, le théâtre de violents combats ayant entraîné des destructions massives d’infrastructures de base publiques et privées et d’habitations pendant les derniers événement militaro-politique qu’a connu le pays au cours de la décennie. Ce dépeuplement a eu des répercussions importantes sur le plan du développement économique de la localité. En effet, l’unique société cotonnière pourvoyeuse d’emplois avait cessé de fonctionner, endommagée par les combats de 2003 et de 2013. C’est ce qui justifiait le déplacement de la direction de cette société à Bangui.</w:t>
      </w:r>
    </w:p>
    <w:p w14:paraId="6443F71C"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ville de Bossangoa est caractérisée par un climat Soudano-Guinéen avec deux saisons</w:t>
      </w:r>
      <w:r>
        <w:rPr>
          <w:rFonts w:ascii="Arial" w:hAnsi="Arial" w:cs="Arial"/>
          <w:b/>
          <w:sz w:val="24"/>
          <w:szCs w:val="24"/>
        </w:rPr>
        <w:t>,</w:t>
      </w:r>
      <w:r>
        <w:rPr>
          <w:rFonts w:ascii="Arial" w:hAnsi="Arial" w:cs="Arial"/>
          <w:sz w:val="24"/>
          <w:szCs w:val="24"/>
        </w:rPr>
        <w:t xml:space="preserve"> la saison pluvieuse qui s’étend d’Avril à Octobre et une saison sèche variant de Novembre à Mars</w:t>
      </w:r>
      <w:r>
        <w:rPr>
          <w:rFonts w:ascii="Arial" w:hAnsi="Arial" w:cs="Arial"/>
          <w:b/>
          <w:sz w:val="24"/>
          <w:szCs w:val="24"/>
        </w:rPr>
        <w:t>.</w:t>
      </w:r>
      <w:r>
        <w:rPr>
          <w:rFonts w:ascii="Arial" w:hAnsi="Arial" w:cs="Arial"/>
          <w:sz w:val="24"/>
          <w:szCs w:val="24"/>
        </w:rPr>
        <w:t xml:space="preserve"> En moyenne annuelle</w:t>
      </w:r>
      <w:r>
        <w:rPr>
          <w:rFonts w:ascii="Arial" w:hAnsi="Arial" w:cs="Arial"/>
          <w:b/>
          <w:sz w:val="24"/>
          <w:szCs w:val="24"/>
        </w:rPr>
        <w:t>,</w:t>
      </w:r>
      <w:r>
        <w:rPr>
          <w:rFonts w:ascii="Arial" w:hAnsi="Arial" w:cs="Arial"/>
          <w:sz w:val="24"/>
          <w:szCs w:val="24"/>
        </w:rPr>
        <w:t xml:space="preserve"> la pluviométrie est de l’ordre de 1400 mm pour 120 jours de pluies</w:t>
      </w:r>
      <w:r>
        <w:rPr>
          <w:rFonts w:ascii="Arial" w:hAnsi="Arial" w:cs="Arial"/>
          <w:b/>
          <w:sz w:val="24"/>
          <w:szCs w:val="24"/>
        </w:rPr>
        <w:t>.</w:t>
      </w:r>
      <w:r>
        <w:rPr>
          <w:rFonts w:ascii="Arial" w:hAnsi="Arial" w:cs="Arial"/>
          <w:sz w:val="24"/>
          <w:szCs w:val="24"/>
        </w:rPr>
        <w:t xml:space="preserve"> En moyenne annuelle</w:t>
      </w:r>
      <w:r>
        <w:rPr>
          <w:rFonts w:ascii="Arial" w:hAnsi="Arial" w:cs="Arial"/>
          <w:b/>
          <w:sz w:val="24"/>
          <w:szCs w:val="24"/>
        </w:rPr>
        <w:t>,</w:t>
      </w:r>
      <w:r>
        <w:rPr>
          <w:rFonts w:ascii="Arial" w:hAnsi="Arial" w:cs="Arial"/>
          <w:sz w:val="24"/>
          <w:szCs w:val="24"/>
        </w:rPr>
        <w:t xml:space="preserve"> la température est de 26°C. La végétation est une savane arborée</w:t>
      </w:r>
      <w:r>
        <w:rPr>
          <w:rFonts w:ascii="Arial" w:hAnsi="Arial" w:cs="Arial"/>
          <w:b/>
          <w:sz w:val="24"/>
          <w:szCs w:val="24"/>
        </w:rPr>
        <w:t>,</w:t>
      </w:r>
      <w:r>
        <w:rPr>
          <w:rFonts w:ascii="Arial" w:hAnsi="Arial" w:cs="Arial"/>
          <w:sz w:val="24"/>
          <w:szCs w:val="24"/>
        </w:rPr>
        <w:t xml:space="preserve"> dégradée par les cultures</w:t>
      </w:r>
      <w:r>
        <w:rPr>
          <w:rFonts w:ascii="Arial" w:hAnsi="Arial" w:cs="Arial"/>
          <w:b/>
          <w:sz w:val="24"/>
          <w:szCs w:val="24"/>
        </w:rPr>
        <w:t>,</w:t>
      </w:r>
      <w:r>
        <w:rPr>
          <w:rFonts w:ascii="Arial" w:hAnsi="Arial" w:cs="Arial"/>
          <w:sz w:val="24"/>
          <w:szCs w:val="24"/>
        </w:rPr>
        <w:t xml:space="preserve"> les feux de brousse et la coupe de bois de chauffage</w:t>
      </w:r>
      <w:r>
        <w:rPr>
          <w:rFonts w:ascii="Arial" w:hAnsi="Arial" w:cs="Arial"/>
          <w:b/>
          <w:sz w:val="24"/>
          <w:szCs w:val="24"/>
        </w:rPr>
        <w:t>.</w:t>
      </w:r>
      <w:r>
        <w:rPr>
          <w:rFonts w:ascii="Arial" w:hAnsi="Arial" w:cs="Arial"/>
          <w:sz w:val="24"/>
          <w:szCs w:val="24"/>
        </w:rPr>
        <w:t xml:space="preserve"> Le sol de la ville de Bossangoa est essentiellement constitué de schistes et de gneiss</w:t>
      </w:r>
      <w:r>
        <w:rPr>
          <w:rFonts w:ascii="Arial" w:hAnsi="Arial" w:cs="Arial"/>
          <w:b/>
          <w:sz w:val="24"/>
          <w:szCs w:val="24"/>
        </w:rPr>
        <w:t>.</w:t>
      </w:r>
      <w:r>
        <w:rPr>
          <w:rFonts w:ascii="Arial" w:hAnsi="Arial" w:cs="Arial"/>
          <w:sz w:val="24"/>
          <w:szCs w:val="24"/>
        </w:rPr>
        <w:t xml:space="preserve"> Toutes ces caractéristiques climatiques sont favorables à la culture du coton</w:t>
      </w:r>
      <w:r>
        <w:rPr>
          <w:rFonts w:ascii="Arial" w:hAnsi="Arial" w:cs="Arial"/>
          <w:b/>
          <w:sz w:val="24"/>
          <w:szCs w:val="24"/>
        </w:rPr>
        <w:t>.</w:t>
      </w:r>
      <w:r>
        <w:rPr>
          <w:rFonts w:ascii="Arial" w:hAnsi="Arial" w:cs="Arial"/>
          <w:sz w:val="24"/>
          <w:szCs w:val="24"/>
        </w:rPr>
        <w:t xml:space="preserve"> </w:t>
      </w:r>
    </w:p>
    <w:p w14:paraId="1E6BDBB2" w14:textId="77777777" w:rsidR="008862C7" w:rsidRDefault="008862C7" w:rsidP="008862C7">
      <w:pPr>
        <w:numPr>
          <w:ilvl w:val="0"/>
          <w:numId w:val="22"/>
        </w:numPr>
        <w:tabs>
          <w:tab w:val="left" w:pos="708"/>
        </w:tabs>
        <w:spacing w:after="120" w:line="360" w:lineRule="auto"/>
        <w:jc w:val="both"/>
        <w:rPr>
          <w:rFonts w:ascii="Arial" w:hAnsi="Arial" w:cs="Arial"/>
          <w:b/>
          <w:sz w:val="24"/>
          <w:szCs w:val="24"/>
        </w:rPr>
      </w:pPr>
      <w:r>
        <w:rPr>
          <w:rFonts w:ascii="Arial" w:hAnsi="Arial" w:cs="Arial"/>
          <w:b/>
          <w:sz w:val="24"/>
          <w:szCs w:val="24"/>
        </w:rPr>
        <w:t>Milieu humain</w:t>
      </w:r>
    </w:p>
    <w:p w14:paraId="2AD7EC12" w14:textId="77777777" w:rsidR="008862C7" w:rsidRDefault="008862C7" w:rsidP="008862C7">
      <w:pPr>
        <w:spacing w:line="360" w:lineRule="auto"/>
        <w:jc w:val="both"/>
        <w:rPr>
          <w:rFonts w:ascii="Arial" w:hAnsi="Arial" w:cs="Arial"/>
          <w:b/>
          <w:sz w:val="24"/>
          <w:szCs w:val="24"/>
        </w:rPr>
      </w:pPr>
      <w:r>
        <w:rPr>
          <w:rFonts w:ascii="Arial" w:hAnsi="Arial" w:cs="Arial"/>
          <w:sz w:val="24"/>
          <w:szCs w:val="24"/>
        </w:rPr>
        <w:t>La ville de Bossangoa compte une dizaine de groupes ethniques avec une prédominance de l’ethnie Gbaya</w:t>
      </w:r>
      <w:r>
        <w:rPr>
          <w:rFonts w:ascii="Arial" w:hAnsi="Arial" w:cs="Arial"/>
          <w:b/>
          <w:sz w:val="24"/>
          <w:szCs w:val="24"/>
        </w:rPr>
        <w:t>.</w:t>
      </w:r>
      <w:r>
        <w:rPr>
          <w:rFonts w:ascii="Arial" w:hAnsi="Arial" w:cs="Arial"/>
          <w:sz w:val="24"/>
          <w:szCs w:val="24"/>
        </w:rPr>
        <w:t xml:space="preserve"> Les autres groupes ethniques sont </w:t>
      </w:r>
      <w:r>
        <w:rPr>
          <w:rFonts w:ascii="Arial" w:hAnsi="Arial" w:cs="Arial"/>
          <w:b/>
          <w:sz w:val="24"/>
          <w:szCs w:val="24"/>
        </w:rPr>
        <w:t>:</w:t>
      </w:r>
      <w:r>
        <w:rPr>
          <w:rFonts w:ascii="Arial" w:hAnsi="Arial" w:cs="Arial"/>
          <w:sz w:val="24"/>
          <w:szCs w:val="24"/>
        </w:rPr>
        <w:t xml:space="preserve"> les Banda</w:t>
      </w:r>
      <w:r>
        <w:rPr>
          <w:rFonts w:ascii="Arial" w:hAnsi="Arial" w:cs="Arial"/>
          <w:b/>
          <w:sz w:val="24"/>
          <w:szCs w:val="24"/>
        </w:rPr>
        <w:t>,</w:t>
      </w:r>
      <w:r>
        <w:rPr>
          <w:rFonts w:ascii="Arial" w:hAnsi="Arial" w:cs="Arial"/>
          <w:sz w:val="24"/>
          <w:szCs w:val="24"/>
        </w:rPr>
        <w:t xml:space="preserve"> Kaba, Souma</w:t>
      </w:r>
      <w:r>
        <w:rPr>
          <w:rFonts w:ascii="Arial" w:hAnsi="Arial" w:cs="Arial"/>
          <w:b/>
          <w:sz w:val="24"/>
          <w:szCs w:val="24"/>
        </w:rPr>
        <w:t>,</w:t>
      </w:r>
      <w:r>
        <w:rPr>
          <w:rFonts w:ascii="Arial" w:hAnsi="Arial" w:cs="Arial"/>
          <w:sz w:val="24"/>
          <w:szCs w:val="24"/>
        </w:rPr>
        <w:t xml:space="preserve"> Dagba</w:t>
      </w:r>
      <w:r>
        <w:rPr>
          <w:rFonts w:ascii="Arial" w:hAnsi="Arial" w:cs="Arial"/>
          <w:b/>
          <w:sz w:val="24"/>
          <w:szCs w:val="24"/>
        </w:rPr>
        <w:t>,</w:t>
      </w:r>
      <w:r>
        <w:rPr>
          <w:rFonts w:ascii="Arial" w:hAnsi="Arial" w:cs="Arial"/>
          <w:sz w:val="24"/>
          <w:szCs w:val="24"/>
        </w:rPr>
        <w:t xml:space="preserve"> Taley, Kare</w:t>
      </w:r>
      <w:r>
        <w:rPr>
          <w:rFonts w:ascii="Arial" w:hAnsi="Arial" w:cs="Arial"/>
          <w:b/>
          <w:sz w:val="24"/>
          <w:szCs w:val="24"/>
        </w:rPr>
        <w:t>,</w:t>
      </w:r>
      <w:r>
        <w:rPr>
          <w:rFonts w:ascii="Arial" w:hAnsi="Arial" w:cs="Arial"/>
          <w:sz w:val="24"/>
          <w:szCs w:val="24"/>
        </w:rPr>
        <w:t xml:space="preserve"> Mbororo et Arabe- Musulman</w:t>
      </w:r>
      <w:r>
        <w:rPr>
          <w:rFonts w:ascii="Arial" w:hAnsi="Arial" w:cs="Arial"/>
          <w:b/>
          <w:sz w:val="24"/>
          <w:szCs w:val="24"/>
        </w:rPr>
        <w:t>.</w:t>
      </w:r>
      <w:r>
        <w:rPr>
          <w:rFonts w:ascii="Arial" w:hAnsi="Arial" w:cs="Arial"/>
          <w:sz w:val="24"/>
          <w:szCs w:val="24"/>
        </w:rPr>
        <w:t xml:space="preserve"> Historiquement</w:t>
      </w:r>
      <w:r>
        <w:rPr>
          <w:rFonts w:ascii="Arial" w:hAnsi="Arial" w:cs="Arial"/>
          <w:b/>
          <w:sz w:val="24"/>
          <w:szCs w:val="24"/>
        </w:rPr>
        <w:t>,</w:t>
      </w:r>
      <w:r>
        <w:rPr>
          <w:rFonts w:ascii="Arial" w:hAnsi="Arial" w:cs="Arial"/>
          <w:sz w:val="24"/>
          <w:szCs w:val="24"/>
        </w:rPr>
        <w:t xml:space="preserve"> l’implantation de l’industrie cotonnière et des structures administratives ont constitué un facteur d’attrait et de mélange de ces différents groupes d’ethniques</w:t>
      </w:r>
      <w:r>
        <w:rPr>
          <w:rFonts w:ascii="Arial" w:hAnsi="Arial" w:cs="Arial"/>
          <w:b/>
          <w:sz w:val="24"/>
          <w:szCs w:val="24"/>
        </w:rPr>
        <w:t>.</w:t>
      </w:r>
    </w:p>
    <w:p w14:paraId="38882F0E" w14:textId="77777777" w:rsidR="00E72C3F" w:rsidRDefault="00E72C3F" w:rsidP="008862C7">
      <w:pPr>
        <w:spacing w:line="360" w:lineRule="auto"/>
        <w:jc w:val="both"/>
        <w:rPr>
          <w:rFonts w:ascii="Arial" w:hAnsi="Arial" w:cs="Arial"/>
          <w:b/>
          <w:sz w:val="24"/>
          <w:szCs w:val="24"/>
        </w:rPr>
      </w:pPr>
    </w:p>
    <w:p w14:paraId="5B81EE9F" w14:textId="77777777" w:rsidR="00E72C3F" w:rsidRDefault="00E72C3F" w:rsidP="008862C7">
      <w:pPr>
        <w:spacing w:line="360" w:lineRule="auto"/>
        <w:jc w:val="both"/>
        <w:rPr>
          <w:rFonts w:ascii="Arial" w:hAnsi="Arial" w:cs="Arial"/>
          <w:b/>
          <w:sz w:val="24"/>
          <w:szCs w:val="24"/>
        </w:rPr>
      </w:pPr>
    </w:p>
    <w:p w14:paraId="22AC2EFE" w14:textId="77777777" w:rsidR="00E72C3F" w:rsidRDefault="00E72C3F" w:rsidP="008862C7">
      <w:pPr>
        <w:spacing w:line="360" w:lineRule="auto"/>
        <w:jc w:val="both"/>
        <w:rPr>
          <w:rFonts w:ascii="Arial" w:hAnsi="Arial" w:cs="Arial"/>
          <w:b/>
          <w:sz w:val="24"/>
          <w:szCs w:val="24"/>
        </w:rPr>
      </w:pPr>
    </w:p>
    <w:p w14:paraId="429388F6"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lastRenderedPageBreak/>
        <w:t xml:space="preserve">Tableau 2.4 : </w:t>
      </w:r>
      <w:r>
        <w:rPr>
          <w:rFonts w:ascii="Arial" w:hAnsi="Arial" w:cs="Arial"/>
          <w:sz w:val="24"/>
          <w:szCs w:val="24"/>
        </w:rPr>
        <w:t>Répartition de la population de la sous-préfecture de Bossangoa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7"/>
        <w:gridCol w:w="3026"/>
        <w:gridCol w:w="3129"/>
      </w:tblGrid>
      <w:tr w:rsidR="008862C7" w14:paraId="2A41BC5B" w14:textId="77777777" w:rsidTr="008862C7">
        <w:trPr>
          <w:cantSplit/>
          <w:trHeight w:val="290"/>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30FA122C" w14:textId="77777777" w:rsidR="008862C7" w:rsidRDefault="008862C7">
            <w:pPr>
              <w:tabs>
                <w:tab w:val="left" w:pos="708"/>
              </w:tabs>
              <w:spacing w:before="120" w:after="0" w:line="240" w:lineRule="auto"/>
              <w:rPr>
                <w:rFonts w:ascii="Arial" w:eastAsia="Times New Roman" w:hAnsi="Arial" w:cs="Arial"/>
                <w:b/>
              </w:rPr>
            </w:pPr>
            <w:r>
              <w:rPr>
                <w:rFonts w:ascii="Arial" w:hAnsi="Arial" w:cs="Arial"/>
                <w:b/>
              </w:rPr>
              <w:t>Commune</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0497DC6F" w14:textId="77777777" w:rsidR="008862C7" w:rsidRDefault="008862C7">
            <w:pPr>
              <w:tabs>
                <w:tab w:val="left" w:pos="708"/>
              </w:tabs>
              <w:spacing w:before="120" w:after="0" w:line="240" w:lineRule="auto"/>
              <w:jc w:val="center"/>
              <w:rPr>
                <w:rFonts w:ascii="Arial" w:eastAsia="Times New Roman" w:hAnsi="Arial" w:cs="Arial"/>
                <w:b/>
              </w:rPr>
            </w:pPr>
            <w:r>
              <w:rPr>
                <w:rFonts w:ascii="Arial" w:hAnsi="Arial" w:cs="Arial"/>
                <w:b/>
              </w:rPr>
              <w:t>Population</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50F03583" w14:textId="77777777" w:rsidR="008862C7" w:rsidRDefault="008862C7">
            <w:pPr>
              <w:tabs>
                <w:tab w:val="left" w:pos="708"/>
              </w:tabs>
              <w:spacing w:before="120" w:after="0" w:line="240" w:lineRule="auto"/>
              <w:jc w:val="center"/>
              <w:rPr>
                <w:rFonts w:ascii="Arial" w:eastAsia="Times New Roman" w:hAnsi="Arial" w:cs="Arial"/>
                <w:b/>
              </w:rPr>
            </w:pPr>
            <w:r>
              <w:rPr>
                <w:rFonts w:ascii="Arial" w:hAnsi="Arial" w:cs="Arial"/>
                <w:b/>
              </w:rPr>
              <w:t>Proportion en %</w:t>
            </w:r>
          </w:p>
        </w:tc>
      </w:tr>
      <w:tr w:rsidR="008862C7" w14:paraId="20EE8F23" w14:textId="77777777" w:rsidTr="008862C7">
        <w:trPr>
          <w:cantSplit/>
          <w:trHeight w:val="279"/>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36E3B9C3"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Bossangoa</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595A4B5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27930</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7809898B"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29,29</w:t>
            </w:r>
          </w:p>
        </w:tc>
      </w:tr>
      <w:tr w:rsidR="008862C7" w14:paraId="3ADE8FF4" w14:textId="77777777" w:rsidTr="008862C7">
        <w:trPr>
          <w:cantSplit/>
          <w:trHeight w:val="270"/>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7AF5EC15"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Soumbé</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476ECE9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6066</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00F7BB7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06</w:t>
            </w:r>
          </w:p>
        </w:tc>
      </w:tr>
      <w:tr w:rsidR="008862C7" w14:paraId="35DA0D70" w14:textId="77777777" w:rsidTr="008862C7">
        <w:trPr>
          <w:cantSplit/>
          <w:trHeight w:val="274"/>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07455C70"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Koro- Mpoko</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0AF7D6A2"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7292</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60F1C33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08</w:t>
            </w:r>
          </w:p>
        </w:tc>
      </w:tr>
      <w:tr w:rsidR="008862C7" w14:paraId="3F853034" w14:textId="77777777" w:rsidTr="008862C7">
        <w:trPr>
          <w:cantSplit/>
          <w:trHeight w:val="264"/>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094244FA"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Ben-Zambé</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4E5CE2A4"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18243</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5C6F93C7"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19</w:t>
            </w:r>
          </w:p>
        </w:tc>
      </w:tr>
      <w:tr w:rsidR="008862C7" w14:paraId="37B4E67F" w14:textId="77777777" w:rsidTr="008862C7">
        <w:trPr>
          <w:cantSplit/>
          <w:trHeight w:val="281"/>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73971ED8"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Ouham Bac</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07872A26"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10782</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6768BA0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11,3</w:t>
            </w:r>
          </w:p>
        </w:tc>
      </w:tr>
      <w:tr w:rsidR="008862C7" w14:paraId="22E50946" w14:textId="77777777" w:rsidTr="008862C7">
        <w:trPr>
          <w:cantSplit/>
          <w:trHeight w:val="272"/>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31FB7512"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Ndoro-Mboli</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16C712B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25047</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6E252ABA"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26,27</w:t>
            </w:r>
          </w:p>
        </w:tc>
      </w:tr>
      <w:tr w:rsidR="008862C7" w14:paraId="024871B0" w14:textId="77777777" w:rsidTr="008862C7">
        <w:trPr>
          <w:cantSplit/>
          <w:trHeight w:val="276"/>
        </w:trPr>
        <w:tc>
          <w:tcPr>
            <w:tcW w:w="2917" w:type="dxa"/>
            <w:tcBorders>
              <w:top w:val="single" w:sz="4" w:space="0" w:color="000000"/>
              <w:left w:val="single" w:sz="4" w:space="0" w:color="000000"/>
              <w:bottom w:val="single" w:sz="4" w:space="0" w:color="000000"/>
              <w:right w:val="single" w:sz="4" w:space="0" w:color="000000"/>
            </w:tcBorders>
            <w:vAlign w:val="center"/>
            <w:hideMark/>
          </w:tcPr>
          <w:p w14:paraId="47A184E4" w14:textId="77777777" w:rsidR="008862C7" w:rsidRDefault="008862C7">
            <w:pPr>
              <w:tabs>
                <w:tab w:val="left" w:pos="708"/>
              </w:tabs>
              <w:spacing w:before="120" w:after="0" w:line="240" w:lineRule="auto"/>
              <w:rPr>
                <w:rFonts w:ascii="Arial" w:eastAsia="Times New Roman" w:hAnsi="Arial" w:cs="Arial"/>
                <w:b/>
              </w:rPr>
            </w:pPr>
            <w:r>
              <w:rPr>
                <w:rFonts w:ascii="Arial" w:hAnsi="Arial" w:cs="Arial"/>
                <w:b/>
              </w:rPr>
              <w:t>Total</w:t>
            </w:r>
          </w:p>
        </w:tc>
        <w:tc>
          <w:tcPr>
            <w:tcW w:w="3026" w:type="dxa"/>
            <w:tcBorders>
              <w:top w:val="single" w:sz="4" w:space="0" w:color="000000"/>
              <w:left w:val="single" w:sz="4" w:space="0" w:color="000000"/>
              <w:bottom w:val="single" w:sz="4" w:space="0" w:color="000000"/>
              <w:right w:val="single" w:sz="4" w:space="0" w:color="000000"/>
            </w:tcBorders>
            <w:vAlign w:val="center"/>
            <w:hideMark/>
          </w:tcPr>
          <w:p w14:paraId="1A73FD17" w14:textId="77777777" w:rsidR="008862C7" w:rsidRDefault="008862C7">
            <w:pPr>
              <w:tabs>
                <w:tab w:val="left" w:pos="708"/>
              </w:tabs>
              <w:spacing w:before="120" w:after="0" w:line="240" w:lineRule="auto"/>
              <w:jc w:val="center"/>
              <w:rPr>
                <w:rFonts w:ascii="Arial" w:eastAsia="Times New Roman" w:hAnsi="Arial" w:cs="Arial"/>
                <w:b/>
              </w:rPr>
            </w:pPr>
            <w:r>
              <w:rPr>
                <w:rFonts w:ascii="Arial" w:hAnsi="Arial" w:cs="Arial"/>
                <w:b/>
              </w:rPr>
              <w:t>95360</w:t>
            </w:r>
          </w:p>
        </w:tc>
        <w:tc>
          <w:tcPr>
            <w:tcW w:w="3129" w:type="dxa"/>
            <w:tcBorders>
              <w:top w:val="single" w:sz="4" w:space="0" w:color="000000"/>
              <w:left w:val="single" w:sz="4" w:space="0" w:color="000000"/>
              <w:bottom w:val="single" w:sz="4" w:space="0" w:color="000000"/>
              <w:right w:val="single" w:sz="4" w:space="0" w:color="000000"/>
            </w:tcBorders>
            <w:vAlign w:val="center"/>
            <w:hideMark/>
          </w:tcPr>
          <w:p w14:paraId="6EC12229" w14:textId="77777777" w:rsidR="008862C7" w:rsidRDefault="008862C7">
            <w:pPr>
              <w:tabs>
                <w:tab w:val="left" w:pos="708"/>
              </w:tabs>
              <w:spacing w:before="120" w:after="0" w:line="240" w:lineRule="auto"/>
              <w:jc w:val="center"/>
              <w:rPr>
                <w:rFonts w:ascii="Arial" w:eastAsia="Times New Roman" w:hAnsi="Arial" w:cs="Arial"/>
                <w:b/>
              </w:rPr>
            </w:pPr>
            <w:r>
              <w:rPr>
                <w:rFonts w:ascii="Arial" w:hAnsi="Arial" w:cs="Arial"/>
                <w:b/>
              </w:rPr>
              <w:t>100</w:t>
            </w:r>
          </w:p>
        </w:tc>
      </w:tr>
    </w:tbl>
    <w:p w14:paraId="303E2AE8" w14:textId="77777777" w:rsidR="008862C7" w:rsidRDefault="008862C7" w:rsidP="008862C7">
      <w:pPr>
        <w:spacing w:before="120" w:line="360" w:lineRule="auto"/>
        <w:jc w:val="both"/>
        <w:rPr>
          <w:rFonts w:ascii="Arial" w:eastAsia="Times New Roman" w:hAnsi="Arial" w:cs="Arial"/>
        </w:rPr>
      </w:pPr>
      <w:r>
        <w:rPr>
          <w:rFonts w:ascii="Arial" w:hAnsi="Arial" w:cs="Arial"/>
          <w:b/>
        </w:rPr>
        <w:t>Source :</w:t>
      </w:r>
      <w:r>
        <w:rPr>
          <w:rFonts w:ascii="Arial" w:hAnsi="Arial" w:cs="Arial"/>
        </w:rPr>
        <w:t xml:space="preserve"> RGPH, 2003</w:t>
      </w:r>
    </w:p>
    <w:p w14:paraId="5C00C213" w14:textId="77777777" w:rsidR="008862C7" w:rsidRDefault="008862C7" w:rsidP="008862C7">
      <w:pPr>
        <w:spacing w:line="360" w:lineRule="auto"/>
        <w:jc w:val="both"/>
        <w:rPr>
          <w:rFonts w:ascii="Arial" w:hAnsi="Arial" w:cs="Arial"/>
          <w:b/>
          <w:sz w:val="24"/>
          <w:szCs w:val="24"/>
        </w:rPr>
      </w:pPr>
      <w:r>
        <w:rPr>
          <w:rFonts w:ascii="Arial" w:hAnsi="Arial" w:cs="Arial"/>
          <w:sz w:val="24"/>
          <w:szCs w:val="24"/>
        </w:rPr>
        <w:t>Sur la base des données du recensement de 2003</w:t>
      </w:r>
      <w:r>
        <w:rPr>
          <w:rFonts w:ascii="Arial" w:hAnsi="Arial" w:cs="Arial"/>
          <w:b/>
          <w:sz w:val="24"/>
          <w:szCs w:val="24"/>
        </w:rPr>
        <w:t>,</w:t>
      </w:r>
      <w:r>
        <w:rPr>
          <w:rFonts w:ascii="Arial" w:hAnsi="Arial" w:cs="Arial"/>
          <w:sz w:val="24"/>
          <w:szCs w:val="24"/>
        </w:rPr>
        <w:t xml:space="preserve"> la population urbaine dans la sous-préfecture est de 27930 Habitants (ICASEES, 2008)</w:t>
      </w:r>
      <w:r>
        <w:rPr>
          <w:rFonts w:ascii="Arial" w:hAnsi="Arial" w:cs="Arial"/>
          <w:b/>
          <w:sz w:val="24"/>
          <w:szCs w:val="24"/>
        </w:rPr>
        <w:t>.</w:t>
      </w:r>
      <w:r>
        <w:rPr>
          <w:rFonts w:ascii="Arial" w:hAnsi="Arial" w:cs="Arial"/>
          <w:sz w:val="24"/>
          <w:szCs w:val="24"/>
        </w:rPr>
        <w:t xml:space="preserve"> La structure de la proportion montre que la population de Bossangoa est constituée des jeunes</w:t>
      </w:r>
      <w:r>
        <w:rPr>
          <w:rFonts w:ascii="Arial" w:hAnsi="Arial" w:cs="Arial"/>
          <w:b/>
          <w:sz w:val="24"/>
          <w:szCs w:val="24"/>
        </w:rPr>
        <w:t>,</w:t>
      </w:r>
      <w:r>
        <w:rPr>
          <w:rFonts w:ascii="Arial" w:hAnsi="Arial" w:cs="Arial"/>
          <w:sz w:val="24"/>
          <w:szCs w:val="24"/>
        </w:rPr>
        <w:t xml:space="preserve"> soit 51% des jeunes ont un âge compris entre 0 à 18 ans et 51% sont des femmes</w:t>
      </w:r>
      <w:r>
        <w:rPr>
          <w:rFonts w:ascii="Arial" w:hAnsi="Arial" w:cs="Arial"/>
          <w:b/>
          <w:sz w:val="24"/>
          <w:szCs w:val="24"/>
        </w:rPr>
        <w:t xml:space="preserve">. </w:t>
      </w:r>
      <w:r>
        <w:rPr>
          <w:rFonts w:ascii="Arial" w:hAnsi="Arial" w:cs="Arial"/>
          <w:sz w:val="24"/>
          <w:szCs w:val="24"/>
        </w:rPr>
        <w:t>Les personnes âgées de 60 à plus de 75 ans représentent moins de 5% de la population</w:t>
      </w:r>
      <w:r>
        <w:rPr>
          <w:rFonts w:ascii="Arial" w:hAnsi="Arial" w:cs="Arial"/>
          <w:b/>
          <w:sz w:val="24"/>
          <w:szCs w:val="24"/>
        </w:rPr>
        <w:t>.</w:t>
      </w:r>
    </w:p>
    <w:p w14:paraId="242241CC" w14:textId="77777777" w:rsidR="008862C7" w:rsidRDefault="008862C7" w:rsidP="008862C7">
      <w:pPr>
        <w:numPr>
          <w:ilvl w:val="0"/>
          <w:numId w:val="23"/>
        </w:numPr>
        <w:tabs>
          <w:tab w:val="left" w:pos="708"/>
        </w:tabs>
        <w:suppressAutoHyphens/>
        <w:spacing w:after="120" w:line="360" w:lineRule="auto"/>
        <w:jc w:val="both"/>
        <w:rPr>
          <w:rFonts w:ascii="Arial" w:hAnsi="Arial" w:cs="Arial"/>
          <w:b/>
          <w:sz w:val="24"/>
          <w:szCs w:val="24"/>
        </w:rPr>
      </w:pPr>
      <w:r>
        <w:rPr>
          <w:rFonts w:ascii="Arial" w:hAnsi="Arial" w:cs="Arial"/>
          <w:b/>
          <w:sz w:val="24"/>
          <w:szCs w:val="24"/>
        </w:rPr>
        <w:t>Activités économiques</w:t>
      </w:r>
    </w:p>
    <w:p w14:paraId="5143025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ville de Bossangoa regroupe une variété d’activités économiques</w:t>
      </w:r>
      <w:r>
        <w:rPr>
          <w:rFonts w:ascii="Arial" w:hAnsi="Arial" w:cs="Arial"/>
          <w:b/>
          <w:sz w:val="24"/>
          <w:szCs w:val="24"/>
        </w:rPr>
        <w:t>.</w:t>
      </w:r>
      <w:r>
        <w:rPr>
          <w:rFonts w:ascii="Arial" w:hAnsi="Arial" w:cs="Arial"/>
          <w:sz w:val="24"/>
          <w:szCs w:val="24"/>
        </w:rPr>
        <w:t xml:space="preserve"> Les principales activités économiques pratiquées sont l’agriculture</w:t>
      </w:r>
      <w:r>
        <w:rPr>
          <w:rFonts w:ascii="Arial" w:hAnsi="Arial" w:cs="Arial"/>
          <w:b/>
          <w:sz w:val="24"/>
          <w:szCs w:val="24"/>
        </w:rPr>
        <w:t>,</w:t>
      </w:r>
      <w:r>
        <w:rPr>
          <w:rFonts w:ascii="Arial" w:hAnsi="Arial" w:cs="Arial"/>
          <w:sz w:val="24"/>
          <w:szCs w:val="24"/>
        </w:rPr>
        <w:t xml:space="preserve"> l’élevage</w:t>
      </w:r>
      <w:r>
        <w:rPr>
          <w:rFonts w:ascii="Arial" w:hAnsi="Arial" w:cs="Arial"/>
          <w:b/>
          <w:sz w:val="24"/>
          <w:szCs w:val="24"/>
        </w:rPr>
        <w:t>,</w:t>
      </w:r>
      <w:r>
        <w:rPr>
          <w:rFonts w:ascii="Arial" w:hAnsi="Arial" w:cs="Arial"/>
          <w:sz w:val="24"/>
          <w:szCs w:val="24"/>
        </w:rPr>
        <w:t xml:space="preserve"> la cueillette et le petit commerce</w:t>
      </w:r>
      <w:r>
        <w:rPr>
          <w:rFonts w:ascii="Arial" w:hAnsi="Arial" w:cs="Arial"/>
          <w:b/>
          <w:sz w:val="24"/>
          <w:szCs w:val="24"/>
        </w:rPr>
        <w:t>.</w:t>
      </w:r>
      <w:r>
        <w:rPr>
          <w:rFonts w:ascii="Arial" w:hAnsi="Arial" w:cs="Arial"/>
          <w:sz w:val="24"/>
          <w:szCs w:val="24"/>
        </w:rPr>
        <w:t xml:space="preserve"> L’agriculture est l’activité dominante qui participe beaucoup au rythme économique de la ville de Bossangoa</w:t>
      </w:r>
      <w:r>
        <w:rPr>
          <w:rFonts w:ascii="Arial" w:hAnsi="Arial" w:cs="Arial"/>
          <w:b/>
          <w:sz w:val="24"/>
          <w:szCs w:val="24"/>
        </w:rPr>
        <w:t>.</w:t>
      </w:r>
      <w:r>
        <w:rPr>
          <w:rFonts w:ascii="Arial" w:hAnsi="Arial" w:cs="Arial"/>
          <w:sz w:val="24"/>
          <w:szCs w:val="24"/>
        </w:rPr>
        <w:t xml:space="preserve"> Les cultures pratiquées sont la culture de coton</w:t>
      </w:r>
      <w:r>
        <w:rPr>
          <w:rFonts w:ascii="Arial" w:hAnsi="Arial" w:cs="Arial"/>
          <w:b/>
          <w:sz w:val="24"/>
          <w:szCs w:val="24"/>
        </w:rPr>
        <w:t>,</w:t>
      </w:r>
      <w:r>
        <w:rPr>
          <w:rFonts w:ascii="Arial" w:hAnsi="Arial" w:cs="Arial"/>
          <w:sz w:val="24"/>
          <w:szCs w:val="24"/>
        </w:rPr>
        <w:t xml:space="preserve"> les cultures </w:t>
      </w:r>
      <w:commentRangeStart w:id="131"/>
      <w:r>
        <w:rPr>
          <w:rFonts w:ascii="Arial" w:hAnsi="Arial" w:cs="Arial"/>
          <w:sz w:val="24"/>
          <w:szCs w:val="24"/>
        </w:rPr>
        <w:t xml:space="preserve">vivrières ainsi que les cultures maraichères </w:t>
      </w:r>
      <w:commentRangeEnd w:id="131"/>
      <w:r>
        <w:rPr>
          <w:rStyle w:val="Marquedecommentaire"/>
          <w:rFonts w:eastAsia="Times New Roman" w:cs="Times New Roman"/>
        </w:rPr>
        <w:commentReference w:id="131"/>
      </w:r>
      <w:r>
        <w:rPr>
          <w:rFonts w:ascii="Arial" w:hAnsi="Arial" w:cs="Arial"/>
          <w:sz w:val="24"/>
          <w:szCs w:val="24"/>
        </w:rPr>
        <w:t>pratiquées dans les bas-fonds et le long des cours d’eau</w:t>
      </w:r>
      <w:r>
        <w:rPr>
          <w:rFonts w:ascii="Arial" w:hAnsi="Arial" w:cs="Arial"/>
          <w:b/>
          <w:sz w:val="24"/>
          <w:szCs w:val="24"/>
        </w:rPr>
        <w:t>.</w:t>
      </w:r>
      <w:r>
        <w:rPr>
          <w:rFonts w:ascii="Arial" w:hAnsi="Arial" w:cs="Arial"/>
          <w:sz w:val="24"/>
          <w:szCs w:val="24"/>
        </w:rPr>
        <w:t xml:space="preserve"> L’élevage autour et dans la ville se rapportent principalement aux bovins</w:t>
      </w:r>
      <w:r>
        <w:rPr>
          <w:rFonts w:ascii="Arial" w:hAnsi="Arial" w:cs="Arial"/>
          <w:b/>
          <w:sz w:val="24"/>
          <w:szCs w:val="24"/>
        </w:rPr>
        <w:t>,</w:t>
      </w:r>
      <w:r>
        <w:rPr>
          <w:rFonts w:ascii="Arial" w:hAnsi="Arial" w:cs="Arial"/>
          <w:sz w:val="24"/>
          <w:szCs w:val="24"/>
        </w:rPr>
        <w:t xml:space="preserve"> caprins</w:t>
      </w:r>
      <w:r>
        <w:rPr>
          <w:rFonts w:ascii="Arial" w:hAnsi="Arial" w:cs="Arial"/>
          <w:b/>
          <w:sz w:val="24"/>
          <w:szCs w:val="24"/>
        </w:rPr>
        <w:t>,</w:t>
      </w:r>
      <w:r>
        <w:rPr>
          <w:rFonts w:ascii="Arial" w:hAnsi="Arial" w:cs="Arial"/>
          <w:sz w:val="24"/>
          <w:szCs w:val="24"/>
        </w:rPr>
        <w:t xml:space="preserve"> porcins et volailles</w:t>
      </w:r>
      <w:r>
        <w:rPr>
          <w:rFonts w:ascii="Arial" w:hAnsi="Arial" w:cs="Arial"/>
          <w:b/>
          <w:sz w:val="24"/>
          <w:szCs w:val="24"/>
        </w:rPr>
        <w:t>.</w:t>
      </w:r>
      <w:r>
        <w:rPr>
          <w:rFonts w:ascii="Arial" w:hAnsi="Arial" w:cs="Arial"/>
          <w:sz w:val="24"/>
          <w:szCs w:val="24"/>
        </w:rPr>
        <w:t xml:space="preserve"> Les activités de la cueillette se rapportent à la production du miel</w:t>
      </w:r>
      <w:r>
        <w:rPr>
          <w:rFonts w:ascii="Arial" w:hAnsi="Arial" w:cs="Arial"/>
          <w:b/>
          <w:sz w:val="24"/>
          <w:szCs w:val="24"/>
        </w:rPr>
        <w:t>,</w:t>
      </w:r>
      <w:r>
        <w:rPr>
          <w:rFonts w:ascii="Arial" w:hAnsi="Arial" w:cs="Arial"/>
          <w:sz w:val="24"/>
          <w:szCs w:val="24"/>
        </w:rPr>
        <w:t xml:space="preserve"> au ramassage des noix de karité</w:t>
      </w:r>
      <w:r>
        <w:rPr>
          <w:rFonts w:ascii="Arial" w:hAnsi="Arial" w:cs="Arial"/>
          <w:b/>
          <w:sz w:val="24"/>
          <w:szCs w:val="24"/>
        </w:rPr>
        <w:t>.</w:t>
      </w:r>
      <w:r>
        <w:rPr>
          <w:rFonts w:ascii="Arial" w:hAnsi="Arial" w:cs="Arial"/>
          <w:sz w:val="24"/>
          <w:szCs w:val="24"/>
        </w:rPr>
        <w:t xml:space="preserve"> On ajoute aussi la pêche qui est l’une des activités rurale de la ville</w:t>
      </w:r>
      <w:r>
        <w:rPr>
          <w:rFonts w:ascii="Arial" w:hAnsi="Arial" w:cs="Arial"/>
          <w:b/>
          <w:sz w:val="24"/>
          <w:szCs w:val="24"/>
        </w:rPr>
        <w:t>,</w:t>
      </w:r>
      <w:commentRangeStart w:id="132"/>
      <w:r>
        <w:rPr>
          <w:rFonts w:ascii="Arial" w:hAnsi="Arial" w:cs="Arial"/>
          <w:sz w:val="24"/>
          <w:szCs w:val="24"/>
        </w:rPr>
        <w:t xml:space="preserve"> la cellule coton qui transforme le coton graine en coton fibre conditionnée à l’exportation</w:t>
      </w:r>
      <w:commentRangeEnd w:id="132"/>
      <w:r>
        <w:rPr>
          <w:rStyle w:val="Marquedecommentaire"/>
          <w:rFonts w:eastAsia="Times New Roman" w:cs="Times New Roman"/>
        </w:rPr>
        <w:commentReference w:id="132"/>
      </w:r>
      <w:r>
        <w:rPr>
          <w:rFonts w:ascii="Arial" w:hAnsi="Arial" w:cs="Arial"/>
          <w:b/>
          <w:sz w:val="24"/>
          <w:szCs w:val="24"/>
        </w:rPr>
        <w:t>.</w:t>
      </w:r>
      <w:r>
        <w:rPr>
          <w:rFonts w:ascii="Arial" w:hAnsi="Arial" w:cs="Arial"/>
          <w:sz w:val="24"/>
          <w:szCs w:val="24"/>
        </w:rPr>
        <w:t xml:space="preserve"> </w:t>
      </w:r>
    </w:p>
    <w:p w14:paraId="12BE2F55" w14:textId="77777777" w:rsidR="008862C7" w:rsidRDefault="008862C7" w:rsidP="008862C7">
      <w:pPr>
        <w:suppressAutoHyphens/>
        <w:spacing w:after="120" w:line="360" w:lineRule="auto"/>
        <w:jc w:val="both"/>
        <w:outlineLvl w:val="6"/>
        <w:rPr>
          <w:rFonts w:ascii="Arial" w:hAnsi="Arial" w:cs="Arial"/>
          <w:sz w:val="24"/>
          <w:szCs w:val="24"/>
        </w:rPr>
      </w:pPr>
      <w:bookmarkStart w:id="133" w:name="_Toc395107597"/>
      <w:bookmarkStart w:id="134" w:name="_Toc321250970"/>
      <w:r>
        <w:rPr>
          <w:rFonts w:ascii="Arial" w:hAnsi="Arial" w:cs="Arial"/>
          <w:b/>
          <w:sz w:val="24"/>
          <w:szCs w:val="24"/>
        </w:rPr>
        <w:t>2.2.2. Sous-préfecture de Bambari</w:t>
      </w:r>
      <w:bookmarkEnd w:id="133"/>
      <w:bookmarkEnd w:id="134"/>
    </w:p>
    <w:p w14:paraId="252A944A" w14:textId="77777777" w:rsidR="008862C7" w:rsidRDefault="008862C7" w:rsidP="008862C7">
      <w:pPr>
        <w:pStyle w:val="Paragraphedeliste"/>
        <w:numPr>
          <w:ilvl w:val="0"/>
          <w:numId w:val="23"/>
        </w:numPr>
        <w:suppressAutoHyphens/>
        <w:spacing w:after="120" w:line="360" w:lineRule="auto"/>
        <w:jc w:val="both"/>
        <w:outlineLvl w:val="6"/>
        <w:rPr>
          <w:rFonts w:ascii="Arial" w:hAnsi="Arial" w:cs="Arial"/>
          <w:sz w:val="24"/>
          <w:szCs w:val="24"/>
        </w:rPr>
      </w:pPr>
      <w:bookmarkStart w:id="135" w:name="_Toc395107598"/>
      <w:r>
        <w:rPr>
          <w:rFonts w:ascii="Arial" w:hAnsi="Arial" w:cs="Arial"/>
          <w:b/>
          <w:sz w:val="24"/>
          <w:szCs w:val="24"/>
        </w:rPr>
        <w:t>Milieu physique</w:t>
      </w:r>
      <w:bookmarkEnd w:id="135"/>
    </w:p>
    <w:p w14:paraId="6D87AE80" w14:textId="77777777" w:rsidR="008862C7" w:rsidRDefault="008862C7" w:rsidP="008862C7">
      <w:pPr>
        <w:pStyle w:val="Standard"/>
        <w:spacing w:line="360" w:lineRule="auto"/>
        <w:jc w:val="both"/>
        <w:rPr>
          <w:rFonts w:ascii="Arial" w:hAnsi="Arial" w:cs="Arial"/>
        </w:rPr>
      </w:pPr>
      <w:r>
        <w:rPr>
          <w:rFonts w:ascii="Arial" w:hAnsi="Arial" w:cs="Arial"/>
        </w:rPr>
        <w:t>Située à 386 km de Bangui, la sous-préfecture Bambari est localisée entre 5° et 6° de latitude nord et 20° et le 22° de longitude Est. Elle est limitée au nord-est par la sous-préfecture d’Ippy, au nord-ouest par la sous-préfecture de Bria, à l’ouest par Grimari et au Sud par la sous-préfecture de Kouango. La sous-préfecture de Bambari couvre six communes : Bambari, Danga-Gboudou, Ngoumbia, Pladama-Ouaka, Haute-Baïdou et la commune d’élevage d’Ouro-Djafoune.</w:t>
      </w:r>
    </w:p>
    <w:p w14:paraId="093E599E" w14:textId="77777777" w:rsidR="008862C7" w:rsidRDefault="008862C7" w:rsidP="008862C7">
      <w:pPr>
        <w:pStyle w:val="Standard"/>
        <w:spacing w:line="360" w:lineRule="auto"/>
        <w:jc w:val="both"/>
        <w:rPr>
          <w:rFonts w:ascii="Arial" w:hAnsi="Arial" w:cs="Arial"/>
        </w:rPr>
      </w:pPr>
      <w:r>
        <w:rPr>
          <w:rFonts w:ascii="Arial" w:hAnsi="Arial" w:cs="Arial"/>
        </w:rPr>
        <w:lastRenderedPageBreak/>
        <w:t xml:space="preserve">Le climat sur toute l’étendue de la sous-préfecture de Bambari est de type soudano-guinéen (un climat chaud et humide avec une alternance de deux saisons) avec une saison sèche qui dure cinq (5) mois allant de novembre à mars, et une saison de pluie d’une durée de sept (7) mois qui va d’avril à octobre. La température moyenne annuelle à Bambari est de 26°C. La ville est traversée par un réseau hydrographique assez dense composé par les rivières de Lioua, Mbonou, Boukakos, Ouaka  avec ses principaux affluents que sont la Baïdou et la Pladama. Le régime de ces cours d’eau est fonction de l’importance et de la régularité des pluies. </w:t>
      </w:r>
    </w:p>
    <w:p w14:paraId="3800B247" w14:textId="77777777" w:rsidR="008862C7" w:rsidRDefault="008862C7" w:rsidP="008862C7">
      <w:pPr>
        <w:pStyle w:val="Standard"/>
        <w:numPr>
          <w:ilvl w:val="0"/>
          <w:numId w:val="23"/>
        </w:numPr>
        <w:spacing w:after="120" w:line="360" w:lineRule="auto"/>
        <w:jc w:val="both"/>
        <w:outlineLvl w:val="7"/>
        <w:rPr>
          <w:rFonts w:ascii="Arial" w:hAnsi="Arial" w:cs="Arial"/>
          <w:b/>
        </w:rPr>
      </w:pPr>
      <w:bookmarkStart w:id="136" w:name="_Toc395107599"/>
      <w:r>
        <w:rPr>
          <w:rFonts w:ascii="Arial" w:hAnsi="Arial" w:cs="Arial"/>
          <w:b/>
        </w:rPr>
        <w:t>Milieu humain</w:t>
      </w:r>
      <w:bookmarkEnd w:id="136"/>
    </w:p>
    <w:p w14:paraId="0DC42A42"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La sous-préfecture de Bambari compte environ 106.258 habitants sur les 276.710 habitants que compte la préfecture de la Ouaka, soit près de 39% selon RGPH de 2003. Dans cette situation, elle est la plus peuplée des autres sous-préfectures de la Ouaka (ICASEES, 2008).</w:t>
      </w:r>
    </w:p>
    <w:p w14:paraId="3995DEFF" w14:textId="77777777" w:rsidR="008862C7" w:rsidRDefault="008862C7" w:rsidP="008862C7">
      <w:pPr>
        <w:spacing w:after="0" w:line="360" w:lineRule="auto"/>
        <w:jc w:val="both"/>
        <w:rPr>
          <w:rFonts w:ascii="Arial" w:hAnsi="Arial" w:cs="Arial"/>
          <w:b/>
          <w:sz w:val="24"/>
          <w:szCs w:val="24"/>
        </w:rPr>
      </w:pPr>
      <w:r>
        <w:rPr>
          <w:rFonts w:ascii="Arial" w:hAnsi="Arial" w:cs="Arial"/>
          <w:b/>
          <w:sz w:val="24"/>
          <w:szCs w:val="24"/>
        </w:rPr>
        <w:t xml:space="preserve">Tableau 2.5 : Répartition de la population de la </w:t>
      </w:r>
      <w:r w:rsidR="00E72C3F">
        <w:rPr>
          <w:rFonts w:ascii="Arial" w:hAnsi="Arial" w:cs="Arial"/>
          <w:b/>
          <w:sz w:val="24"/>
          <w:szCs w:val="24"/>
        </w:rPr>
        <w:t>sous-préfecture</w:t>
      </w:r>
      <w:r>
        <w:rPr>
          <w:rFonts w:ascii="Arial" w:hAnsi="Arial" w:cs="Arial"/>
          <w:b/>
          <w:sz w:val="24"/>
          <w:szCs w:val="24"/>
        </w:rPr>
        <w:t xml:space="preserve"> de Bambari </w:t>
      </w:r>
    </w:p>
    <w:tbl>
      <w:tblPr>
        <w:tblW w:w="9072" w:type="dxa"/>
        <w:tblCellSpacing w:w="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30"/>
        <w:gridCol w:w="3094"/>
        <w:gridCol w:w="3148"/>
      </w:tblGrid>
      <w:tr w:rsidR="008862C7" w14:paraId="2126C3B5"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4598BF3E" w14:textId="77777777" w:rsidR="008862C7" w:rsidRDefault="008862C7">
            <w:pPr>
              <w:tabs>
                <w:tab w:val="left" w:pos="708"/>
              </w:tabs>
              <w:spacing w:before="120" w:after="0" w:line="276" w:lineRule="auto"/>
              <w:jc w:val="both"/>
              <w:rPr>
                <w:rFonts w:ascii="Arial" w:eastAsia="Times New Roman" w:hAnsi="Arial" w:cs="Arial"/>
                <w:b/>
              </w:rPr>
            </w:pPr>
            <w:r>
              <w:rPr>
                <w:rFonts w:ascii="Arial" w:hAnsi="Arial" w:cs="Arial"/>
                <w:b/>
              </w:rPr>
              <w:t>Communes</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0FED88DD" w14:textId="77777777" w:rsidR="008862C7" w:rsidRDefault="008862C7">
            <w:pPr>
              <w:tabs>
                <w:tab w:val="left" w:pos="708"/>
              </w:tabs>
              <w:spacing w:before="120" w:after="0" w:line="276" w:lineRule="auto"/>
              <w:jc w:val="center"/>
              <w:rPr>
                <w:rFonts w:ascii="Arial" w:eastAsia="Times New Roman" w:hAnsi="Arial" w:cs="Arial"/>
                <w:b/>
              </w:rPr>
            </w:pPr>
            <w:r>
              <w:rPr>
                <w:rFonts w:ascii="Arial" w:hAnsi="Arial" w:cs="Arial"/>
                <w:b/>
              </w:rPr>
              <w:t>Populations en 1.000</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A849DF" w14:textId="77777777" w:rsidR="008862C7" w:rsidRDefault="008862C7">
            <w:pPr>
              <w:tabs>
                <w:tab w:val="left" w:pos="708"/>
              </w:tabs>
              <w:spacing w:before="120" w:after="0" w:line="276" w:lineRule="auto"/>
              <w:jc w:val="center"/>
              <w:rPr>
                <w:rFonts w:ascii="Arial" w:eastAsia="Times New Roman" w:hAnsi="Arial" w:cs="Arial"/>
                <w:b/>
              </w:rPr>
            </w:pPr>
            <w:r>
              <w:rPr>
                <w:rFonts w:ascii="Arial" w:hAnsi="Arial" w:cs="Arial"/>
                <w:b/>
              </w:rPr>
              <w:t>Proportion (%)</w:t>
            </w:r>
          </w:p>
        </w:tc>
      </w:tr>
      <w:tr w:rsidR="008862C7" w14:paraId="44F0D36B"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672ECC78"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Bambari Centre</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0967100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41.356</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DDCC3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38,92</w:t>
            </w:r>
          </w:p>
        </w:tc>
      </w:tr>
      <w:tr w:rsidR="008862C7" w14:paraId="46C80B1B"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65EB7D7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Ourodjafoun</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163A51D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19.755</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639E9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18,60</w:t>
            </w:r>
          </w:p>
        </w:tc>
      </w:tr>
      <w:tr w:rsidR="008862C7" w14:paraId="1BC688DF"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035ED524"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Danga Gboudou</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682380B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14.988</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0F01D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14,10</w:t>
            </w:r>
          </w:p>
        </w:tc>
      </w:tr>
      <w:tr w:rsidR="008862C7" w14:paraId="209B55F1"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2A7D9ED7"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Haute Baidou</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3043710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10.882</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54DC7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10,25</w:t>
            </w:r>
          </w:p>
        </w:tc>
      </w:tr>
      <w:tr w:rsidR="008862C7" w14:paraId="212367C0"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023CD0AD"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Pladama Ouaka</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721E335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10.507</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A3ACA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9,88</w:t>
            </w:r>
          </w:p>
        </w:tc>
      </w:tr>
      <w:tr w:rsidR="008862C7" w14:paraId="4BE9542E"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664FE57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Ngougbia</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2224348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8.770</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00988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8,25</w:t>
            </w:r>
          </w:p>
        </w:tc>
      </w:tr>
      <w:tr w:rsidR="008862C7" w14:paraId="48F647DB" w14:textId="77777777" w:rsidTr="008862C7">
        <w:trPr>
          <w:tblCellSpacing w:w="0" w:type="dxa"/>
        </w:trPr>
        <w:tc>
          <w:tcPr>
            <w:tcW w:w="2830"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14:paraId="514F4552" w14:textId="77777777" w:rsidR="008862C7" w:rsidRDefault="008862C7">
            <w:pPr>
              <w:keepNext/>
              <w:keepLines/>
              <w:tabs>
                <w:tab w:val="left" w:pos="708"/>
              </w:tabs>
              <w:suppressAutoHyphens/>
              <w:spacing w:before="120" w:after="0" w:line="276" w:lineRule="auto"/>
              <w:jc w:val="both"/>
              <w:outlineLvl w:val="1"/>
              <w:rPr>
                <w:rFonts w:ascii="Arial" w:eastAsia="Times New Roman" w:hAnsi="Arial" w:cs="Arial"/>
                <w:b/>
              </w:rPr>
            </w:pPr>
            <w:r>
              <w:rPr>
                <w:rFonts w:ascii="Arial" w:hAnsi="Arial" w:cs="Arial"/>
                <w:b/>
              </w:rPr>
              <w:t>Total</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14:paraId="6923481B" w14:textId="77777777" w:rsidR="008862C7" w:rsidRDefault="008862C7">
            <w:pPr>
              <w:keepNext/>
              <w:keepLines/>
              <w:tabs>
                <w:tab w:val="left" w:pos="708"/>
              </w:tabs>
              <w:suppressAutoHyphens/>
              <w:spacing w:before="120" w:after="0" w:line="276" w:lineRule="auto"/>
              <w:jc w:val="center"/>
              <w:outlineLvl w:val="1"/>
              <w:rPr>
                <w:rFonts w:ascii="Arial" w:eastAsia="Times New Roman" w:hAnsi="Arial" w:cs="Arial"/>
                <w:b/>
              </w:rPr>
            </w:pPr>
            <w:r>
              <w:rPr>
                <w:rFonts w:ascii="Arial" w:hAnsi="Arial" w:cs="Arial"/>
                <w:b/>
              </w:rPr>
              <w:t>106.258</w:t>
            </w:r>
          </w:p>
        </w:tc>
        <w:tc>
          <w:tcPr>
            <w:tcW w:w="3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92348A" w14:textId="77777777" w:rsidR="008862C7" w:rsidRDefault="008862C7">
            <w:pPr>
              <w:keepNext/>
              <w:keepLines/>
              <w:tabs>
                <w:tab w:val="left" w:pos="708"/>
              </w:tabs>
              <w:suppressAutoHyphens/>
              <w:spacing w:before="120" w:after="0" w:line="276" w:lineRule="auto"/>
              <w:jc w:val="center"/>
              <w:outlineLvl w:val="1"/>
              <w:rPr>
                <w:rFonts w:ascii="Arial" w:eastAsia="Times New Roman" w:hAnsi="Arial" w:cs="Arial"/>
                <w:b/>
              </w:rPr>
            </w:pPr>
            <w:r>
              <w:rPr>
                <w:rFonts w:ascii="Arial" w:hAnsi="Arial" w:cs="Arial"/>
                <w:b/>
              </w:rPr>
              <w:t>100</w:t>
            </w:r>
          </w:p>
        </w:tc>
      </w:tr>
    </w:tbl>
    <w:p w14:paraId="2B2F7F77" w14:textId="77777777" w:rsidR="008862C7" w:rsidRDefault="008862C7" w:rsidP="008862C7">
      <w:pPr>
        <w:spacing w:before="120" w:after="0" w:line="360" w:lineRule="auto"/>
        <w:jc w:val="both"/>
        <w:rPr>
          <w:rFonts w:ascii="Arial" w:eastAsia="Times New Roman" w:hAnsi="Arial" w:cs="Arial"/>
        </w:rPr>
      </w:pPr>
      <w:r>
        <w:rPr>
          <w:rFonts w:ascii="Arial" w:hAnsi="Arial" w:cs="Arial"/>
        </w:rPr>
        <w:t>Source : RGPH, 2003</w:t>
      </w:r>
    </w:p>
    <w:p w14:paraId="5839C914" w14:textId="77777777" w:rsidR="008862C7" w:rsidRDefault="008862C7" w:rsidP="008862C7">
      <w:pPr>
        <w:spacing w:before="120" w:line="360" w:lineRule="auto"/>
        <w:jc w:val="both"/>
        <w:rPr>
          <w:rFonts w:ascii="Arial" w:hAnsi="Arial" w:cs="Arial"/>
          <w:sz w:val="24"/>
        </w:rPr>
      </w:pPr>
      <w:r>
        <w:rPr>
          <w:rFonts w:ascii="Arial" w:hAnsi="Arial" w:cs="Arial"/>
          <w:sz w:val="24"/>
        </w:rPr>
        <w:t xml:space="preserve">L’ethnie Banda est la plus importante de la sous-préfecture. On y trouve également les ethnies telles que les Mandja, Gbanziri, Zandé, Nzakara, Yakoma, Sango, Gbayas et Mbororos. </w:t>
      </w:r>
    </w:p>
    <w:p w14:paraId="3BE3DDBB" w14:textId="77777777" w:rsidR="008862C7" w:rsidRDefault="008862C7" w:rsidP="008862C7">
      <w:pPr>
        <w:pStyle w:val="Titre8"/>
        <w:numPr>
          <w:ilvl w:val="0"/>
          <w:numId w:val="23"/>
        </w:numPr>
        <w:spacing w:after="120"/>
        <w:rPr>
          <w:rFonts w:ascii="Arial" w:hAnsi="Arial" w:cs="Arial"/>
          <w:b/>
          <w:color w:val="auto"/>
          <w:sz w:val="24"/>
        </w:rPr>
      </w:pPr>
      <w:bookmarkStart w:id="137" w:name="_Toc395107600"/>
      <w:r>
        <w:rPr>
          <w:rFonts w:ascii="Arial" w:hAnsi="Arial" w:cs="Arial"/>
          <w:b/>
          <w:color w:val="auto"/>
          <w:sz w:val="24"/>
        </w:rPr>
        <w:t>Activités économiques</w:t>
      </w:r>
      <w:bookmarkEnd w:id="137"/>
    </w:p>
    <w:p w14:paraId="2FBE2421" w14:textId="77777777" w:rsidR="008862C7" w:rsidRDefault="008862C7" w:rsidP="008862C7">
      <w:pPr>
        <w:spacing w:line="360" w:lineRule="auto"/>
        <w:jc w:val="both"/>
        <w:rPr>
          <w:rFonts w:ascii="Arial" w:hAnsi="Arial" w:cs="Arial"/>
          <w:sz w:val="24"/>
        </w:rPr>
      </w:pPr>
      <w:r>
        <w:rPr>
          <w:rFonts w:ascii="Arial" w:hAnsi="Arial" w:cs="Arial"/>
          <w:sz w:val="24"/>
        </w:rPr>
        <w:t xml:space="preserve">Les principales activités économiques de la sous-préfecture de Bambari sont : l’agriculture, l’élevage, la pêche, l’artisanat et les mines. L’agriculture est dominée par des pratiques traditionnelles et les principales productions agricoles sont constituées du coton, du café, du riz, du mais, du manioc etc. L’élevage (gros bétail et petit élevage) est l’une des principales activités de la </w:t>
      </w:r>
      <w:r w:rsidR="00E72C3F">
        <w:rPr>
          <w:rFonts w:ascii="Arial" w:hAnsi="Arial" w:cs="Arial"/>
          <w:sz w:val="24"/>
        </w:rPr>
        <w:t>sous-préfecture</w:t>
      </w:r>
      <w:r>
        <w:rPr>
          <w:rFonts w:ascii="Arial" w:hAnsi="Arial" w:cs="Arial"/>
          <w:sz w:val="24"/>
        </w:rPr>
        <w:t xml:space="preserve"> de Bambari. L’élevage de gros bétail est pratiqué en grande partie par les Mbororos. Ce type d’élevage est beaucoup plus développé dans la commune d’élevage d’Ourodjafoun. </w:t>
      </w:r>
    </w:p>
    <w:p w14:paraId="2C7CCD9F" w14:textId="77777777" w:rsidR="008862C7" w:rsidRDefault="008862C7" w:rsidP="008862C7">
      <w:pPr>
        <w:spacing w:line="360" w:lineRule="auto"/>
        <w:jc w:val="both"/>
        <w:rPr>
          <w:rFonts w:ascii="Arial" w:hAnsi="Arial" w:cs="Arial"/>
          <w:sz w:val="24"/>
        </w:rPr>
      </w:pPr>
      <w:r>
        <w:rPr>
          <w:rFonts w:ascii="Arial" w:hAnsi="Arial" w:cs="Arial"/>
          <w:sz w:val="24"/>
        </w:rPr>
        <w:lastRenderedPageBreak/>
        <w:t xml:space="preserve">Par ailleurs, la pêche est pratiquée sur les rivières Ouaka et Pladama qui sont des cours d’eau poissonneux par les Yakoma, les Sango et les Gbanziri qui ravitaillent les marchés locaux en poissons. Quant </w:t>
      </w:r>
      <w:r w:rsidR="00E72C3F">
        <w:rPr>
          <w:rFonts w:ascii="Arial" w:hAnsi="Arial" w:cs="Arial"/>
          <w:sz w:val="24"/>
        </w:rPr>
        <w:t>à</w:t>
      </w:r>
      <w:r>
        <w:rPr>
          <w:rFonts w:ascii="Arial" w:hAnsi="Arial" w:cs="Arial"/>
          <w:sz w:val="24"/>
        </w:rPr>
        <w:t xml:space="preserve"> l’artisanat, il est du domaine des Bandas regroupés dans une association connue sous le nom de ASACUBA (Association des Artisans de Cuir de Bambari). Ces derniers confectionnent des chaussures, des sacs et aussi bien d’autres articles en cuir. Parmi les principales activités de la </w:t>
      </w:r>
      <w:r w:rsidR="00E72C3F">
        <w:rPr>
          <w:rFonts w:ascii="Arial" w:hAnsi="Arial" w:cs="Arial"/>
          <w:sz w:val="24"/>
        </w:rPr>
        <w:t>sous-préfecture</w:t>
      </w:r>
      <w:r>
        <w:rPr>
          <w:rFonts w:ascii="Arial" w:hAnsi="Arial" w:cs="Arial"/>
          <w:sz w:val="24"/>
        </w:rPr>
        <w:t xml:space="preserve"> de Bambari, il convient de préciser la production minière notamment aurifère dans la localité de Ndassima et quelques villages environnants. </w:t>
      </w:r>
    </w:p>
    <w:p w14:paraId="4AE9191D" w14:textId="77777777" w:rsidR="008862C7" w:rsidRDefault="008862C7" w:rsidP="008862C7">
      <w:pPr>
        <w:pStyle w:val="Titre3"/>
        <w:rPr>
          <w:b/>
        </w:rPr>
      </w:pPr>
      <w:bookmarkStart w:id="138" w:name="_Toc395107601"/>
      <w:r>
        <w:rPr>
          <w:b/>
        </w:rPr>
        <w:t>CONCLUSION</w:t>
      </w:r>
      <w:bookmarkEnd w:id="138"/>
      <w:r>
        <w:rPr>
          <w:b/>
        </w:rPr>
        <w:t xml:space="preserve"> </w:t>
      </w:r>
    </w:p>
    <w:p w14:paraId="6B754AE5" w14:textId="77777777" w:rsidR="008862C7" w:rsidRDefault="008862C7" w:rsidP="008862C7">
      <w:pPr>
        <w:spacing w:line="360" w:lineRule="auto"/>
        <w:jc w:val="both"/>
        <w:rPr>
          <w:rFonts w:ascii="Arial" w:hAnsi="Arial" w:cs="Arial"/>
          <w:sz w:val="24"/>
        </w:rPr>
      </w:pPr>
      <w:r>
        <w:rPr>
          <w:rFonts w:ascii="Arial" w:hAnsi="Arial" w:cs="Arial"/>
          <w:sz w:val="24"/>
        </w:rPr>
        <w:t>En définitif, il faut reconnaître que la production cotonnière en AOC et plus précisément en République Centrafricaine constitue un réel levier pour le développement économique de la région. Les avantages concurrentiels dont dispose la filière en Afrique sub-saharienne ne sont plus à démontrer. Toutefois avec les changements structurels que la filière subit au cours des dernières décennies dans son environnement économique national et international, ses avantages sont entrain d’être remis en cause.</w:t>
      </w:r>
    </w:p>
    <w:p w14:paraId="0DC71979" w14:textId="77777777" w:rsidR="008862C7" w:rsidRDefault="008862C7" w:rsidP="008862C7">
      <w:pPr>
        <w:spacing w:line="360" w:lineRule="auto"/>
        <w:jc w:val="both"/>
        <w:rPr>
          <w:rFonts w:ascii="Arial" w:hAnsi="Arial" w:cs="Arial"/>
          <w:sz w:val="24"/>
        </w:rPr>
      </w:pPr>
      <w:r>
        <w:rPr>
          <w:rFonts w:ascii="Arial" w:hAnsi="Arial" w:cs="Arial"/>
          <w:sz w:val="24"/>
        </w:rPr>
        <w:t xml:space="preserve">La méthodologie retenue pour cette étude permet donc de croiser des données microéconomiques (enquête </w:t>
      </w:r>
      <w:r w:rsidR="00E72C3F">
        <w:rPr>
          <w:rFonts w:ascii="Arial" w:hAnsi="Arial" w:cs="Arial"/>
          <w:sz w:val="24"/>
        </w:rPr>
        <w:t>auprès</w:t>
      </w:r>
      <w:r>
        <w:rPr>
          <w:rFonts w:ascii="Arial" w:hAnsi="Arial" w:cs="Arial"/>
          <w:sz w:val="24"/>
        </w:rPr>
        <w:t xml:space="preserve"> des principaux acteurs de la filière nationale, données relatives à un pays considéré comme un individu) et des données macroéconomiques (agrégats macroéconomiques relatifs au commerce international du coton pour les pays retenus dans l’analyse). La prise en compte des aspects statique et dynamique de ces données qui portent sur plusieurs individus (dont 20 pays africains producteur de coton) justifient donc le choix de l’analyse en données de panel pour spécifier notre modèle.</w:t>
      </w:r>
    </w:p>
    <w:p w14:paraId="2A28E830" w14:textId="77777777" w:rsidR="008862C7" w:rsidRDefault="008862C7" w:rsidP="008862C7">
      <w:pPr>
        <w:rPr>
          <w:rFonts w:ascii="Arial" w:hAnsi="Arial" w:cs="Arial"/>
          <w:b/>
          <w:sz w:val="24"/>
        </w:rPr>
      </w:pPr>
      <w:r>
        <w:rPr>
          <w:rFonts w:ascii="Arial" w:hAnsi="Arial" w:cs="Arial"/>
          <w:sz w:val="24"/>
        </w:rPr>
        <w:br w:type="page"/>
      </w:r>
      <w:bookmarkStart w:id="139" w:name="_Toc395107602"/>
      <w:r>
        <w:rPr>
          <w:rFonts w:ascii="Arial" w:hAnsi="Arial" w:cs="Arial"/>
          <w:b/>
          <w:sz w:val="24"/>
        </w:rPr>
        <w:lastRenderedPageBreak/>
        <w:t>CONCLUSION PARTIELLE</w:t>
      </w:r>
      <w:bookmarkEnd w:id="139"/>
      <w:r>
        <w:rPr>
          <w:rFonts w:ascii="Arial" w:hAnsi="Arial" w:cs="Arial"/>
          <w:b/>
          <w:sz w:val="24"/>
        </w:rPr>
        <w:t xml:space="preserve"> </w:t>
      </w:r>
    </w:p>
    <w:p w14:paraId="7E6039DF" w14:textId="77777777" w:rsidR="008862C7" w:rsidRDefault="008862C7" w:rsidP="008862C7">
      <w:pPr>
        <w:spacing w:line="360" w:lineRule="auto"/>
        <w:jc w:val="both"/>
        <w:rPr>
          <w:rFonts w:ascii="Arial" w:hAnsi="Arial" w:cs="Arial"/>
          <w:sz w:val="24"/>
        </w:rPr>
      </w:pPr>
      <w:r>
        <w:rPr>
          <w:rFonts w:ascii="Arial" w:hAnsi="Arial" w:cs="Arial"/>
          <w:sz w:val="24"/>
        </w:rPr>
        <w:t xml:space="preserve">La définition d’un cadre théorique et conceptuel pouvant guider nos efforts de recherche, nous ont permis de nous rendre compte de la difficulté à définir la compétitivité d’une manière univoque et ainsi faciliter les travaux de recherche. La multiplicité de la définition de ce concept et sa multi dimensionnalité fait de lui un concept flou aux contours encore imprécises. Pour un produit comme le coton, la méthodologie adoptée consiste à suivre le produit le long de la chaîne de valeur tout en tenant compte de fois où il peut changer de main ainsi quelques soient les transformations qu’il aurait </w:t>
      </w:r>
      <w:r w:rsidR="00E72C3F">
        <w:rPr>
          <w:rFonts w:ascii="Arial" w:hAnsi="Arial" w:cs="Arial"/>
          <w:sz w:val="24"/>
        </w:rPr>
        <w:t>subi</w:t>
      </w:r>
      <w:r>
        <w:rPr>
          <w:rFonts w:ascii="Arial" w:hAnsi="Arial" w:cs="Arial"/>
          <w:sz w:val="24"/>
        </w:rPr>
        <w:t xml:space="preserve">. Cette approche nécessite de considérer la filière entière. Ainsi, la recherche des déterminants de la compétitivité se fera sur une filière-produit, cette approche a l’avantage de favoriser la compréhension de l’organisation et du fonctionnement de la filière. Ce qui est un préalable indispensables à l’indentification de déterminants de la compétitivité. </w:t>
      </w:r>
    </w:p>
    <w:p w14:paraId="4C99284E" w14:textId="77777777" w:rsidR="008862C7" w:rsidRDefault="008862C7" w:rsidP="008862C7">
      <w:pPr>
        <w:spacing w:line="360" w:lineRule="auto"/>
        <w:jc w:val="both"/>
        <w:rPr>
          <w:rFonts w:ascii="Arial" w:hAnsi="Arial" w:cs="Arial"/>
          <w:sz w:val="24"/>
        </w:rPr>
      </w:pPr>
      <w:r>
        <w:rPr>
          <w:rFonts w:ascii="Arial" w:hAnsi="Arial" w:cs="Arial"/>
          <w:sz w:val="24"/>
        </w:rPr>
        <w:t>L’aperçu de la dynamique de la filière en AOC a permis de se rendre à l’évidence que l’évolution du marché mondial est très instable avec des conséquences considérables pour l’AOC. Ainsi, l’évolution de la filière peut être retracée en deux périodes : période de la vache grasse qui se traduit par l’embelli des prix du coton sur le marché mondial. S’en est suivi au tour des années 1998, le début des années dites de la vache maigre avec une forte chute du cours mondial, ce qui affecté fortement les filières cotonnières d’Afrique, réduisant par la même occasion la compétitivité des filières cotonnières africaines.</w:t>
      </w:r>
    </w:p>
    <w:p w14:paraId="2AAC21C3" w14:textId="77777777" w:rsidR="008862C7" w:rsidRDefault="008862C7" w:rsidP="008862C7">
      <w:pPr>
        <w:rPr>
          <w:rFonts w:ascii="Calibri" w:hAnsi="Calibri" w:cs="Times New Roman"/>
          <w:sz w:val="24"/>
        </w:rPr>
      </w:pPr>
    </w:p>
    <w:p w14:paraId="2897FF1F" w14:textId="77777777" w:rsidR="008862C7" w:rsidRDefault="008862C7" w:rsidP="008862C7"/>
    <w:p w14:paraId="6A231476" w14:textId="77777777" w:rsidR="008862C7" w:rsidRDefault="008862C7" w:rsidP="008862C7"/>
    <w:p w14:paraId="5ED4E8A7" w14:textId="77777777" w:rsidR="008862C7" w:rsidRDefault="008862C7" w:rsidP="008862C7"/>
    <w:p w14:paraId="28EE3D30" w14:textId="77777777" w:rsidR="008862C7" w:rsidRDefault="008862C7" w:rsidP="008862C7"/>
    <w:p w14:paraId="56AE3134" w14:textId="77777777" w:rsidR="008862C7" w:rsidRDefault="008862C7" w:rsidP="008862C7"/>
    <w:p w14:paraId="73A27EC4" w14:textId="77777777" w:rsidR="008862C7" w:rsidRDefault="008862C7" w:rsidP="008862C7"/>
    <w:p w14:paraId="3BE60E1A" w14:textId="77777777" w:rsidR="008862C7" w:rsidRDefault="008862C7" w:rsidP="008862C7"/>
    <w:p w14:paraId="03B7E0AD" w14:textId="77777777" w:rsidR="008862C7" w:rsidRDefault="008862C7" w:rsidP="008862C7"/>
    <w:p w14:paraId="40330F89" w14:textId="77777777" w:rsidR="008862C7" w:rsidRDefault="008862C7" w:rsidP="008862C7">
      <w:pPr>
        <w:tabs>
          <w:tab w:val="left" w:pos="2792"/>
        </w:tabs>
        <w:spacing w:after="0"/>
        <w:rPr>
          <w:rFonts w:ascii="Arial" w:hAnsi="Arial" w:cs="Arial"/>
          <w:b/>
          <w:sz w:val="24"/>
          <w:szCs w:val="24"/>
        </w:rPr>
      </w:pPr>
      <w:r>
        <w:rPr>
          <w:rFonts w:ascii="Arial" w:hAnsi="Arial" w:cs="Arial"/>
          <w:b/>
          <w:sz w:val="24"/>
          <w:szCs w:val="24"/>
        </w:rPr>
        <w:tab/>
      </w:r>
    </w:p>
    <w:p w14:paraId="01E7C793" w14:textId="77777777" w:rsidR="008862C7" w:rsidRDefault="008862C7" w:rsidP="008862C7">
      <w:pPr>
        <w:spacing w:after="0"/>
        <w:jc w:val="center"/>
        <w:rPr>
          <w:rFonts w:ascii="Arial" w:hAnsi="Arial" w:cs="Arial"/>
          <w:b/>
          <w:sz w:val="24"/>
          <w:szCs w:val="24"/>
        </w:rPr>
      </w:pPr>
    </w:p>
    <w:p w14:paraId="33E00CD9" w14:textId="77777777" w:rsidR="008862C7" w:rsidRDefault="008862C7" w:rsidP="008862C7">
      <w:pPr>
        <w:spacing w:after="0"/>
        <w:jc w:val="center"/>
        <w:rPr>
          <w:rFonts w:ascii="Arial" w:hAnsi="Arial" w:cs="Arial"/>
          <w:b/>
          <w:sz w:val="24"/>
          <w:szCs w:val="24"/>
        </w:rPr>
      </w:pPr>
    </w:p>
    <w:p w14:paraId="3559AE63" w14:textId="77777777" w:rsidR="008862C7" w:rsidRDefault="008862C7" w:rsidP="008862C7">
      <w:pPr>
        <w:spacing w:after="0"/>
        <w:jc w:val="center"/>
        <w:rPr>
          <w:rFonts w:ascii="Arial" w:hAnsi="Arial" w:cs="Arial"/>
          <w:b/>
          <w:sz w:val="24"/>
          <w:szCs w:val="24"/>
        </w:rPr>
      </w:pPr>
    </w:p>
    <w:p w14:paraId="4C83D65E" w14:textId="77777777" w:rsidR="008862C7" w:rsidRDefault="008862C7" w:rsidP="008862C7">
      <w:pPr>
        <w:spacing w:after="0"/>
        <w:jc w:val="center"/>
        <w:rPr>
          <w:rFonts w:ascii="Arial" w:hAnsi="Arial" w:cs="Arial"/>
          <w:b/>
          <w:sz w:val="24"/>
          <w:szCs w:val="24"/>
        </w:rPr>
      </w:pPr>
    </w:p>
    <w:p w14:paraId="78C3BC25" w14:textId="77777777" w:rsidR="008862C7" w:rsidRDefault="008862C7" w:rsidP="008862C7">
      <w:pPr>
        <w:spacing w:after="0"/>
        <w:jc w:val="center"/>
        <w:rPr>
          <w:rFonts w:ascii="Arial" w:hAnsi="Arial" w:cs="Arial"/>
          <w:b/>
          <w:sz w:val="24"/>
          <w:szCs w:val="24"/>
        </w:rPr>
      </w:pPr>
    </w:p>
    <w:p w14:paraId="0815DC25" w14:textId="77777777" w:rsidR="008862C7" w:rsidRDefault="008862C7" w:rsidP="008862C7">
      <w:pPr>
        <w:spacing w:after="0"/>
        <w:jc w:val="center"/>
        <w:rPr>
          <w:rFonts w:ascii="Arial" w:hAnsi="Arial" w:cs="Arial"/>
          <w:b/>
          <w:sz w:val="24"/>
          <w:szCs w:val="24"/>
        </w:rPr>
      </w:pPr>
    </w:p>
    <w:p w14:paraId="49AB1EEE" w14:textId="77777777" w:rsidR="008862C7" w:rsidRDefault="008862C7" w:rsidP="008862C7">
      <w:pPr>
        <w:spacing w:after="0"/>
        <w:jc w:val="center"/>
        <w:rPr>
          <w:rFonts w:ascii="Arial" w:hAnsi="Arial" w:cs="Arial"/>
          <w:b/>
          <w:sz w:val="24"/>
          <w:szCs w:val="24"/>
        </w:rPr>
      </w:pPr>
    </w:p>
    <w:p w14:paraId="44CE5FBC" w14:textId="77777777" w:rsidR="00E72C3F" w:rsidRDefault="00E72C3F" w:rsidP="008862C7">
      <w:pPr>
        <w:spacing w:after="0"/>
        <w:jc w:val="center"/>
        <w:rPr>
          <w:rFonts w:ascii="Arial" w:hAnsi="Arial" w:cs="Arial"/>
          <w:b/>
          <w:sz w:val="24"/>
          <w:szCs w:val="24"/>
        </w:rPr>
      </w:pPr>
    </w:p>
    <w:p w14:paraId="3C3B8FE1" w14:textId="77777777" w:rsidR="00E72C3F" w:rsidRDefault="00E72C3F" w:rsidP="008862C7">
      <w:pPr>
        <w:spacing w:after="0"/>
        <w:jc w:val="center"/>
        <w:rPr>
          <w:rFonts w:ascii="Arial" w:hAnsi="Arial" w:cs="Arial"/>
          <w:b/>
          <w:sz w:val="24"/>
          <w:szCs w:val="24"/>
        </w:rPr>
      </w:pPr>
    </w:p>
    <w:p w14:paraId="540B89BF" w14:textId="77777777" w:rsidR="00E72C3F" w:rsidRDefault="00E72C3F" w:rsidP="008862C7">
      <w:pPr>
        <w:spacing w:after="0"/>
        <w:jc w:val="center"/>
        <w:rPr>
          <w:rFonts w:ascii="Arial" w:hAnsi="Arial" w:cs="Arial"/>
          <w:b/>
          <w:sz w:val="24"/>
          <w:szCs w:val="24"/>
        </w:rPr>
      </w:pPr>
    </w:p>
    <w:p w14:paraId="59B04A83" w14:textId="77777777" w:rsidR="00E72C3F" w:rsidRDefault="00E72C3F" w:rsidP="008862C7">
      <w:pPr>
        <w:spacing w:after="0"/>
        <w:jc w:val="center"/>
        <w:rPr>
          <w:rFonts w:ascii="Arial" w:hAnsi="Arial" w:cs="Arial"/>
          <w:b/>
          <w:sz w:val="24"/>
          <w:szCs w:val="24"/>
        </w:rPr>
      </w:pPr>
    </w:p>
    <w:p w14:paraId="5B277388" w14:textId="77777777" w:rsidR="00E72C3F" w:rsidRDefault="00E72C3F" w:rsidP="008862C7">
      <w:pPr>
        <w:spacing w:after="0"/>
        <w:jc w:val="center"/>
        <w:rPr>
          <w:rFonts w:ascii="Arial" w:hAnsi="Arial" w:cs="Arial"/>
          <w:b/>
          <w:sz w:val="24"/>
          <w:szCs w:val="24"/>
        </w:rPr>
      </w:pPr>
    </w:p>
    <w:p w14:paraId="1388107C" w14:textId="77777777" w:rsidR="00E72C3F" w:rsidRDefault="00E72C3F" w:rsidP="008862C7">
      <w:pPr>
        <w:spacing w:after="0"/>
        <w:jc w:val="center"/>
        <w:rPr>
          <w:rFonts w:ascii="Arial" w:hAnsi="Arial" w:cs="Arial"/>
          <w:b/>
          <w:sz w:val="24"/>
          <w:szCs w:val="24"/>
        </w:rPr>
      </w:pPr>
    </w:p>
    <w:p w14:paraId="65ED23FC" w14:textId="77777777" w:rsidR="008862C7" w:rsidRDefault="008862C7" w:rsidP="008862C7">
      <w:pPr>
        <w:spacing w:after="0"/>
        <w:jc w:val="center"/>
        <w:rPr>
          <w:rFonts w:ascii="Arial" w:hAnsi="Arial" w:cs="Arial"/>
          <w:b/>
          <w:sz w:val="24"/>
          <w:szCs w:val="24"/>
        </w:rPr>
      </w:pPr>
    </w:p>
    <w:p w14:paraId="558A6A90" w14:textId="77777777" w:rsidR="008862C7" w:rsidRDefault="008862C7" w:rsidP="008862C7">
      <w:pPr>
        <w:spacing w:after="0"/>
        <w:jc w:val="center"/>
        <w:rPr>
          <w:rFonts w:ascii="Arial" w:hAnsi="Arial" w:cs="Arial"/>
          <w:b/>
          <w:sz w:val="24"/>
          <w:szCs w:val="24"/>
        </w:rPr>
      </w:pPr>
    </w:p>
    <w:p w14:paraId="3A27055B" w14:textId="77777777" w:rsidR="00E72C3F" w:rsidRDefault="00E72C3F" w:rsidP="008862C7">
      <w:pPr>
        <w:spacing w:after="0"/>
        <w:jc w:val="center"/>
        <w:rPr>
          <w:rFonts w:ascii="Arial" w:hAnsi="Arial" w:cs="Arial"/>
          <w:b/>
          <w:sz w:val="24"/>
          <w:szCs w:val="24"/>
        </w:rPr>
      </w:pPr>
    </w:p>
    <w:p w14:paraId="0605553F" w14:textId="77777777" w:rsidR="00E72C3F" w:rsidRDefault="00E72C3F" w:rsidP="008862C7">
      <w:pPr>
        <w:spacing w:after="0"/>
        <w:jc w:val="center"/>
        <w:rPr>
          <w:rFonts w:ascii="Arial" w:hAnsi="Arial" w:cs="Arial"/>
          <w:b/>
          <w:sz w:val="24"/>
          <w:szCs w:val="24"/>
        </w:rPr>
      </w:pPr>
    </w:p>
    <w:p w14:paraId="15A3F58E" w14:textId="77777777" w:rsidR="00E72C3F" w:rsidRDefault="00E72C3F" w:rsidP="008862C7">
      <w:pPr>
        <w:spacing w:after="0"/>
        <w:jc w:val="center"/>
        <w:rPr>
          <w:rFonts w:ascii="Arial" w:hAnsi="Arial" w:cs="Arial"/>
          <w:b/>
          <w:sz w:val="24"/>
          <w:szCs w:val="24"/>
        </w:rPr>
      </w:pPr>
    </w:p>
    <w:p w14:paraId="4E100DBF" w14:textId="77777777" w:rsidR="00E72C3F" w:rsidRDefault="00E72C3F" w:rsidP="008862C7">
      <w:pPr>
        <w:spacing w:after="0"/>
        <w:jc w:val="center"/>
        <w:rPr>
          <w:rFonts w:ascii="Arial" w:hAnsi="Arial" w:cs="Arial"/>
          <w:b/>
          <w:sz w:val="24"/>
          <w:szCs w:val="24"/>
        </w:rPr>
      </w:pPr>
    </w:p>
    <w:p w14:paraId="58EC24F6" w14:textId="77777777" w:rsidR="008862C7" w:rsidRDefault="008862C7" w:rsidP="008862C7">
      <w:pPr>
        <w:spacing w:after="0"/>
        <w:jc w:val="center"/>
        <w:rPr>
          <w:rFonts w:ascii="Arial" w:hAnsi="Arial" w:cs="Arial"/>
          <w:b/>
          <w:sz w:val="24"/>
          <w:szCs w:val="24"/>
        </w:rPr>
      </w:pPr>
    </w:p>
    <w:p w14:paraId="7652E3A1" w14:textId="77777777" w:rsidR="008862C7" w:rsidRDefault="008862C7" w:rsidP="008862C7">
      <w:pPr>
        <w:spacing w:after="0"/>
        <w:jc w:val="center"/>
        <w:rPr>
          <w:rFonts w:ascii="Arial" w:hAnsi="Arial" w:cs="Arial"/>
          <w:b/>
          <w:sz w:val="24"/>
          <w:szCs w:val="24"/>
        </w:rPr>
      </w:pPr>
    </w:p>
    <w:p w14:paraId="64F397C3" w14:textId="77777777" w:rsidR="008862C7" w:rsidRDefault="008862C7" w:rsidP="008862C7">
      <w:pPr>
        <w:spacing w:after="0"/>
        <w:jc w:val="center"/>
        <w:rPr>
          <w:rFonts w:ascii="Arial" w:hAnsi="Arial" w:cs="Arial"/>
          <w:b/>
          <w:sz w:val="24"/>
          <w:szCs w:val="24"/>
        </w:rPr>
      </w:pPr>
    </w:p>
    <w:p w14:paraId="701212D7" w14:textId="77777777" w:rsidR="008862C7" w:rsidRDefault="008862C7" w:rsidP="008862C7">
      <w:pPr>
        <w:spacing w:after="0"/>
        <w:jc w:val="center"/>
        <w:rPr>
          <w:rFonts w:ascii="Arial" w:hAnsi="Arial" w:cs="Arial"/>
          <w:b/>
          <w:sz w:val="24"/>
          <w:szCs w:val="24"/>
        </w:rPr>
      </w:pPr>
    </w:p>
    <w:p w14:paraId="0069BDBE" w14:textId="77777777" w:rsidR="008862C7" w:rsidRDefault="008862C7" w:rsidP="008862C7">
      <w:pPr>
        <w:pStyle w:val="Titre1"/>
        <w:jc w:val="center"/>
        <w:rPr>
          <w:sz w:val="24"/>
          <w:szCs w:val="24"/>
        </w:rPr>
      </w:pPr>
      <w:bookmarkStart w:id="140" w:name="_Toc395107603"/>
      <w:r>
        <w:rPr>
          <w:sz w:val="24"/>
          <w:szCs w:val="24"/>
        </w:rPr>
        <w:t>SECONDE PARTIE :</w:t>
      </w:r>
      <w:bookmarkEnd w:id="140"/>
      <w:r>
        <w:rPr>
          <w:sz w:val="24"/>
          <w:szCs w:val="24"/>
        </w:rPr>
        <w:t xml:space="preserve"> </w:t>
      </w:r>
      <w:bookmarkStart w:id="141" w:name="_Toc395107604"/>
      <w:r>
        <w:rPr>
          <w:sz w:val="24"/>
          <w:szCs w:val="24"/>
        </w:rPr>
        <w:t>ETUDE EMPIRIQUE DES DETERMINANTS DE LA COMPETITIVITE DU COTON CENTRAFRICAIN</w:t>
      </w:r>
      <w:bookmarkEnd w:id="141"/>
    </w:p>
    <w:p w14:paraId="73A0CA68" w14:textId="77777777" w:rsidR="008862C7" w:rsidRDefault="008862C7" w:rsidP="008862C7">
      <w:pPr>
        <w:spacing w:after="0"/>
        <w:jc w:val="center"/>
        <w:rPr>
          <w:rFonts w:ascii="Arial" w:hAnsi="Arial" w:cs="Arial"/>
          <w:b/>
          <w:sz w:val="24"/>
          <w:szCs w:val="24"/>
        </w:rPr>
      </w:pPr>
    </w:p>
    <w:p w14:paraId="7A81F44F" w14:textId="77777777" w:rsidR="008862C7" w:rsidRDefault="008862C7" w:rsidP="008862C7">
      <w:pPr>
        <w:spacing w:after="0"/>
        <w:jc w:val="center"/>
        <w:rPr>
          <w:rFonts w:ascii="Arial" w:hAnsi="Arial" w:cs="Arial"/>
          <w:b/>
          <w:sz w:val="24"/>
          <w:szCs w:val="24"/>
        </w:rPr>
      </w:pPr>
    </w:p>
    <w:p w14:paraId="668684F1" w14:textId="77777777" w:rsidR="008862C7" w:rsidRDefault="008862C7" w:rsidP="008862C7">
      <w:pPr>
        <w:spacing w:after="0"/>
        <w:jc w:val="center"/>
        <w:rPr>
          <w:rFonts w:ascii="Arial" w:hAnsi="Arial" w:cs="Arial"/>
          <w:b/>
          <w:sz w:val="24"/>
          <w:szCs w:val="24"/>
        </w:rPr>
      </w:pPr>
    </w:p>
    <w:p w14:paraId="51A6F056" w14:textId="77777777" w:rsidR="008862C7" w:rsidRDefault="008862C7" w:rsidP="008862C7">
      <w:pPr>
        <w:spacing w:after="0"/>
        <w:jc w:val="center"/>
        <w:rPr>
          <w:rFonts w:ascii="Arial" w:hAnsi="Arial" w:cs="Arial"/>
          <w:b/>
          <w:sz w:val="24"/>
          <w:szCs w:val="24"/>
        </w:rPr>
      </w:pPr>
    </w:p>
    <w:p w14:paraId="0C5EE478" w14:textId="77777777" w:rsidR="008862C7" w:rsidRDefault="008862C7" w:rsidP="008862C7">
      <w:pPr>
        <w:spacing w:after="0"/>
        <w:jc w:val="center"/>
        <w:rPr>
          <w:rFonts w:ascii="Arial" w:hAnsi="Arial" w:cs="Arial"/>
          <w:b/>
          <w:sz w:val="24"/>
          <w:szCs w:val="24"/>
        </w:rPr>
      </w:pPr>
    </w:p>
    <w:p w14:paraId="2F6F7F2D" w14:textId="77777777" w:rsidR="008862C7" w:rsidRDefault="008862C7" w:rsidP="008862C7">
      <w:pPr>
        <w:spacing w:after="0"/>
        <w:jc w:val="center"/>
        <w:rPr>
          <w:rFonts w:ascii="Arial" w:hAnsi="Arial" w:cs="Arial"/>
          <w:b/>
          <w:sz w:val="24"/>
          <w:szCs w:val="24"/>
        </w:rPr>
      </w:pPr>
    </w:p>
    <w:p w14:paraId="636EA1EF" w14:textId="77777777" w:rsidR="008862C7" w:rsidRDefault="008862C7" w:rsidP="008862C7">
      <w:pPr>
        <w:spacing w:after="0"/>
        <w:jc w:val="center"/>
        <w:rPr>
          <w:rFonts w:ascii="Arial" w:hAnsi="Arial" w:cs="Arial"/>
          <w:b/>
          <w:sz w:val="24"/>
          <w:szCs w:val="24"/>
        </w:rPr>
      </w:pPr>
    </w:p>
    <w:p w14:paraId="26473DB2" w14:textId="77777777" w:rsidR="008862C7" w:rsidRDefault="008862C7" w:rsidP="008862C7">
      <w:pPr>
        <w:spacing w:after="0"/>
        <w:jc w:val="center"/>
        <w:rPr>
          <w:rFonts w:ascii="Arial" w:hAnsi="Arial" w:cs="Arial"/>
          <w:b/>
          <w:sz w:val="24"/>
          <w:szCs w:val="24"/>
        </w:rPr>
      </w:pPr>
    </w:p>
    <w:p w14:paraId="16169069" w14:textId="77777777" w:rsidR="008862C7" w:rsidRDefault="008862C7" w:rsidP="008862C7">
      <w:pPr>
        <w:spacing w:after="0"/>
        <w:jc w:val="center"/>
        <w:rPr>
          <w:rFonts w:ascii="Arial" w:hAnsi="Arial" w:cs="Arial"/>
          <w:b/>
          <w:sz w:val="24"/>
          <w:szCs w:val="24"/>
        </w:rPr>
      </w:pPr>
    </w:p>
    <w:p w14:paraId="7AAECF34" w14:textId="77777777" w:rsidR="008862C7" w:rsidRDefault="008862C7" w:rsidP="008862C7">
      <w:pPr>
        <w:spacing w:after="0"/>
        <w:jc w:val="center"/>
        <w:rPr>
          <w:rFonts w:ascii="Arial" w:hAnsi="Arial" w:cs="Arial"/>
          <w:b/>
          <w:sz w:val="24"/>
          <w:szCs w:val="24"/>
        </w:rPr>
      </w:pPr>
    </w:p>
    <w:p w14:paraId="1F4FED89" w14:textId="77777777" w:rsidR="008862C7" w:rsidRDefault="008862C7" w:rsidP="008862C7">
      <w:pPr>
        <w:spacing w:after="0"/>
        <w:jc w:val="center"/>
        <w:rPr>
          <w:rFonts w:ascii="Arial" w:hAnsi="Arial" w:cs="Arial"/>
          <w:b/>
          <w:sz w:val="24"/>
          <w:szCs w:val="24"/>
        </w:rPr>
      </w:pPr>
    </w:p>
    <w:p w14:paraId="58586D1F" w14:textId="77777777" w:rsidR="008862C7" w:rsidRDefault="008862C7" w:rsidP="008862C7">
      <w:pPr>
        <w:spacing w:after="0"/>
        <w:jc w:val="center"/>
        <w:rPr>
          <w:rFonts w:ascii="Arial" w:hAnsi="Arial" w:cs="Arial"/>
          <w:b/>
          <w:sz w:val="24"/>
          <w:szCs w:val="24"/>
        </w:rPr>
      </w:pPr>
    </w:p>
    <w:p w14:paraId="535F1B9F" w14:textId="77777777" w:rsidR="008862C7" w:rsidRDefault="008862C7" w:rsidP="008862C7">
      <w:pPr>
        <w:spacing w:after="0"/>
        <w:jc w:val="center"/>
        <w:rPr>
          <w:rFonts w:ascii="Arial" w:hAnsi="Arial" w:cs="Arial"/>
          <w:b/>
          <w:sz w:val="24"/>
          <w:szCs w:val="24"/>
        </w:rPr>
      </w:pPr>
    </w:p>
    <w:p w14:paraId="02B3890B" w14:textId="77777777" w:rsidR="008862C7" w:rsidRDefault="008862C7" w:rsidP="008862C7">
      <w:pPr>
        <w:spacing w:after="0"/>
        <w:jc w:val="center"/>
        <w:rPr>
          <w:rFonts w:ascii="Arial" w:hAnsi="Arial" w:cs="Arial"/>
          <w:b/>
          <w:sz w:val="24"/>
          <w:szCs w:val="24"/>
        </w:rPr>
      </w:pPr>
    </w:p>
    <w:p w14:paraId="3C9D1C26" w14:textId="77777777" w:rsidR="008862C7" w:rsidRDefault="008862C7" w:rsidP="008862C7">
      <w:pPr>
        <w:spacing w:after="0"/>
        <w:jc w:val="center"/>
        <w:rPr>
          <w:rFonts w:ascii="Arial" w:hAnsi="Arial" w:cs="Arial"/>
          <w:b/>
          <w:sz w:val="24"/>
          <w:szCs w:val="24"/>
        </w:rPr>
      </w:pPr>
    </w:p>
    <w:p w14:paraId="724DBDA3" w14:textId="77777777" w:rsidR="008862C7" w:rsidRDefault="008862C7" w:rsidP="008862C7">
      <w:pPr>
        <w:spacing w:after="0"/>
        <w:jc w:val="center"/>
        <w:rPr>
          <w:rFonts w:ascii="Arial" w:hAnsi="Arial" w:cs="Arial"/>
          <w:b/>
          <w:sz w:val="24"/>
          <w:szCs w:val="24"/>
        </w:rPr>
      </w:pPr>
    </w:p>
    <w:p w14:paraId="2B711346" w14:textId="77777777" w:rsidR="008862C7" w:rsidRDefault="008862C7" w:rsidP="008862C7">
      <w:pPr>
        <w:spacing w:after="0"/>
        <w:jc w:val="center"/>
        <w:rPr>
          <w:rFonts w:ascii="Arial" w:hAnsi="Arial" w:cs="Arial"/>
          <w:b/>
          <w:sz w:val="24"/>
          <w:szCs w:val="24"/>
        </w:rPr>
      </w:pPr>
    </w:p>
    <w:p w14:paraId="2BFD1E0D" w14:textId="77777777" w:rsidR="008862C7" w:rsidRDefault="008862C7" w:rsidP="008862C7">
      <w:pPr>
        <w:spacing w:after="0"/>
        <w:jc w:val="center"/>
        <w:rPr>
          <w:rFonts w:ascii="Arial" w:hAnsi="Arial" w:cs="Arial"/>
          <w:b/>
          <w:sz w:val="24"/>
          <w:szCs w:val="24"/>
        </w:rPr>
      </w:pPr>
    </w:p>
    <w:p w14:paraId="2876A65A" w14:textId="77777777" w:rsidR="008862C7" w:rsidRDefault="008862C7" w:rsidP="008862C7">
      <w:pPr>
        <w:spacing w:after="0"/>
        <w:jc w:val="center"/>
        <w:rPr>
          <w:rFonts w:ascii="Arial" w:hAnsi="Arial" w:cs="Arial"/>
          <w:b/>
          <w:sz w:val="24"/>
          <w:szCs w:val="24"/>
        </w:rPr>
      </w:pPr>
    </w:p>
    <w:p w14:paraId="6AD88510" w14:textId="77777777" w:rsidR="008862C7" w:rsidRDefault="008862C7" w:rsidP="008862C7">
      <w:pPr>
        <w:rPr>
          <w:rFonts w:ascii="Arial" w:hAnsi="Arial" w:cs="Arial"/>
          <w:sz w:val="24"/>
          <w:szCs w:val="24"/>
        </w:rPr>
      </w:pPr>
    </w:p>
    <w:p w14:paraId="0F75A3C3" w14:textId="77777777" w:rsidR="008862C7" w:rsidRDefault="008862C7" w:rsidP="008862C7">
      <w:pPr>
        <w:rPr>
          <w:rFonts w:ascii="Arial" w:hAnsi="Arial" w:cs="Arial"/>
          <w:sz w:val="24"/>
          <w:szCs w:val="24"/>
        </w:rPr>
      </w:pPr>
    </w:p>
    <w:p w14:paraId="2F182783" w14:textId="77777777" w:rsidR="008862C7" w:rsidRDefault="008862C7" w:rsidP="008862C7">
      <w:pPr>
        <w:rPr>
          <w:rFonts w:ascii="Arial" w:hAnsi="Arial" w:cs="Arial"/>
          <w:sz w:val="24"/>
          <w:szCs w:val="24"/>
        </w:rPr>
      </w:pPr>
    </w:p>
    <w:p w14:paraId="4CB0A4DB" w14:textId="77777777" w:rsidR="008862C7" w:rsidRDefault="008862C7" w:rsidP="008862C7">
      <w:pPr>
        <w:rPr>
          <w:rFonts w:ascii="Arial" w:hAnsi="Arial" w:cs="Arial"/>
          <w:sz w:val="24"/>
          <w:szCs w:val="24"/>
        </w:rPr>
      </w:pPr>
    </w:p>
    <w:p w14:paraId="2FB13E5A" w14:textId="77777777" w:rsidR="008862C7" w:rsidRDefault="008862C7" w:rsidP="008862C7">
      <w:pPr>
        <w:rPr>
          <w:rFonts w:ascii="Arial" w:hAnsi="Arial" w:cs="Arial"/>
          <w:sz w:val="24"/>
          <w:szCs w:val="24"/>
        </w:rPr>
      </w:pPr>
    </w:p>
    <w:p w14:paraId="3DB1BF8A"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lastRenderedPageBreak/>
        <w:t>Cette partie, consacrée à l’étude empirique des déterminants de la compétitivité du coton centrafricain, se fixe deux objectifs qui seront retracés au travers des deux chapitres : le premier objectif sera donc d’identifier au troisième chapitre, grâce à une étude empirique du système de production et de commercialisation, les principaux facteurs qui ont une incidence sur le mode de production, la gestion des exploitations et le circuit de commercialisation. Ces éléments permettront ensuite de mettre en évidence dans le quatrième chapitre, d’une part, les principaux déterminants de la compétitivité du coton centrafricain et d’autre part d’évaluer leur pouvoir explicatif afin d’en tirer les implications en termes de stratégies et politiques de relance de la filière étudiée.</w:t>
      </w:r>
    </w:p>
    <w:p w14:paraId="670DD77D" w14:textId="77777777" w:rsidR="008862C7" w:rsidRDefault="008862C7" w:rsidP="008862C7">
      <w:pPr>
        <w:spacing w:after="0"/>
        <w:jc w:val="center"/>
        <w:rPr>
          <w:rFonts w:ascii="Arial" w:hAnsi="Arial" w:cs="Arial"/>
          <w:b/>
          <w:sz w:val="24"/>
          <w:szCs w:val="24"/>
        </w:rPr>
      </w:pPr>
    </w:p>
    <w:p w14:paraId="1910C5C2" w14:textId="77777777" w:rsidR="008862C7" w:rsidRDefault="008862C7" w:rsidP="008862C7">
      <w:pPr>
        <w:spacing w:after="0"/>
        <w:jc w:val="center"/>
        <w:rPr>
          <w:rFonts w:ascii="Arial" w:hAnsi="Arial" w:cs="Arial"/>
          <w:b/>
          <w:sz w:val="24"/>
          <w:szCs w:val="24"/>
        </w:rPr>
      </w:pPr>
    </w:p>
    <w:p w14:paraId="337F53CE" w14:textId="77777777" w:rsidR="008862C7" w:rsidRDefault="008862C7" w:rsidP="008862C7">
      <w:pPr>
        <w:spacing w:after="0"/>
        <w:jc w:val="center"/>
        <w:rPr>
          <w:rFonts w:ascii="Arial" w:hAnsi="Arial" w:cs="Arial"/>
          <w:b/>
          <w:sz w:val="24"/>
          <w:szCs w:val="24"/>
        </w:rPr>
      </w:pPr>
    </w:p>
    <w:p w14:paraId="36BEE5BF" w14:textId="77777777" w:rsidR="008862C7" w:rsidRDefault="008862C7" w:rsidP="008862C7">
      <w:pPr>
        <w:spacing w:after="0"/>
        <w:jc w:val="center"/>
        <w:rPr>
          <w:rFonts w:ascii="Arial" w:hAnsi="Arial" w:cs="Arial"/>
          <w:b/>
          <w:sz w:val="24"/>
          <w:szCs w:val="24"/>
        </w:rPr>
      </w:pPr>
    </w:p>
    <w:p w14:paraId="5480970B" w14:textId="77777777" w:rsidR="008862C7" w:rsidRDefault="008862C7" w:rsidP="008862C7">
      <w:pPr>
        <w:spacing w:after="0"/>
        <w:jc w:val="center"/>
        <w:rPr>
          <w:rFonts w:ascii="Arial" w:hAnsi="Arial" w:cs="Arial"/>
          <w:b/>
          <w:sz w:val="24"/>
          <w:szCs w:val="24"/>
        </w:rPr>
      </w:pPr>
    </w:p>
    <w:p w14:paraId="642F65D9" w14:textId="77777777" w:rsidR="008862C7" w:rsidRDefault="008862C7" w:rsidP="008862C7">
      <w:pPr>
        <w:spacing w:after="0"/>
        <w:jc w:val="center"/>
        <w:rPr>
          <w:rFonts w:ascii="Arial" w:hAnsi="Arial" w:cs="Arial"/>
          <w:b/>
          <w:sz w:val="24"/>
          <w:szCs w:val="24"/>
        </w:rPr>
      </w:pPr>
    </w:p>
    <w:p w14:paraId="09632268" w14:textId="77777777" w:rsidR="008862C7" w:rsidRDefault="008862C7" w:rsidP="008862C7">
      <w:pPr>
        <w:spacing w:after="0"/>
        <w:jc w:val="center"/>
        <w:rPr>
          <w:rFonts w:ascii="Arial" w:hAnsi="Arial" w:cs="Arial"/>
          <w:b/>
          <w:sz w:val="24"/>
          <w:szCs w:val="24"/>
        </w:rPr>
      </w:pPr>
    </w:p>
    <w:p w14:paraId="3B2BAAD3" w14:textId="77777777" w:rsidR="008862C7" w:rsidRDefault="008862C7" w:rsidP="008862C7">
      <w:pPr>
        <w:spacing w:after="0"/>
        <w:jc w:val="center"/>
        <w:rPr>
          <w:rFonts w:ascii="Arial" w:hAnsi="Arial" w:cs="Arial"/>
          <w:b/>
          <w:sz w:val="24"/>
          <w:szCs w:val="24"/>
        </w:rPr>
      </w:pPr>
    </w:p>
    <w:p w14:paraId="15453F97" w14:textId="77777777" w:rsidR="008862C7" w:rsidRDefault="008862C7" w:rsidP="008862C7">
      <w:pPr>
        <w:spacing w:after="0"/>
        <w:jc w:val="center"/>
        <w:rPr>
          <w:rFonts w:ascii="Arial" w:hAnsi="Arial" w:cs="Arial"/>
          <w:b/>
          <w:sz w:val="24"/>
          <w:szCs w:val="24"/>
        </w:rPr>
      </w:pPr>
    </w:p>
    <w:p w14:paraId="1CA53CA7" w14:textId="77777777" w:rsidR="008862C7" w:rsidRDefault="008862C7" w:rsidP="008862C7">
      <w:pPr>
        <w:spacing w:after="0"/>
        <w:jc w:val="center"/>
        <w:rPr>
          <w:rFonts w:ascii="Arial" w:hAnsi="Arial" w:cs="Arial"/>
          <w:b/>
          <w:sz w:val="24"/>
          <w:szCs w:val="24"/>
        </w:rPr>
      </w:pPr>
    </w:p>
    <w:p w14:paraId="0A14A05F" w14:textId="77777777" w:rsidR="008862C7" w:rsidRDefault="008862C7" w:rsidP="008862C7">
      <w:pPr>
        <w:spacing w:after="0"/>
        <w:jc w:val="center"/>
        <w:rPr>
          <w:rFonts w:ascii="Arial" w:hAnsi="Arial" w:cs="Arial"/>
          <w:b/>
          <w:sz w:val="24"/>
          <w:szCs w:val="24"/>
        </w:rPr>
      </w:pPr>
    </w:p>
    <w:p w14:paraId="54591DD9" w14:textId="77777777" w:rsidR="008862C7" w:rsidRDefault="008862C7" w:rsidP="008862C7">
      <w:pPr>
        <w:spacing w:after="0"/>
        <w:jc w:val="center"/>
        <w:rPr>
          <w:rFonts w:ascii="Arial" w:hAnsi="Arial" w:cs="Arial"/>
          <w:b/>
          <w:sz w:val="24"/>
          <w:szCs w:val="24"/>
        </w:rPr>
      </w:pPr>
    </w:p>
    <w:p w14:paraId="79DAF6A7" w14:textId="77777777" w:rsidR="008862C7" w:rsidRDefault="008862C7" w:rsidP="008862C7">
      <w:pPr>
        <w:spacing w:after="0"/>
        <w:jc w:val="center"/>
        <w:rPr>
          <w:rFonts w:ascii="Arial" w:hAnsi="Arial" w:cs="Arial"/>
          <w:b/>
          <w:sz w:val="24"/>
          <w:szCs w:val="24"/>
        </w:rPr>
      </w:pPr>
    </w:p>
    <w:p w14:paraId="6035694A" w14:textId="77777777" w:rsidR="008862C7" w:rsidRDefault="008862C7" w:rsidP="008862C7">
      <w:pPr>
        <w:spacing w:after="0"/>
        <w:jc w:val="center"/>
        <w:rPr>
          <w:rFonts w:ascii="Arial" w:hAnsi="Arial" w:cs="Arial"/>
          <w:b/>
          <w:sz w:val="24"/>
          <w:szCs w:val="24"/>
        </w:rPr>
      </w:pPr>
    </w:p>
    <w:p w14:paraId="7C152933" w14:textId="77777777" w:rsidR="008862C7" w:rsidRDefault="008862C7" w:rsidP="008862C7">
      <w:pPr>
        <w:spacing w:after="0"/>
        <w:jc w:val="center"/>
        <w:rPr>
          <w:rFonts w:ascii="Arial" w:hAnsi="Arial" w:cs="Arial"/>
          <w:b/>
          <w:sz w:val="24"/>
          <w:szCs w:val="24"/>
        </w:rPr>
      </w:pPr>
    </w:p>
    <w:p w14:paraId="52DA8A41" w14:textId="77777777" w:rsidR="008862C7" w:rsidRDefault="008862C7" w:rsidP="008862C7">
      <w:pPr>
        <w:spacing w:after="0"/>
        <w:jc w:val="center"/>
        <w:rPr>
          <w:rFonts w:ascii="Arial" w:hAnsi="Arial" w:cs="Arial"/>
          <w:b/>
          <w:sz w:val="24"/>
          <w:szCs w:val="24"/>
        </w:rPr>
      </w:pPr>
    </w:p>
    <w:p w14:paraId="24F6BBDA" w14:textId="77777777" w:rsidR="008862C7" w:rsidRDefault="008862C7" w:rsidP="008862C7">
      <w:pPr>
        <w:spacing w:after="0"/>
        <w:jc w:val="center"/>
        <w:rPr>
          <w:rFonts w:ascii="Arial" w:hAnsi="Arial" w:cs="Arial"/>
          <w:b/>
          <w:sz w:val="24"/>
          <w:szCs w:val="24"/>
        </w:rPr>
      </w:pPr>
    </w:p>
    <w:p w14:paraId="289164AD" w14:textId="77777777" w:rsidR="008862C7" w:rsidRDefault="008862C7" w:rsidP="008862C7">
      <w:pPr>
        <w:spacing w:after="0"/>
        <w:jc w:val="center"/>
        <w:rPr>
          <w:rFonts w:ascii="Arial" w:hAnsi="Arial" w:cs="Arial"/>
          <w:b/>
          <w:sz w:val="24"/>
          <w:szCs w:val="24"/>
        </w:rPr>
      </w:pPr>
    </w:p>
    <w:p w14:paraId="6CD00973" w14:textId="77777777" w:rsidR="008862C7" w:rsidRDefault="008862C7" w:rsidP="008862C7">
      <w:pPr>
        <w:spacing w:after="0"/>
        <w:jc w:val="center"/>
        <w:rPr>
          <w:rFonts w:ascii="Arial" w:hAnsi="Arial" w:cs="Arial"/>
          <w:b/>
          <w:sz w:val="24"/>
          <w:szCs w:val="24"/>
        </w:rPr>
      </w:pPr>
    </w:p>
    <w:p w14:paraId="0407815C" w14:textId="77777777" w:rsidR="008862C7" w:rsidRDefault="008862C7" w:rsidP="008862C7">
      <w:pPr>
        <w:spacing w:after="0"/>
        <w:jc w:val="center"/>
        <w:rPr>
          <w:rFonts w:ascii="Arial" w:hAnsi="Arial" w:cs="Arial"/>
          <w:b/>
          <w:sz w:val="24"/>
          <w:szCs w:val="24"/>
        </w:rPr>
      </w:pPr>
    </w:p>
    <w:p w14:paraId="2EFA4E36" w14:textId="77777777" w:rsidR="008862C7" w:rsidRDefault="008862C7" w:rsidP="008862C7">
      <w:pPr>
        <w:spacing w:after="0"/>
        <w:jc w:val="center"/>
        <w:rPr>
          <w:rFonts w:ascii="Arial" w:hAnsi="Arial" w:cs="Arial"/>
          <w:b/>
          <w:sz w:val="24"/>
          <w:szCs w:val="24"/>
        </w:rPr>
      </w:pPr>
    </w:p>
    <w:p w14:paraId="53973267" w14:textId="77777777" w:rsidR="008862C7" w:rsidRDefault="008862C7" w:rsidP="008862C7">
      <w:pPr>
        <w:spacing w:after="0"/>
        <w:jc w:val="center"/>
        <w:rPr>
          <w:rFonts w:ascii="Arial" w:hAnsi="Arial" w:cs="Arial"/>
          <w:b/>
          <w:sz w:val="24"/>
          <w:szCs w:val="24"/>
        </w:rPr>
      </w:pPr>
    </w:p>
    <w:p w14:paraId="6A756984" w14:textId="77777777" w:rsidR="008862C7" w:rsidRDefault="008862C7" w:rsidP="008862C7">
      <w:pPr>
        <w:spacing w:after="0"/>
        <w:jc w:val="center"/>
        <w:rPr>
          <w:rFonts w:ascii="Arial" w:hAnsi="Arial" w:cs="Arial"/>
          <w:b/>
          <w:sz w:val="24"/>
          <w:szCs w:val="24"/>
        </w:rPr>
      </w:pPr>
    </w:p>
    <w:p w14:paraId="355DCD76" w14:textId="77777777" w:rsidR="008862C7" w:rsidRDefault="008862C7" w:rsidP="008862C7">
      <w:pPr>
        <w:spacing w:after="0"/>
        <w:jc w:val="center"/>
        <w:rPr>
          <w:rFonts w:ascii="Arial" w:hAnsi="Arial" w:cs="Arial"/>
          <w:b/>
          <w:sz w:val="24"/>
          <w:szCs w:val="24"/>
        </w:rPr>
      </w:pPr>
    </w:p>
    <w:p w14:paraId="6A9FFFE8" w14:textId="77777777" w:rsidR="008862C7" w:rsidRDefault="008862C7" w:rsidP="008862C7">
      <w:pPr>
        <w:spacing w:after="0"/>
        <w:jc w:val="center"/>
        <w:rPr>
          <w:rFonts w:ascii="Arial" w:hAnsi="Arial" w:cs="Arial"/>
          <w:b/>
          <w:sz w:val="24"/>
          <w:szCs w:val="24"/>
        </w:rPr>
      </w:pPr>
    </w:p>
    <w:p w14:paraId="17295188" w14:textId="77777777" w:rsidR="008862C7" w:rsidRDefault="008862C7" w:rsidP="008862C7">
      <w:pPr>
        <w:spacing w:after="0"/>
        <w:jc w:val="center"/>
        <w:rPr>
          <w:rFonts w:ascii="Arial" w:hAnsi="Arial" w:cs="Arial"/>
          <w:b/>
          <w:sz w:val="24"/>
          <w:szCs w:val="24"/>
        </w:rPr>
      </w:pPr>
    </w:p>
    <w:p w14:paraId="2729979D" w14:textId="77777777" w:rsidR="008862C7" w:rsidRDefault="008862C7" w:rsidP="008862C7">
      <w:pPr>
        <w:spacing w:after="0"/>
        <w:jc w:val="center"/>
        <w:rPr>
          <w:rFonts w:ascii="Arial" w:hAnsi="Arial" w:cs="Arial"/>
          <w:b/>
          <w:sz w:val="24"/>
          <w:szCs w:val="24"/>
        </w:rPr>
      </w:pPr>
    </w:p>
    <w:p w14:paraId="01AA2746" w14:textId="77777777" w:rsidR="008862C7" w:rsidRDefault="008862C7" w:rsidP="008862C7">
      <w:pPr>
        <w:spacing w:after="0"/>
        <w:jc w:val="center"/>
        <w:rPr>
          <w:rFonts w:ascii="Arial" w:hAnsi="Arial" w:cs="Arial"/>
          <w:b/>
          <w:sz w:val="24"/>
          <w:szCs w:val="24"/>
        </w:rPr>
      </w:pPr>
    </w:p>
    <w:p w14:paraId="77B1559C" w14:textId="77777777" w:rsidR="008862C7" w:rsidRDefault="008862C7" w:rsidP="008862C7">
      <w:pPr>
        <w:spacing w:after="0"/>
        <w:jc w:val="center"/>
        <w:rPr>
          <w:rFonts w:ascii="Arial" w:hAnsi="Arial" w:cs="Arial"/>
          <w:b/>
          <w:sz w:val="24"/>
          <w:szCs w:val="24"/>
        </w:rPr>
      </w:pPr>
    </w:p>
    <w:p w14:paraId="692E2FD1" w14:textId="77777777" w:rsidR="008862C7" w:rsidRDefault="008862C7" w:rsidP="008862C7">
      <w:pPr>
        <w:spacing w:after="0"/>
        <w:jc w:val="center"/>
        <w:rPr>
          <w:rFonts w:ascii="Arial" w:hAnsi="Arial" w:cs="Arial"/>
          <w:b/>
          <w:sz w:val="24"/>
          <w:szCs w:val="24"/>
        </w:rPr>
      </w:pPr>
    </w:p>
    <w:p w14:paraId="2BED4AC1" w14:textId="77777777" w:rsidR="008862C7" w:rsidRDefault="008862C7" w:rsidP="008862C7">
      <w:pPr>
        <w:spacing w:after="0"/>
        <w:jc w:val="center"/>
        <w:rPr>
          <w:rFonts w:ascii="Arial" w:hAnsi="Arial" w:cs="Arial"/>
          <w:b/>
          <w:sz w:val="24"/>
          <w:szCs w:val="24"/>
        </w:rPr>
      </w:pPr>
    </w:p>
    <w:p w14:paraId="4959A22F" w14:textId="77777777" w:rsidR="008862C7" w:rsidRDefault="008862C7" w:rsidP="008862C7">
      <w:pPr>
        <w:spacing w:after="0"/>
        <w:jc w:val="center"/>
        <w:rPr>
          <w:rFonts w:ascii="Arial" w:hAnsi="Arial" w:cs="Arial"/>
          <w:b/>
          <w:sz w:val="24"/>
          <w:szCs w:val="24"/>
        </w:rPr>
      </w:pPr>
    </w:p>
    <w:p w14:paraId="0EAFB746" w14:textId="77777777" w:rsidR="008862C7" w:rsidRDefault="008862C7" w:rsidP="008862C7">
      <w:pPr>
        <w:spacing w:after="0"/>
        <w:jc w:val="center"/>
        <w:rPr>
          <w:rFonts w:ascii="Arial" w:hAnsi="Arial" w:cs="Arial"/>
          <w:b/>
          <w:sz w:val="24"/>
          <w:szCs w:val="24"/>
        </w:rPr>
      </w:pPr>
    </w:p>
    <w:p w14:paraId="0616B5E0" w14:textId="77777777" w:rsidR="008862C7" w:rsidRDefault="008862C7" w:rsidP="008862C7">
      <w:pPr>
        <w:spacing w:after="0"/>
        <w:jc w:val="center"/>
        <w:rPr>
          <w:rFonts w:ascii="Arial" w:hAnsi="Arial" w:cs="Arial"/>
          <w:b/>
          <w:sz w:val="24"/>
          <w:szCs w:val="24"/>
        </w:rPr>
      </w:pPr>
    </w:p>
    <w:p w14:paraId="304C03C1" w14:textId="77777777" w:rsidR="008862C7" w:rsidRDefault="008862C7" w:rsidP="008862C7">
      <w:pPr>
        <w:spacing w:after="0"/>
        <w:jc w:val="center"/>
        <w:rPr>
          <w:rFonts w:ascii="Arial" w:hAnsi="Arial" w:cs="Arial"/>
          <w:b/>
          <w:sz w:val="24"/>
          <w:szCs w:val="24"/>
        </w:rPr>
      </w:pPr>
    </w:p>
    <w:p w14:paraId="6F38D17C" w14:textId="77777777" w:rsidR="008862C7" w:rsidRDefault="008862C7" w:rsidP="008862C7">
      <w:pPr>
        <w:spacing w:after="0"/>
        <w:jc w:val="center"/>
        <w:rPr>
          <w:rFonts w:ascii="Arial" w:hAnsi="Arial" w:cs="Arial"/>
          <w:b/>
          <w:sz w:val="24"/>
          <w:szCs w:val="24"/>
        </w:rPr>
      </w:pPr>
    </w:p>
    <w:p w14:paraId="71C98219" w14:textId="77777777" w:rsidR="008862C7" w:rsidRDefault="008862C7" w:rsidP="008862C7">
      <w:pPr>
        <w:spacing w:after="0"/>
        <w:jc w:val="center"/>
        <w:rPr>
          <w:rFonts w:ascii="Arial" w:hAnsi="Arial" w:cs="Arial"/>
          <w:b/>
          <w:sz w:val="24"/>
          <w:szCs w:val="24"/>
        </w:rPr>
      </w:pPr>
    </w:p>
    <w:p w14:paraId="5A90E341" w14:textId="77777777" w:rsidR="008862C7" w:rsidRDefault="008862C7" w:rsidP="008862C7">
      <w:pPr>
        <w:spacing w:after="0"/>
        <w:jc w:val="center"/>
        <w:rPr>
          <w:rFonts w:ascii="Arial" w:hAnsi="Arial" w:cs="Arial"/>
          <w:b/>
          <w:sz w:val="24"/>
          <w:szCs w:val="24"/>
        </w:rPr>
      </w:pPr>
    </w:p>
    <w:p w14:paraId="036B1D4B" w14:textId="77777777" w:rsidR="00E72C3F" w:rsidRDefault="00E72C3F" w:rsidP="008862C7">
      <w:pPr>
        <w:spacing w:after="0"/>
        <w:jc w:val="center"/>
        <w:rPr>
          <w:rFonts w:ascii="Arial" w:hAnsi="Arial" w:cs="Arial"/>
          <w:b/>
          <w:sz w:val="24"/>
          <w:szCs w:val="24"/>
        </w:rPr>
      </w:pPr>
    </w:p>
    <w:p w14:paraId="3F4F7035" w14:textId="77777777" w:rsidR="00E72C3F" w:rsidRDefault="00E72C3F" w:rsidP="008862C7">
      <w:pPr>
        <w:spacing w:after="0"/>
        <w:jc w:val="center"/>
        <w:rPr>
          <w:rFonts w:ascii="Arial" w:hAnsi="Arial" w:cs="Arial"/>
          <w:b/>
          <w:sz w:val="24"/>
          <w:szCs w:val="24"/>
        </w:rPr>
      </w:pPr>
    </w:p>
    <w:p w14:paraId="6590704D" w14:textId="77777777" w:rsidR="00E72C3F" w:rsidRDefault="00E72C3F" w:rsidP="008862C7">
      <w:pPr>
        <w:spacing w:after="0"/>
        <w:jc w:val="center"/>
        <w:rPr>
          <w:rFonts w:ascii="Arial" w:hAnsi="Arial" w:cs="Arial"/>
          <w:b/>
          <w:sz w:val="24"/>
          <w:szCs w:val="24"/>
        </w:rPr>
      </w:pPr>
    </w:p>
    <w:p w14:paraId="71312C03" w14:textId="77777777" w:rsidR="00E72C3F" w:rsidRDefault="00E72C3F" w:rsidP="008862C7">
      <w:pPr>
        <w:spacing w:after="0"/>
        <w:jc w:val="center"/>
        <w:rPr>
          <w:rFonts w:ascii="Arial" w:hAnsi="Arial" w:cs="Arial"/>
          <w:b/>
          <w:sz w:val="24"/>
          <w:szCs w:val="24"/>
        </w:rPr>
      </w:pPr>
    </w:p>
    <w:p w14:paraId="06725A77" w14:textId="77777777" w:rsidR="008862C7" w:rsidRDefault="008862C7" w:rsidP="008862C7">
      <w:pPr>
        <w:spacing w:after="0"/>
        <w:jc w:val="center"/>
        <w:rPr>
          <w:rFonts w:ascii="Arial" w:hAnsi="Arial" w:cs="Arial"/>
          <w:b/>
          <w:sz w:val="24"/>
          <w:szCs w:val="24"/>
        </w:rPr>
      </w:pPr>
    </w:p>
    <w:p w14:paraId="6C0545F1" w14:textId="77777777" w:rsidR="008862C7" w:rsidRDefault="008862C7" w:rsidP="008862C7">
      <w:pPr>
        <w:spacing w:after="0"/>
        <w:jc w:val="center"/>
        <w:rPr>
          <w:rFonts w:ascii="Arial" w:hAnsi="Arial" w:cs="Arial"/>
          <w:b/>
          <w:sz w:val="24"/>
          <w:szCs w:val="24"/>
        </w:rPr>
      </w:pPr>
    </w:p>
    <w:p w14:paraId="21593007" w14:textId="77777777" w:rsidR="008862C7" w:rsidRDefault="008862C7" w:rsidP="008862C7">
      <w:pPr>
        <w:spacing w:after="0"/>
        <w:jc w:val="center"/>
        <w:rPr>
          <w:rFonts w:ascii="Arial" w:hAnsi="Arial" w:cs="Arial"/>
          <w:b/>
          <w:sz w:val="24"/>
          <w:szCs w:val="24"/>
        </w:rPr>
      </w:pPr>
    </w:p>
    <w:p w14:paraId="75945195" w14:textId="77777777" w:rsidR="008862C7" w:rsidRDefault="008862C7" w:rsidP="008862C7">
      <w:pPr>
        <w:spacing w:after="0"/>
        <w:jc w:val="center"/>
        <w:rPr>
          <w:rFonts w:ascii="Arial" w:hAnsi="Arial" w:cs="Arial"/>
          <w:b/>
          <w:sz w:val="24"/>
          <w:szCs w:val="24"/>
        </w:rPr>
      </w:pPr>
    </w:p>
    <w:p w14:paraId="560AC78D" w14:textId="77777777" w:rsidR="00E72C3F" w:rsidRDefault="00E72C3F" w:rsidP="008862C7">
      <w:pPr>
        <w:spacing w:after="0"/>
        <w:jc w:val="center"/>
        <w:rPr>
          <w:rFonts w:ascii="Arial" w:hAnsi="Arial" w:cs="Arial"/>
          <w:b/>
          <w:sz w:val="24"/>
          <w:szCs w:val="24"/>
        </w:rPr>
      </w:pPr>
    </w:p>
    <w:p w14:paraId="769640F7" w14:textId="77777777" w:rsidR="00E72C3F" w:rsidRDefault="00E72C3F" w:rsidP="008862C7">
      <w:pPr>
        <w:spacing w:after="0"/>
        <w:jc w:val="center"/>
        <w:rPr>
          <w:rFonts w:ascii="Arial" w:hAnsi="Arial" w:cs="Arial"/>
          <w:b/>
          <w:sz w:val="24"/>
          <w:szCs w:val="24"/>
        </w:rPr>
      </w:pPr>
    </w:p>
    <w:p w14:paraId="7D472E46" w14:textId="77777777" w:rsidR="008862C7" w:rsidRDefault="008862C7" w:rsidP="008862C7">
      <w:pPr>
        <w:spacing w:after="0"/>
        <w:jc w:val="center"/>
        <w:rPr>
          <w:rFonts w:ascii="Arial" w:hAnsi="Arial" w:cs="Arial"/>
          <w:b/>
          <w:sz w:val="24"/>
          <w:szCs w:val="24"/>
        </w:rPr>
      </w:pPr>
    </w:p>
    <w:p w14:paraId="2EC73F06" w14:textId="77777777" w:rsidR="008862C7" w:rsidRDefault="008862C7" w:rsidP="008862C7">
      <w:pPr>
        <w:spacing w:after="0"/>
        <w:jc w:val="center"/>
        <w:rPr>
          <w:rFonts w:ascii="Arial" w:hAnsi="Arial" w:cs="Arial"/>
          <w:b/>
          <w:sz w:val="24"/>
          <w:szCs w:val="24"/>
        </w:rPr>
      </w:pPr>
    </w:p>
    <w:p w14:paraId="2CC98BF1" w14:textId="77777777" w:rsidR="008862C7" w:rsidRDefault="008862C7" w:rsidP="008862C7">
      <w:pPr>
        <w:spacing w:after="0"/>
        <w:jc w:val="center"/>
        <w:rPr>
          <w:rFonts w:ascii="Arial" w:hAnsi="Arial" w:cs="Arial"/>
          <w:b/>
          <w:sz w:val="24"/>
          <w:szCs w:val="24"/>
        </w:rPr>
      </w:pPr>
    </w:p>
    <w:p w14:paraId="4B0A7052" w14:textId="77777777" w:rsidR="008862C7" w:rsidRDefault="008862C7" w:rsidP="008862C7">
      <w:pPr>
        <w:spacing w:after="0"/>
        <w:jc w:val="center"/>
        <w:rPr>
          <w:rFonts w:ascii="Arial" w:hAnsi="Arial" w:cs="Arial"/>
          <w:b/>
          <w:sz w:val="24"/>
          <w:szCs w:val="24"/>
        </w:rPr>
      </w:pPr>
    </w:p>
    <w:p w14:paraId="6A83D679" w14:textId="77777777" w:rsidR="008862C7" w:rsidRDefault="008862C7" w:rsidP="008862C7">
      <w:pPr>
        <w:spacing w:after="0"/>
        <w:jc w:val="center"/>
        <w:rPr>
          <w:rFonts w:ascii="Arial" w:hAnsi="Arial" w:cs="Arial"/>
          <w:b/>
          <w:sz w:val="24"/>
          <w:szCs w:val="24"/>
        </w:rPr>
      </w:pPr>
    </w:p>
    <w:p w14:paraId="5EC7D43F" w14:textId="77777777" w:rsidR="008862C7" w:rsidRDefault="008862C7" w:rsidP="008862C7">
      <w:pPr>
        <w:spacing w:after="0"/>
        <w:jc w:val="center"/>
        <w:rPr>
          <w:rFonts w:ascii="Arial" w:hAnsi="Arial" w:cs="Arial"/>
          <w:b/>
          <w:sz w:val="24"/>
          <w:szCs w:val="24"/>
        </w:rPr>
      </w:pPr>
    </w:p>
    <w:p w14:paraId="33264B21" w14:textId="77777777" w:rsidR="008862C7" w:rsidRDefault="008862C7" w:rsidP="008862C7">
      <w:pPr>
        <w:spacing w:after="0"/>
        <w:jc w:val="center"/>
        <w:rPr>
          <w:rFonts w:ascii="Arial" w:hAnsi="Arial" w:cs="Arial"/>
          <w:b/>
          <w:sz w:val="24"/>
          <w:szCs w:val="24"/>
        </w:rPr>
      </w:pPr>
    </w:p>
    <w:p w14:paraId="5F1D0D73" w14:textId="77777777" w:rsidR="008862C7" w:rsidRDefault="008862C7" w:rsidP="008862C7">
      <w:pPr>
        <w:pStyle w:val="Titre2"/>
        <w:jc w:val="center"/>
        <w:rPr>
          <w:rFonts w:ascii="Arial" w:hAnsi="Arial" w:cs="Arial"/>
          <w:color w:val="auto"/>
          <w:sz w:val="24"/>
          <w:szCs w:val="24"/>
        </w:rPr>
      </w:pPr>
      <w:bookmarkStart w:id="142" w:name="_Toc395107605"/>
      <w:r>
        <w:rPr>
          <w:rFonts w:ascii="Arial" w:hAnsi="Arial" w:cs="Arial"/>
          <w:color w:val="auto"/>
          <w:sz w:val="24"/>
          <w:szCs w:val="24"/>
        </w:rPr>
        <w:t>CHAPITRE  III :</w:t>
      </w:r>
      <w:bookmarkEnd w:id="142"/>
      <w:r>
        <w:rPr>
          <w:rFonts w:ascii="Arial" w:hAnsi="Arial" w:cs="Arial"/>
          <w:color w:val="auto"/>
          <w:sz w:val="24"/>
          <w:szCs w:val="24"/>
        </w:rPr>
        <w:t xml:space="preserve"> </w:t>
      </w:r>
      <w:bookmarkStart w:id="143" w:name="_Toc395107606"/>
      <w:r>
        <w:rPr>
          <w:rFonts w:ascii="Arial" w:hAnsi="Arial" w:cs="Arial"/>
          <w:color w:val="auto"/>
          <w:sz w:val="24"/>
          <w:szCs w:val="24"/>
        </w:rPr>
        <w:t>ANALYSE DU SYSTEME DE PRODUCTION ET DU SYSYTEME DE COMMERCIALISATION DU COTON CENTRAFRICAIN</w:t>
      </w:r>
      <w:bookmarkEnd w:id="143"/>
    </w:p>
    <w:p w14:paraId="7899D428" w14:textId="77777777" w:rsidR="008862C7" w:rsidRDefault="008862C7" w:rsidP="008862C7">
      <w:pPr>
        <w:spacing w:after="0"/>
        <w:jc w:val="center"/>
        <w:rPr>
          <w:rFonts w:ascii="Arial" w:hAnsi="Arial" w:cs="Arial"/>
          <w:b/>
          <w:sz w:val="24"/>
          <w:szCs w:val="24"/>
        </w:rPr>
      </w:pPr>
    </w:p>
    <w:p w14:paraId="406D0B80" w14:textId="77777777" w:rsidR="008862C7" w:rsidRDefault="008862C7" w:rsidP="008862C7">
      <w:pPr>
        <w:spacing w:after="0"/>
        <w:jc w:val="center"/>
        <w:rPr>
          <w:rFonts w:ascii="Arial" w:hAnsi="Arial" w:cs="Arial"/>
          <w:b/>
          <w:sz w:val="24"/>
          <w:szCs w:val="24"/>
        </w:rPr>
      </w:pPr>
    </w:p>
    <w:p w14:paraId="325F08D7" w14:textId="77777777" w:rsidR="008862C7" w:rsidRDefault="008862C7" w:rsidP="008862C7">
      <w:pPr>
        <w:spacing w:after="0"/>
        <w:jc w:val="center"/>
        <w:rPr>
          <w:rFonts w:ascii="Arial" w:hAnsi="Arial" w:cs="Arial"/>
          <w:b/>
          <w:sz w:val="24"/>
          <w:szCs w:val="24"/>
        </w:rPr>
      </w:pPr>
    </w:p>
    <w:p w14:paraId="02E2E3B2" w14:textId="77777777" w:rsidR="008862C7" w:rsidRDefault="008862C7" w:rsidP="008862C7">
      <w:pPr>
        <w:spacing w:after="0"/>
        <w:jc w:val="center"/>
        <w:rPr>
          <w:rFonts w:ascii="Arial" w:hAnsi="Arial" w:cs="Arial"/>
          <w:b/>
          <w:sz w:val="24"/>
          <w:szCs w:val="24"/>
        </w:rPr>
      </w:pPr>
    </w:p>
    <w:p w14:paraId="5545D0FF" w14:textId="77777777" w:rsidR="008862C7" w:rsidRDefault="008862C7" w:rsidP="008862C7">
      <w:pPr>
        <w:spacing w:after="0"/>
        <w:jc w:val="center"/>
        <w:rPr>
          <w:rFonts w:ascii="Arial" w:hAnsi="Arial" w:cs="Arial"/>
          <w:b/>
          <w:sz w:val="24"/>
          <w:szCs w:val="24"/>
        </w:rPr>
      </w:pPr>
    </w:p>
    <w:p w14:paraId="726F9C5B" w14:textId="77777777" w:rsidR="008862C7" w:rsidRDefault="008862C7" w:rsidP="008862C7">
      <w:pPr>
        <w:spacing w:after="0"/>
        <w:jc w:val="center"/>
        <w:rPr>
          <w:rFonts w:ascii="Arial" w:hAnsi="Arial" w:cs="Arial"/>
          <w:b/>
          <w:sz w:val="24"/>
          <w:szCs w:val="24"/>
        </w:rPr>
      </w:pPr>
    </w:p>
    <w:p w14:paraId="3ECE381C" w14:textId="77777777" w:rsidR="008862C7" w:rsidRDefault="008862C7" w:rsidP="008862C7">
      <w:pPr>
        <w:spacing w:after="0"/>
        <w:jc w:val="center"/>
        <w:rPr>
          <w:rFonts w:ascii="Arial" w:hAnsi="Arial" w:cs="Arial"/>
          <w:b/>
          <w:sz w:val="24"/>
          <w:szCs w:val="24"/>
        </w:rPr>
      </w:pPr>
    </w:p>
    <w:p w14:paraId="084B5721" w14:textId="77777777" w:rsidR="008862C7" w:rsidRDefault="008862C7" w:rsidP="008862C7">
      <w:pPr>
        <w:spacing w:after="0"/>
        <w:jc w:val="center"/>
        <w:rPr>
          <w:rFonts w:ascii="Arial" w:hAnsi="Arial" w:cs="Arial"/>
          <w:b/>
          <w:sz w:val="24"/>
          <w:szCs w:val="24"/>
        </w:rPr>
      </w:pPr>
    </w:p>
    <w:p w14:paraId="4D5A2F01" w14:textId="77777777" w:rsidR="008862C7" w:rsidRDefault="008862C7" w:rsidP="008862C7">
      <w:pPr>
        <w:spacing w:after="0"/>
        <w:jc w:val="center"/>
        <w:rPr>
          <w:rFonts w:ascii="Arial" w:hAnsi="Arial" w:cs="Arial"/>
          <w:b/>
          <w:sz w:val="24"/>
          <w:szCs w:val="24"/>
        </w:rPr>
      </w:pPr>
    </w:p>
    <w:p w14:paraId="17CA250A" w14:textId="77777777" w:rsidR="008862C7" w:rsidRDefault="008862C7" w:rsidP="008862C7">
      <w:pPr>
        <w:spacing w:after="0"/>
        <w:jc w:val="center"/>
        <w:rPr>
          <w:rFonts w:ascii="Arial" w:hAnsi="Arial" w:cs="Arial"/>
          <w:b/>
          <w:sz w:val="24"/>
          <w:szCs w:val="24"/>
        </w:rPr>
      </w:pPr>
    </w:p>
    <w:p w14:paraId="40FBA4C8" w14:textId="77777777" w:rsidR="008862C7" w:rsidRDefault="008862C7" w:rsidP="008862C7">
      <w:pPr>
        <w:spacing w:after="0"/>
        <w:jc w:val="center"/>
        <w:rPr>
          <w:rFonts w:ascii="Arial" w:hAnsi="Arial" w:cs="Arial"/>
          <w:b/>
          <w:sz w:val="24"/>
          <w:szCs w:val="24"/>
        </w:rPr>
      </w:pPr>
    </w:p>
    <w:p w14:paraId="10ED76AF" w14:textId="77777777" w:rsidR="008862C7" w:rsidRDefault="008862C7" w:rsidP="008862C7">
      <w:pPr>
        <w:spacing w:after="0"/>
        <w:jc w:val="center"/>
        <w:rPr>
          <w:rFonts w:ascii="Arial" w:hAnsi="Arial" w:cs="Arial"/>
          <w:b/>
          <w:sz w:val="24"/>
          <w:szCs w:val="24"/>
        </w:rPr>
      </w:pPr>
    </w:p>
    <w:p w14:paraId="00EECBE1" w14:textId="77777777" w:rsidR="008862C7" w:rsidRDefault="008862C7" w:rsidP="008862C7">
      <w:pPr>
        <w:spacing w:after="0"/>
        <w:jc w:val="center"/>
        <w:rPr>
          <w:rFonts w:ascii="Arial" w:hAnsi="Arial" w:cs="Arial"/>
          <w:b/>
          <w:sz w:val="24"/>
          <w:szCs w:val="24"/>
        </w:rPr>
      </w:pPr>
    </w:p>
    <w:p w14:paraId="641021F8" w14:textId="77777777" w:rsidR="008862C7" w:rsidRDefault="008862C7" w:rsidP="008862C7">
      <w:pPr>
        <w:spacing w:after="0"/>
        <w:jc w:val="center"/>
        <w:rPr>
          <w:rFonts w:ascii="Arial" w:hAnsi="Arial" w:cs="Arial"/>
          <w:b/>
          <w:sz w:val="24"/>
          <w:szCs w:val="24"/>
        </w:rPr>
      </w:pPr>
    </w:p>
    <w:p w14:paraId="59F41FE1" w14:textId="77777777" w:rsidR="008862C7" w:rsidRDefault="008862C7" w:rsidP="008862C7">
      <w:pPr>
        <w:spacing w:after="0"/>
        <w:jc w:val="center"/>
        <w:rPr>
          <w:rFonts w:ascii="Arial" w:hAnsi="Arial" w:cs="Arial"/>
          <w:b/>
          <w:sz w:val="24"/>
          <w:szCs w:val="24"/>
        </w:rPr>
      </w:pPr>
    </w:p>
    <w:p w14:paraId="0577D88D" w14:textId="77777777" w:rsidR="008862C7" w:rsidRDefault="008862C7" w:rsidP="008862C7">
      <w:pPr>
        <w:spacing w:after="0"/>
        <w:jc w:val="center"/>
        <w:rPr>
          <w:rFonts w:ascii="Arial" w:hAnsi="Arial" w:cs="Arial"/>
          <w:b/>
          <w:sz w:val="24"/>
          <w:szCs w:val="24"/>
        </w:rPr>
      </w:pPr>
    </w:p>
    <w:p w14:paraId="61BB5C95" w14:textId="77777777" w:rsidR="008862C7" w:rsidRDefault="008862C7" w:rsidP="008862C7">
      <w:pPr>
        <w:spacing w:after="0"/>
        <w:jc w:val="center"/>
        <w:rPr>
          <w:rFonts w:ascii="Arial" w:hAnsi="Arial" w:cs="Arial"/>
          <w:b/>
          <w:sz w:val="24"/>
          <w:szCs w:val="24"/>
        </w:rPr>
      </w:pPr>
    </w:p>
    <w:p w14:paraId="6BDBA548" w14:textId="77777777" w:rsidR="008862C7" w:rsidRDefault="008862C7" w:rsidP="008862C7">
      <w:pPr>
        <w:spacing w:after="0"/>
        <w:jc w:val="center"/>
        <w:rPr>
          <w:rFonts w:ascii="Arial" w:hAnsi="Arial" w:cs="Arial"/>
          <w:b/>
          <w:sz w:val="24"/>
          <w:szCs w:val="24"/>
        </w:rPr>
      </w:pPr>
    </w:p>
    <w:p w14:paraId="64609D3C" w14:textId="77777777" w:rsidR="008862C7" w:rsidRDefault="008862C7" w:rsidP="008862C7">
      <w:pPr>
        <w:spacing w:after="0"/>
        <w:jc w:val="center"/>
        <w:rPr>
          <w:rFonts w:ascii="Arial" w:hAnsi="Arial" w:cs="Arial"/>
          <w:b/>
          <w:sz w:val="24"/>
          <w:szCs w:val="24"/>
        </w:rPr>
      </w:pPr>
    </w:p>
    <w:p w14:paraId="697CFE28" w14:textId="77777777" w:rsidR="008862C7" w:rsidRDefault="008862C7" w:rsidP="008862C7">
      <w:pPr>
        <w:spacing w:after="0"/>
        <w:jc w:val="center"/>
        <w:rPr>
          <w:rFonts w:ascii="Arial" w:hAnsi="Arial" w:cs="Arial"/>
          <w:b/>
          <w:sz w:val="24"/>
          <w:szCs w:val="24"/>
        </w:rPr>
      </w:pPr>
    </w:p>
    <w:p w14:paraId="7B2F2BEE" w14:textId="77777777" w:rsidR="008862C7" w:rsidRDefault="008862C7" w:rsidP="008862C7">
      <w:pPr>
        <w:spacing w:after="0"/>
        <w:jc w:val="center"/>
        <w:rPr>
          <w:rFonts w:ascii="Arial" w:hAnsi="Arial" w:cs="Arial"/>
          <w:b/>
          <w:sz w:val="24"/>
          <w:szCs w:val="24"/>
        </w:rPr>
      </w:pPr>
    </w:p>
    <w:p w14:paraId="5BB53CC6" w14:textId="77777777" w:rsidR="008862C7" w:rsidRDefault="008862C7" w:rsidP="008862C7">
      <w:pPr>
        <w:spacing w:after="0"/>
        <w:jc w:val="center"/>
        <w:rPr>
          <w:rFonts w:ascii="Arial" w:hAnsi="Arial" w:cs="Arial"/>
          <w:b/>
          <w:sz w:val="24"/>
          <w:szCs w:val="24"/>
        </w:rPr>
      </w:pPr>
    </w:p>
    <w:p w14:paraId="52E966BF" w14:textId="77777777" w:rsidR="008862C7" w:rsidRDefault="008862C7" w:rsidP="008862C7">
      <w:pPr>
        <w:spacing w:after="0"/>
        <w:jc w:val="center"/>
        <w:rPr>
          <w:rFonts w:ascii="Arial" w:hAnsi="Arial" w:cs="Arial"/>
          <w:b/>
          <w:sz w:val="24"/>
          <w:szCs w:val="24"/>
        </w:rPr>
      </w:pPr>
    </w:p>
    <w:p w14:paraId="5F17A007" w14:textId="77777777" w:rsidR="008862C7" w:rsidRDefault="008862C7" w:rsidP="008862C7">
      <w:pPr>
        <w:pStyle w:val="Titre3"/>
        <w:spacing w:after="120"/>
        <w:rPr>
          <w:b/>
        </w:rPr>
      </w:pPr>
      <w:bookmarkStart w:id="144" w:name="_Toc395107607"/>
      <w:r>
        <w:rPr>
          <w:b/>
        </w:rPr>
        <w:lastRenderedPageBreak/>
        <w:t>INTRODUCTION</w:t>
      </w:r>
      <w:bookmarkEnd w:id="144"/>
    </w:p>
    <w:p w14:paraId="286302F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Tout système économique est structuré et fonctionne de manière à atteindre un objectif préalablement fixé. L’organisation et le fonctionnement du système productif et du système de commercialisation du coton centrafricain s’orientent vers une finalité propre qui est celle de : produire du coton graine et de coton fibre de bonne qualité et en quantité suffisante ; vendre sur le marché mondial de coton fibre à de prix suffisamment rémunérateur, afin d’accroître les gains en devise étrangère dans l’économie nationale ; distribuer un revenu conséquent aux producteurs, leur donner un pouvoir d’achat et ainsi, réduire leur vulnérabilité et le niveau de pauvreté dans les régions productrices de coton.</w:t>
      </w:r>
    </w:p>
    <w:p w14:paraId="79747538"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L’efficacité du système sera alors mesurée par sa capacité à atteindre les objectifs qui lui sont assignés. Pour être efficace, les systèmes de production et de commercialisation du coton centrafricain se doivent d’être efficients dans l’allocation optimale des ressources, dans la bonne gestion des flux entre les acteurs du système, ainsi que le respect des délais d’exécution des tâches.</w:t>
      </w:r>
    </w:p>
    <w:p w14:paraId="03C1E2DA"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Pour saisir l’efficacité de ces systèmes, ce chapitre aborde dans la première section l’analyse économique du système productif du coton centrafricain. Il s’agit dans un premier temps de chercher à comprendre la gestion des moyens de production des exploitations cotonnières centrafricaines, ensuite d’analyser le système technique de production. La seconde section, quant à elle, portera sur le système de commercialisation du coton centrafricain : les systèmes interne et externe de commercialisation y seront étudiés. </w:t>
      </w:r>
    </w:p>
    <w:p w14:paraId="40288243" w14:textId="77777777" w:rsidR="008862C7" w:rsidRDefault="008862C7" w:rsidP="008862C7">
      <w:pPr>
        <w:pStyle w:val="Paragraphedeliste"/>
        <w:numPr>
          <w:ilvl w:val="0"/>
          <w:numId w:val="24"/>
        </w:numPr>
        <w:jc w:val="both"/>
        <w:outlineLvl w:val="2"/>
        <w:rPr>
          <w:rFonts w:ascii="Arial" w:hAnsi="Arial" w:cs="Arial"/>
          <w:b/>
          <w:sz w:val="24"/>
          <w:szCs w:val="24"/>
        </w:rPr>
      </w:pPr>
      <w:bookmarkStart w:id="145" w:name="_Toc395107608"/>
      <w:r>
        <w:rPr>
          <w:rFonts w:ascii="Arial" w:hAnsi="Arial" w:cs="Arial"/>
          <w:b/>
          <w:sz w:val="24"/>
          <w:szCs w:val="24"/>
        </w:rPr>
        <w:t>ANALYSE ECONOMIQUE DU SYSTEME PRODUCTIF DU COTON CENTRAFRICAIN</w:t>
      </w:r>
      <w:bookmarkEnd w:id="145"/>
    </w:p>
    <w:p w14:paraId="6D1A1F9A"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 xml:space="preserve">L'économie de la production agricole dans les pays en voie de développement est généralement appréhendée sous </w:t>
      </w:r>
      <w:commentRangeStart w:id="146"/>
      <w:r>
        <w:rPr>
          <w:rFonts w:ascii="Arial" w:hAnsi="Arial" w:cs="Arial"/>
          <w:sz w:val="24"/>
          <w:szCs w:val="24"/>
        </w:rPr>
        <w:t xml:space="preserve">deux optiques </w:t>
      </w:r>
      <w:commentRangeEnd w:id="146"/>
      <w:r>
        <w:rPr>
          <w:rStyle w:val="Marquedecommentaire"/>
          <w:rFonts w:eastAsia="Times New Roman" w:cs="Times New Roman"/>
        </w:rPr>
        <w:commentReference w:id="146"/>
      </w:r>
      <w:r>
        <w:rPr>
          <w:rFonts w:ascii="Arial" w:hAnsi="Arial" w:cs="Arial"/>
          <w:sz w:val="24"/>
          <w:szCs w:val="24"/>
        </w:rPr>
        <w:t>qui sont rarement confrontées. Il s’agit de l'approche agro-économique et de l'anthropologie économique.</w:t>
      </w:r>
    </w:p>
    <w:p w14:paraId="1E3B39EE"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 xml:space="preserve">L'approche agro-économique privilégie l'unité de production comme niveau d'une analyse empirique technico-économique qui met l'accent sur les procédés techniques de production, sur la disponibilité et le coût des facteurs de production. C'est le domaine par excellence du quantifié, du calcul économique appliqué à l'agriculture. Le principal outil d'analyse en est le système de production entendu, suivant les auteurs, comme combinaison des productions et des facteurs de productions ou comme seule combinaison des facteurs. </w:t>
      </w:r>
    </w:p>
    <w:p w14:paraId="612A10FD"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lastRenderedPageBreak/>
        <w:t>Dans une perspective très différente, l'anthropologie économique privilégie l'analyse qualitative, au niveau de groupes sociaux, des rapports de production, des processus de différenciation sociale, des modes de production.</w:t>
      </w:r>
    </w:p>
    <w:p w14:paraId="25DA9639"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Il semble pourtant intéressant de raisonner à la fois en termes de calcul économique et de rapports sociaux. Le concept de système productif, ensemble des éléments et des activités qui concourent à la formation du flux des produits agricoles, concilie ces deux approches en assurant un « balayage » complet du champ d'investigation qui s'offre à l'économiste.</w:t>
      </w:r>
    </w:p>
    <w:p w14:paraId="4DC1DA27" w14:textId="77777777" w:rsidR="008862C7" w:rsidRDefault="008862C7" w:rsidP="008862C7">
      <w:pPr>
        <w:spacing w:after="240" w:line="360" w:lineRule="auto"/>
        <w:jc w:val="both"/>
        <w:rPr>
          <w:rFonts w:ascii="Arial" w:hAnsi="Arial" w:cs="Arial"/>
          <w:sz w:val="24"/>
          <w:szCs w:val="24"/>
        </w:rPr>
      </w:pPr>
      <w:r>
        <w:rPr>
          <w:rFonts w:ascii="Arial" w:hAnsi="Arial" w:cs="Arial"/>
          <w:sz w:val="24"/>
          <w:szCs w:val="24"/>
        </w:rPr>
        <w:t>De ces deux approches on peut définir dans un système productif agricole, différents niveaux d’organisation de la production, correspondant à des unités spatiales particulières :</w:t>
      </w:r>
    </w:p>
    <w:p w14:paraId="20DAF505" w14:textId="77777777" w:rsidR="008862C7" w:rsidRDefault="008862C7" w:rsidP="008862C7">
      <w:pPr>
        <w:pStyle w:val="Paragraphedeliste"/>
        <w:numPr>
          <w:ilvl w:val="0"/>
          <w:numId w:val="25"/>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le système agraire, association des productions et des techniques mises en œuvre par une société rurale pour exploiter son espace, gérer ses ressources et satisfaire ses besoins (Mbétid-Bessane, 2010). A l’échelle régionale, il est le modèle qui nous parait le plus opératoire et le plus judicieux à utiliser pour analyser l’organisation de la production agricole ;</w:t>
      </w:r>
    </w:p>
    <w:p w14:paraId="0AF6750C" w14:textId="77777777" w:rsidR="008862C7" w:rsidRDefault="008862C7" w:rsidP="008862C7">
      <w:pPr>
        <w:pStyle w:val="Paragraphedeliste"/>
        <w:numPr>
          <w:ilvl w:val="0"/>
          <w:numId w:val="25"/>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le système de production, combinaison des moyens de production</w:t>
      </w:r>
      <w:r>
        <w:rPr>
          <w:rStyle w:val="Appelnotedebasdep"/>
          <w:rFonts w:ascii="Arial" w:hAnsi="Arial" w:cs="Arial"/>
          <w:sz w:val="24"/>
          <w:szCs w:val="24"/>
        </w:rPr>
        <w:footnoteReference w:id="31"/>
      </w:r>
      <w:r>
        <w:rPr>
          <w:rFonts w:ascii="Arial" w:hAnsi="Arial" w:cs="Arial"/>
          <w:sz w:val="24"/>
          <w:szCs w:val="24"/>
        </w:rPr>
        <w:t xml:space="preserve"> entre eux pour assurer la production végétale et/ou animale en vue de satisfaire les objectifs de l’exploitation (Mbétid-Bessane, 2010) ;</w:t>
      </w:r>
    </w:p>
    <w:p w14:paraId="2BF4F1A0" w14:textId="77777777" w:rsidR="008862C7" w:rsidRDefault="008862C7" w:rsidP="008862C7">
      <w:pPr>
        <w:pStyle w:val="Paragraphedeliste"/>
        <w:numPr>
          <w:ilvl w:val="0"/>
          <w:numId w:val="25"/>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le système de culture, se rapportant aux combinaisons des cultures dans le temps et dans l'espace (cultures pratiquées, rotations, assolements, associations et itinéraires techniques). On peut donc parler de système de culture cotonnière ;</w:t>
      </w:r>
    </w:p>
    <w:p w14:paraId="6EE65DAA" w14:textId="77777777" w:rsidR="008862C7" w:rsidRDefault="008862C7" w:rsidP="008862C7">
      <w:pPr>
        <w:pStyle w:val="Paragraphedeliste"/>
        <w:numPr>
          <w:ilvl w:val="0"/>
          <w:numId w:val="25"/>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le système d'exploitation entendu comme mode de fonctionnement des unités de production : détention du pouvoir de décision, structure interne de l'unité de production, modalités d'accès aux facteurs de production, rapports entre l'exploitation et son environnement économique. Cette quatrième composante du système productif complète l'approche technico-économique « système de culture-système de production » en intégrant les rapports de production dans l'analyse.</w:t>
      </w:r>
    </w:p>
    <w:p w14:paraId="16A43B18"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 xml:space="preserve">Le système agraire, le système de production, le système de culture et le système d’exploitation familial sont autant de systèmes qui peuvent être définis dans un système agricole. Dans le cadre de cette étude, l’unité spatiale retenue est l’exploitation familiale. La mise en œuvre des </w:t>
      </w:r>
      <w:r>
        <w:rPr>
          <w:rFonts w:ascii="Arial" w:hAnsi="Arial" w:cs="Arial"/>
          <w:sz w:val="24"/>
          <w:szCs w:val="24"/>
        </w:rPr>
        <w:lastRenderedPageBreak/>
        <w:t xml:space="preserve">facteurs sera ainsi définie sur le plan quantitatif par le système de production et le système de culture, le contrôle social exercé sur cette mise en œuvre étant appréhendé par l'analyse du système d'exploitation familiale. La fonction de cette grille analytique dans l'interprétation, est double. En premier lieu, elle conduit à la construction d'un modèle éventuellement sommaire du fonctionnement économique des unités de production cotonnière. En second lieu, elle permet de mettre en évidence les thèmes clés qui nécessitent une investigation plus approfondie et spécifique. De plus, cette approche a le mérite d'intégrer dans l'analyse économique (en tant que variables déterminantes et non en tant que variables à expliquer) des éléments qui relèvent d'autres champs disciplinaires, comme l'agronomie ou l'anthropologie, mais qui ont une incidence directe et fondamentale sur le comportement économique du producteur de coton. </w:t>
      </w:r>
    </w:p>
    <w:p w14:paraId="357BD6C5" w14:textId="77777777" w:rsidR="008862C7" w:rsidRDefault="008862C7" w:rsidP="008862C7">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Toutefois, l’analyse du système de production fait généralement appel à un modèle synthétique de fonctionnement. Il propose de prendre en compte deux sous-systèmes de production, que sont le système de gestion des moyens de production et le système technique de production.</w:t>
      </w:r>
    </w:p>
    <w:p w14:paraId="6AEB0F3E" w14:textId="77777777" w:rsidR="008862C7" w:rsidRDefault="008862C7" w:rsidP="008862C7">
      <w:pPr>
        <w:pStyle w:val="Paragraphedeliste"/>
        <w:numPr>
          <w:ilvl w:val="1"/>
          <w:numId w:val="24"/>
        </w:numPr>
        <w:spacing w:after="120" w:line="360" w:lineRule="auto"/>
        <w:jc w:val="both"/>
        <w:outlineLvl w:val="3"/>
        <w:rPr>
          <w:rFonts w:ascii="Arial" w:hAnsi="Arial" w:cs="Arial"/>
          <w:b/>
          <w:sz w:val="24"/>
          <w:szCs w:val="24"/>
        </w:rPr>
      </w:pPr>
      <w:bookmarkStart w:id="147" w:name="_Toc395107609"/>
      <w:r>
        <w:rPr>
          <w:rFonts w:ascii="Arial" w:hAnsi="Arial" w:cs="Arial"/>
          <w:b/>
          <w:sz w:val="24"/>
          <w:szCs w:val="24"/>
        </w:rPr>
        <w:t>Analyse du système de gestion des moyens de production des exploitations cotonnières</w:t>
      </w:r>
      <w:bookmarkEnd w:id="147"/>
      <w:r>
        <w:rPr>
          <w:rFonts w:ascii="Arial" w:hAnsi="Arial" w:cs="Arial"/>
          <w:b/>
          <w:sz w:val="24"/>
          <w:szCs w:val="24"/>
        </w:rPr>
        <w:t xml:space="preserve"> </w:t>
      </w:r>
    </w:p>
    <w:p w14:paraId="56B4A8E5"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Gérer c’est prendre des décisions, ainsi les différentes formes et modalités de combinaison des moyens de production cotonnière résultent des décisions de gestion du paysan. </w:t>
      </w:r>
    </w:p>
    <w:p w14:paraId="6BC03E44"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 pouvoir de décision au sein de l'exploitation peut être unitaire ou pluraliste, ce qui renvoie à la définition retenue de l'exploitation, qui n'est jamais une donnée ; il peut également être dépendant des pressions exercées par l'environnement économique et social ou par des contraintes et possibilités du milieu physique de l’exploitation. C’est pourquoi la compréhension du processus de prise de décision des producteurs de coton doit impérativement intégrer ces éléments auxquels il faut ajouter les modes de disposition des ressources productives qui peuvent orienter largement le choix des cultures et, plus largement, le processus de production</w:t>
      </w:r>
      <w:r>
        <w:rPr>
          <w:rStyle w:val="Appelnotedebasdep"/>
          <w:rFonts w:ascii="Arial" w:hAnsi="Arial" w:cs="Arial"/>
          <w:sz w:val="24"/>
          <w:szCs w:val="24"/>
        </w:rPr>
        <w:footnoteReference w:id="32"/>
      </w:r>
      <w:r>
        <w:rPr>
          <w:rFonts w:ascii="Arial" w:hAnsi="Arial" w:cs="Arial"/>
          <w:sz w:val="24"/>
          <w:szCs w:val="24"/>
        </w:rPr>
        <w:t>. Aussi, la pluriactivité éventuelle des producteurs de coton a une incidence sur leur comportement en tant que producteurs agricoles</w:t>
      </w:r>
      <w:r>
        <w:rPr>
          <w:rStyle w:val="Appelnotedebasdep"/>
          <w:rFonts w:ascii="Arial" w:hAnsi="Arial" w:cs="Arial"/>
          <w:sz w:val="24"/>
          <w:szCs w:val="24"/>
        </w:rPr>
        <w:footnoteReference w:id="33"/>
      </w:r>
      <w:r>
        <w:rPr>
          <w:rFonts w:ascii="Arial" w:hAnsi="Arial" w:cs="Arial"/>
          <w:sz w:val="24"/>
          <w:szCs w:val="24"/>
        </w:rPr>
        <w:t>.</w:t>
      </w:r>
    </w:p>
    <w:p w14:paraId="4921B82E"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lastRenderedPageBreak/>
        <w:t>Dans les zones cotonnières centrafricaines, le système d’exploitation peut être caractérisé par des indicateurs socio-économiques et des indicateurs technico-économiques de l’exploitation. Ces deux groupes d’indicateurs constituent les principaux clés de répartition des exploitations cotonnière dans ces régions.</w:t>
      </w:r>
    </w:p>
    <w:p w14:paraId="2DA391C2" w14:textId="77777777" w:rsidR="008862C7" w:rsidRDefault="008862C7" w:rsidP="008862C7">
      <w:pPr>
        <w:pStyle w:val="Paragraphedeliste"/>
        <w:numPr>
          <w:ilvl w:val="2"/>
          <w:numId w:val="24"/>
        </w:numPr>
        <w:spacing w:after="120" w:line="360" w:lineRule="auto"/>
        <w:jc w:val="both"/>
        <w:outlineLvl w:val="4"/>
        <w:rPr>
          <w:rFonts w:ascii="Arial" w:hAnsi="Arial" w:cs="Arial"/>
          <w:b/>
          <w:sz w:val="24"/>
          <w:szCs w:val="24"/>
        </w:rPr>
      </w:pPr>
      <w:bookmarkStart w:id="148" w:name="_Toc395107610"/>
      <w:r>
        <w:rPr>
          <w:rFonts w:ascii="Arial" w:hAnsi="Arial" w:cs="Arial"/>
          <w:b/>
          <w:sz w:val="24"/>
          <w:szCs w:val="24"/>
        </w:rPr>
        <w:t>Caractérisation socio-économique des exploitations agricoles dans les zones cotonnières</w:t>
      </w:r>
      <w:bookmarkEnd w:id="148"/>
      <w:r>
        <w:rPr>
          <w:rFonts w:ascii="Arial" w:hAnsi="Arial" w:cs="Arial"/>
          <w:b/>
          <w:sz w:val="24"/>
          <w:szCs w:val="24"/>
        </w:rPr>
        <w:t xml:space="preserve"> </w:t>
      </w:r>
    </w:p>
    <w:p w14:paraId="771B792B"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Les exploitations cotonnières dans les régions de savane centrafricaine sont caractérisées sur le plan socio-économique par l’âge du producteur, sa situation matrimoniale ainsi que son niveau d’instruction. C’est trois variables constituent les principaux déterminants de l’adoption de la production cotonnière en Centrafrique. </w:t>
      </w:r>
    </w:p>
    <w:p w14:paraId="74046193" w14:textId="77777777" w:rsidR="008862C7" w:rsidRDefault="008862C7" w:rsidP="008862C7">
      <w:pPr>
        <w:pStyle w:val="Paragraphedeliste"/>
        <w:numPr>
          <w:ilvl w:val="0"/>
          <w:numId w:val="26"/>
        </w:numPr>
        <w:spacing w:after="120" w:line="360" w:lineRule="auto"/>
        <w:jc w:val="both"/>
        <w:outlineLvl w:val="7"/>
        <w:rPr>
          <w:rFonts w:ascii="Arial" w:hAnsi="Arial" w:cs="Arial"/>
          <w:b/>
          <w:sz w:val="24"/>
          <w:szCs w:val="28"/>
        </w:rPr>
      </w:pPr>
      <w:bookmarkStart w:id="149" w:name="_Toc395107611"/>
      <w:r>
        <w:rPr>
          <w:rFonts w:ascii="Arial" w:hAnsi="Arial" w:cs="Arial"/>
          <w:b/>
          <w:sz w:val="24"/>
          <w:szCs w:val="28"/>
        </w:rPr>
        <w:t>Age du producteur et taille des exploitations</w:t>
      </w:r>
      <w:bookmarkEnd w:id="149"/>
    </w:p>
    <w:p w14:paraId="67204773"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Le revenu agricole procuré par la vente du coton sert généralement de capital d’investissement et de réalisation des projets du chef de ménage dans les zones cotonnière. Ainsi, l’âge du producteur semble être un facteur important, non seulement dans la détermination de la superficie consacrée à la culture du coton par rapport aux vivriers, mais aussi dans les choix stratégiques des exploitants. </w:t>
      </w:r>
    </w:p>
    <w:p w14:paraId="5C61FB24" w14:textId="77777777" w:rsidR="008862C7" w:rsidRDefault="008862C7" w:rsidP="008862C7">
      <w:pPr>
        <w:spacing w:line="360" w:lineRule="auto"/>
        <w:jc w:val="both"/>
        <w:rPr>
          <w:rFonts w:ascii="Arial" w:hAnsi="Arial" w:cs="Arial"/>
          <w:sz w:val="24"/>
          <w:szCs w:val="24"/>
        </w:rPr>
      </w:pPr>
      <w:r>
        <w:rPr>
          <w:rFonts w:ascii="Arial" w:hAnsi="Arial" w:cs="Arial"/>
          <w:b/>
          <w:sz w:val="24"/>
          <w:szCs w:val="24"/>
        </w:rPr>
        <w:t>Graphique 3.1 :</w:t>
      </w:r>
      <w:r>
        <w:rPr>
          <w:rFonts w:ascii="Arial" w:hAnsi="Arial" w:cs="Arial"/>
          <w:sz w:val="24"/>
          <w:szCs w:val="24"/>
        </w:rPr>
        <w:t xml:space="preserve"> Incidence de l’âge du producteur sur la taille et la répartition de la production</w:t>
      </w:r>
    </w:p>
    <w:p w14:paraId="35EC714A" w14:textId="77777777" w:rsidR="008862C7" w:rsidRDefault="008862C7" w:rsidP="008862C7">
      <w:pPr>
        <w:spacing w:after="0" w:line="360" w:lineRule="auto"/>
        <w:jc w:val="both"/>
        <w:rPr>
          <w:rFonts w:ascii="Arial" w:hAnsi="Arial" w:cs="Arial"/>
          <w:sz w:val="24"/>
          <w:szCs w:val="24"/>
        </w:rPr>
      </w:pPr>
      <w:r>
        <w:rPr>
          <w:rFonts w:ascii="Calibri" w:eastAsia="Times New Roman" w:hAnsi="Calibri" w:cs="Times New Roman"/>
          <w:noProof/>
          <w:lang w:eastAsia="fr-FR"/>
        </w:rPr>
        <w:drawing>
          <wp:inline distT="0" distB="0" distL="0" distR="0" wp14:anchorId="7222DE58" wp14:editId="3EB8D1C0">
            <wp:extent cx="5628640" cy="3277870"/>
            <wp:effectExtent l="0" t="0" r="0" b="0"/>
            <wp:docPr id="64" name="Graphique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2FC39" w14:textId="77777777" w:rsidR="008862C7" w:rsidRDefault="008862C7" w:rsidP="008862C7">
      <w:pPr>
        <w:spacing w:before="240" w:line="360" w:lineRule="auto"/>
        <w:jc w:val="both"/>
        <w:rPr>
          <w:rFonts w:ascii="Arial" w:hAnsi="Arial" w:cs="Arial"/>
          <w:sz w:val="24"/>
          <w:szCs w:val="24"/>
        </w:rPr>
      </w:pPr>
      <w:r>
        <w:rPr>
          <w:rFonts w:ascii="Arial" w:hAnsi="Arial" w:cs="Arial"/>
          <w:sz w:val="24"/>
          <w:szCs w:val="24"/>
        </w:rPr>
        <w:lastRenderedPageBreak/>
        <w:t xml:space="preserve">Il ressort du graphe que l’effectif des producteurs de coton est fonction décroissante de l’âge. Les résultats de nos enquêtes révèlent que 37% des producteurs enquêtés sont âgés de 18 à 25 ans et 28% de 26 à 35 ans contre seulement 20% et 15% respectivement pour ceux âgés de 36 à 45 ans et de 45 ans et plus. Les producteurs âgés de 36 – 45 ans sont ceux disposant des plus grandes superficies soit en moyenne 1,17 ha contre 0,69 ha et 0,40 ha respectivement pour les producteurs âgés de 26 - 35 ans et de 18-25 ans. Les producteurs âgés de 46 ans et plus ont une superficie moyenne de 0,69 ha. </w:t>
      </w:r>
    </w:p>
    <w:p w14:paraId="3552F677"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En outre, les résultats montrent que le coton représente en moyenne 54% de la superficie des exploitations agricoles dans la région cotonnière. Au tour de cette moyenne se trouve une disparité en fonction de la tranche d’âge considéré. La superficie consacrée à la culture du coton représente 78% de la superficie totale des exploitants de 18 à 25 ans, 53% de ceux de 26 à 35 ans et 49% puis 58% respectivement pour ceux de 36 à 45 ans et de 46 ans et plus. De ces résultats, l’évolution de la superficie cotonnière en fonction de l’âge de l’exploitant en situation de crise confirme la thèse selon laquelle l’aversion aux risques</w:t>
      </w:r>
      <w:r>
        <w:rPr>
          <w:rStyle w:val="Appelnotedebasdep"/>
          <w:rFonts w:ascii="Arial" w:hAnsi="Arial" w:cs="Arial"/>
          <w:sz w:val="24"/>
          <w:szCs w:val="24"/>
        </w:rPr>
        <w:footnoteReference w:id="34"/>
      </w:r>
      <w:r>
        <w:rPr>
          <w:rFonts w:ascii="Arial" w:hAnsi="Arial" w:cs="Arial"/>
          <w:sz w:val="24"/>
          <w:szCs w:val="24"/>
        </w:rPr>
        <w:t xml:space="preserve"> des exploitations cotonnières est une fonction croissante de l’âge des exploitants.</w:t>
      </w:r>
    </w:p>
    <w:p w14:paraId="4AC6125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Ces résultats s’expliquent par la très grande dépendance de la culture du coton des risques liés au marché international. Ainsi la baisse chronique des prix sur le marché mondial décourage de plus en plus les producteurs les plus expérimentés (les plus âgés). De plus, au-delà de ces risques, la production cotonnière est fortement influencée par des facteurs exogènes tels que les conflits militaro-politiques. Ainsi, l’inhérence aux risques de la production cotonnière, fait de l’aversion au risque, un facteur déterminant en période de crise dans le déterminisme de la production cotonnière en termes de compétitivité. </w:t>
      </w:r>
    </w:p>
    <w:p w14:paraId="2BB97429" w14:textId="77777777" w:rsidR="008862C7" w:rsidRDefault="008862C7" w:rsidP="008862C7">
      <w:pPr>
        <w:pStyle w:val="Paragraphedeliste"/>
        <w:numPr>
          <w:ilvl w:val="0"/>
          <w:numId w:val="26"/>
        </w:numPr>
        <w:spacing w:after="120" w:line="360" w:lineRule="auto"/>
        <w:jc w:val="both"/>
        <w:outlineLvl w:val="7"/>
        <w:rPr>
          <w:rFonts w:ascii="Arial" w:hAnsi="Arial" w:cs="Arial"/>
          <w:sz w:val="24"/>
          <w:szCs w:val="24"/>
        </w:rPr>
      </w:pPr>
      <w:bookmarkStart w:id="150" w:name="_Toc395107612"/>
      <w:r>
        <w:rPr>
          <w:rFonts w:ascii="Arial" w:hAnsi="Arial" w:cs="Arial"/>
          <w:b/>
          <w:sz w:val="24"/>
          <w:szCs w:val="28"/>
        </w:rPr>
        <w:t>Situation matrimoniale et niveau d’instruction des producteurs</w:t>
      </w:r>
      <w:bookmarkEnd w:id="150"/>
    </w:p>
    <w:p w14:paraId="04AA0E5B" w14:textId="77777777" w:rsidR="008862C7" w:rsidRDefault="008862C7" w:rsidP="008862C7">
      <w:pPr>
        <w:spacing w:before="120" w:after="120" w:line="360" w:lineRule="auto"/>
        <w:jc w:val="both"/>
        <w:rPr>
          <w:rFonts w:ascii="Arial" w:hAnsi="Arial" w:cs="Arial"/>
          <w:sz w:val="24"/>
          <w:szCs w:val="24"/>
        </w:rPr>
      </w:pPr>
      <w:r>
        <w:rPr>
          <w:rFonts w:ascii="Arial" w:hAnsi="Arial" w:cs="Arial"/>
          <w:sz w:val="24"/>
          <w:szCs w:val="24"/>
        </w:rPr>
        <w:t>Les exploitations cotonnières en Centrafrique sont aussi caractérisées par la  situation matrimoniale de l’exploitant. En effet selon Ando et Modigliani (1957)</w:t>
      </w:r>
      <w:r>
        <w:rPr>
          <w:rStyle w:val="Appelnotedebasdep"/>
          <w:rFonts w:ascii="Arial" w:hAnsi="Arial" w:cs="Arial"/>
          <w:sz w:val="24"/>
          <w:szCs w:val="24"/>
        </w:rPr>
        <w:footnoteReference w:id="35"/>
      </w:r>
      <w:r>
        <w:rPr>
          <w:rFonts w:ascii="Arial" w:hAnsi="Arial" w:cs="Arial"/>
          <w:sz w:val="24"/>
          <w:szCs w:val="24"/>
        </w:rPr>
        <w:t>, la répartition inter-</w:t>
      </w:r>
      <w:r>
        <w:rPr>
          <w:rFonts w:ascii="Arial" w:hAnsi="Arial" w:cs="Arial"/>
          <w:sz w:val="24"/>
          <w:szCs w:val="24"/>
        </w:rPr>
        <w:lastRenderedPageBreak/>
        <w:t>temporelle du revenu d’un agent économique est fonction de son âge. L’âge adulte correspond à l’âge de l’accroissement du revenu, de la consommation, de l’investissement et de l’épargne : c’est la période de la vie active. Cet accroissement du revenu, pour les exploitants de la région cotonnière passe par le choix des productions les plus rémunérateurs en termes de revenu monétaire. De ces produits, le coton est celui qui offre le revenu relatif le plus consistant en termes de pouvoir d’achat. Or il se trouve que dans la région cotonnière, la vie active et la vie de couple démarrent presque simultanément. De ce fait, dans les régions de savanes centrafricaines, le coton est en général l’affaire des chefs de ménage, qui sont en quête de pouvoir d’achat et s’orientent donc vers les cultures les plus rémunérateurs comme en témoigne le graphique ci-après.</w:t>
      </w:r>
    </w:p>
    <w:p w14:paraId="0AF57B26" w14:textId="77777777" w:rsidR="008862C7" w:rsidRDefault="008862C7" w:rsidP="008862C7">
      <w:pPr>
        <w:spacing w:before="120" w:after="120" w:line="360" w:lineRule="auto"/>
        <w:jc w:val="both"/>
        <w:rPr>
          <w:rFonts w:ascii="Arial" w:hAnsi="Arial" w:cs="Arial"/>
          <w:sz w:val="24"/>
          <w:szCs w:val="24"/>
        </w:rPr>
      </w:pPr>
      <w:r>
        <w:rPr>
          <w:rFonts w:ascii="Arial" w:hAnsi="Arial" w:cs="Arial"/>
          <w:b/>
          <w:sz w:val="24"/>
          <w:szCs w:val="24"/>
        </w:rPr>
        <w:t>Graphique 3.2 :</w:t>
      </w:r>
      <w:r>
        <w:rPr>
          <w:rFonts w:ascii="Arial" w:hAnsi="Arial" w:cs="Arial"/>
          <w:sz w:val="24"/>
          <w:szCs w:val="24"/>
        </w:rPr>
        <w:t xml:space="preserve"> Situation matrimoniale des producteurs de coton</w:t>
      </w:r>
    </w:p>
    <w:p w14:paraId="06821C3A" w14:textId="77777777" w:rsidR="008862C7" w:rsidRDefault="008862C7" w:rsidP="008862C7">
      <w:pPr>
        <w:spacing w:after="0" w:line="360" w:lineRule="auto"/>
        <w:jc w:val="both"/>
        <w:rPr>
          <w:rFonts w:ascii="Arial" w:hAnsi="Arial" w:cs="Arial"/>
          <w:sz w:val="24"/>
          <w:szCs w:val="24"/>
        </w:rPr>
      </w:pPr>
      <w:r>
        <w:rPr>
          <w:rFonts w:ascii="Calibri" w:eastAsia="Times New Roman" w:hAnsi="Calibri" w:cs="Times New Roman"/>
          <w:noProof/>
          <w:lang w:eastAsia="fr-FR"/>
        </w:rPr>
        <w:drawing>
          <wp:inline distT="0" distB="0" distL="0" distR="0" wp14:anchorId="53538F49" wp14:editId="47ACC9DF">
            <wp:extent cx="5747385" cy="2089785"/>
            <wp:effectExtent l="0" t="0" r="5715" b="5715"/>
            <wp:docPr id="65" name="Graphique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81921F" w14:textId="77777777" w:rsidR="008862C7" w:rsidRDefault="008862C7" w:rsidP="008862C7">
      <w:pPr>
        <w:spacing w:before="240" w:line="360" w:lineRule="auto"/>
        <w:jc w:val="both"/>
        <w:rPr>
          <w:rFonts w:ascii="Arial" w:hAnsi="Arial" w:cs="Arial"/>
          <w:sz w:val="24"/>
          <w:szCs w:val="24"/>
        </w:rPr>
      </w:pPr>
      <w:r>
        <w:rPr>
          <w:rFonts w:ascii="Arial" w:hAnsi="Arial" w:cs="Arial"/>
          <w:sz w:val="24"/>
          <w:szCs w:val="24"/>
        </w:rPr>
        <w:t xml:space="preserve">Le graphique nous montre que 25% des producteurs de coton en Centrafrique sont des célibataires tandis que 75% sont des mariés. Cela confirme la thèse selon laquelle les chefs de ménage dans la zone cotonnière centrafricaine  sont beaucoup plus intéressés par les cultures les plus rémunérateurs, tel que le coton (Mbétid-Bessane, 2002). </w:t>
      </w:r>
    </w:p>
    <w:p w14:paraId="2DCF79D1"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Selon la théorie de la croissance endogène, le taux de croissance de la production, est fonction de l’effort de formation (Romer, 1986), en d’autres termes la productivité individuelle du facteur travail est d’autant plus élevée que le niveau du capital humain de l’économie est fort. Ainsi, chaque producteur est d’autant plus efficace que l’économie de la zone est composée de producteurs compétents. Appliquée à la filière cotonnière centrafricaine, le tableau ci-dessous permet de mesurer la fréquence du niveau d’instruction des producteurs de coton en Centrafrique. </w:t>
      </w:r>
    </w:p>
    <w:p w14:paraId="0B811681" w14:textId="77777777" w:rsidR="008862C7" w:rsidRDefault="008862C7" w:rsidP="008862C7">
      <w:pPr>
        <w:spacing w:line="360" w:lineRule="auto"/>
        <w:jc w:val="both"/>
        <w:rPr>
          <w:rFonts w:ascii="Arial" w:hAnsi="Arial" w:cs="Arial"/>
          <w:sz w:val="24"/>
          <w:szCs w:val="24"/>
        </w:rPr>
      </w:pPr>
    </w:p>
    <w:p w14:paraId="72490297"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lastRenderedPageBreak/>
        <w:t>Tableau 3.3 :</w:t>
      </w:r>
      <w:r>
        <w:rPr>
          <w:rFonts w:ascii="Arial" w:hAnsi="Arial" w:cs="Arial"/>
          <w:sz w:val="24"/>
          <w:szCs w:val="24"/>
        </w:rPr>
        <w:t xml:space="preserve"> Niveau d’instruction des producteurs de coton. </w:t>
      </w:r>
    </w:p>
    <w:p w14:paraId="75F54FBE" w14:textId="77777777" w:rsidR="008862C7" w:rsidRDefault="008862C7" w:rsidP="008862C7">
      <w:pPr>
        <w:spacing w:after="0" w:line="360" w:lineRule="auto"/>
        <w:jc w:val="both"/>
        <w:rPr>
          <w:rFonts w:ascii="Arial" w:hAnsi="Arial" w:cs="Arial"/>
          <w:b/>
          <w:sz w:val="24"/>
          <w:szCs w:val="24"/>
        </w:rPr>
      </w:pPr>
      <w:r>
        <w:rPr>
          <w:rFonts w:ascii="Calibri" w:eastAsia="Times New Roman" w:hAnsi="Calibri" w:cs="Times New Roman"/>
          <w:b/>
          <w:noProof/>
          <w:lang w:eastAsia="fr-FR"/>
        </w:rPr>
        <w:drawing>
          <wp:inline distT="0" distB="0" distL="0" distR="0" wp14:anchorId="4AC94E7F" wp14:editId="27D539DA">
            <wp:extent cx="5747385" cy="2755265"/>
            <wp:effectExtent l="0" t="0" r="5715" b="6985"/>
            <wp:docPr id="66" name="Graphique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0113A6" w14:textId="77777777" w:rsidR="008862C7" w:rsidRDefault="008862C7" w:rsidP="008862C7">
      <w:pPr>
        <w:spacing w:before="240" w:after="0" w:line="360" w:lineRule="auto"/>
        <w:jc w:val="both"/>
        <w:rPr>
          <w:rFonts w:ascii="Arial" w:hAnsi="Arial" w:cs="Arial"/>
          <w:sz w:val="24"/>
          <w:szCs w:val="24"/>
        </w:rPr>
      </w:pPr>
      <w:r>
        <w:rPr>
          <w:rFonts w:ascii="Arial" w:hAnsi="Arial" w:cs="Arial"/>
          <w:sz w:val="24"/>
          <w:szCs w:val="24"/>
        </w:rPr>
        <w:t xml:space="preserve">Selon les résultats de notre enquête, la proportion des producteurs n’ayant jamais reçu une instruction est de 16% tandis que la proportion de ceux qui ont reçu l’instruction du niveau primaire et secondaire est respectivement de 49% et 33%. En ce qui concerne, le niveau d’étude supérieur, elle n’est que de 2%. Ces données justifient le faible rendement du coton en RCA, car le niveau d’instruction est un facteur déterminant dans l’adoption des technologies (engrais, insecticides, semence, herbicides, etc.) dans les zones de production cotonnière. </w:t>
      </w:r>
    </w:p>
    <w:p w14:paraId="475BA93C" w14:textId="77777777" w:rsidR="008862C7" w:rsidRDefault="008862C7" w:rsidP="008862C7">
      <w:pPr>
        <w:pStyle w:val="Paragraphedeliste"/>
        <w:widowControl w:val="0"/>
        <w:numPr>
          <w:ilvl w:val="2"/>
          <w:numId w:val="27"/>
        </w:numPr>
        <w:autoSpaceDE w:val="0"/>
        <w:autoSpaceDN w:val="0"/>
        <w:adjustRightInd w:val="0"/>
        <w:spacing w:before="120" w:after="120" w:line="360" w:lineRule="auto"/>
        <w:outlineLvl w:val="4"/>
        <w:rPr>
          <w:rFonts w:ascii="Arial" w:hAnsi="Arial" w:cs="Arial"/>
          <w:b/>
          <w:spacing w:val="1"/>
          <w:sz w:val="24"/>
          <w:szCs w:val="24"/>
        </w:rPr>
      </w:pPr>
      <w:bookmarkStart w:id="151" w:name="_Toc395107613"/>
      <w:r>
        <w:rPr>
          <w:rFonts w:ascii="Arial" w:hAnsi="Arial" w:cs="Arial"/>
          <w:b/>
          <w:spacing w:val="2"/>
          <w:sz w:val="24"/>
          <w:szCs w:val="24"/>
        </w:rPr>
        <w:t>P</w:t>
      </w:r>
      <w:r>
        <w:rPr>
          <w:rFonts w:ascii="Arial" w:hAnsi="Arial" w:cs="Arial"/>
          <w:b/>
          <w:sz w:val="24"/>
          <w:szCs w:val="24"/>
        </w:rPr>
        <w:t>e</w:t>
      </w:r>
      <w:r>
        <w:rPr>
          <w:rFonts w:ascii="Arial" w:hAnsi="Arial" w:cs="Arial"/>
          <w:b/>
          <w:spacing w:val="1"/>
          <w:sz w:val="24"/>
          <w:szCs w:val="24"/>
        </w:rPr>
        <w:t>r</w:t>
      </w:r>
      <w:r>
        <w:rPr>
          <w:rFonts w:ascii="Arial" w:hAnsi="Arial" w:cs="Arial"/>
          <w:b/>
          <w:spacing w:val="-1"/>
          <w:sz w:val="24"/>
          <w:szCs w:val="24"/>
        </w:rPr>
        <w:t>f</w:t>
      </w:r>
      <w:r>
        <w:rPr>
          <w:rFonts w:ascii="Arial" w:hAnsi="Arial" w:cs="Arial"/>
          <w:b/>
          <w:spacing w:val="1"/>
          <w:sz w:val="24"/>
          <w:szCs w:val="24"/>
        </w:rPr>
        <w:t>or</w:t>
      </w:r>
      <w:r>
        <w:rPr>
          <w:rFonts w:ascii="Arial" w:hAnsi="Arial" w:cs="Arial"/>
          <w:b/>
          <w:spacing w:val="-4"/>
          <w:sz w:val="24"/>
          <w:szCs w:val="24"/>
        </w:rPr>
        <w:t>m</w:t>
      </w:r>
      <w:r>
        <w:rPr>
          <w:rFonts w:ascii="Arial" w:hAnsi="Arial" w:cs="Arial"/>
          <w:b/>
          <w:spacing w:val="3"/>
          <w:sz w:val="24"/>
          <w:szCs w:val="24"/>
        </w:rPr>
        <w:t>a</w:t>
      </w:r>
      <w:r>
        <w:rPr>
          <w:rFonts w:ascii="Arial" w:hAnsi="Arial" w:cs="Arial"/>
          <w:b/>
          <w:spacing w:val="-1"/>
          <w:sz w:val="24"/>
          <w:szCs w:val="24"/>
        </w:rPr>
        <w:t>n</w:t>
      </w:r>
      <w:r>
        <w:rPr>
          <w:rFonts w:ascii="Arial" w:hAnsi="Arial" w:cs="Arial"/>
          <w:b/>
          <w:sz w:val="24"/>
          <w:szCs w:val="24"/>
        </w:rPr>
        <w:t>ces</w:t>
      </w:r>
      <w:r>
        <w:rPr>
          <w:rFonts w:ascii="Arial" w:hAnsi="Arial" w:cs="Arial"/>
          <w:b/>
          <w:bCs/>
          <w:sz w:val="24"/>
          <w:szCs w:val="24"/>
        </w:rPr>
        <w:t xml:space="preserve"> des exploitations cotonnières en Centrafrique</w:t>
      </w:r>
      <w:bookmarkEnd w:id="151"/>
    </w:p>
    <w:p w14:paraId="22784C26" w14:textId="77777777" w:rsidR="008862C7" w:rsidRDefault="008862C7" w:rsidP="008862C7">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L’observation de l’évolution de la production, des superficies et du rendement des exploitations cotonnières en Centrafrique fait état d’une corrélation très marquée entre le volume produit et le rendement moyen à l’hectare.</w:t>
      </w:r>
    </w:p>
    <w:p w14:paraId="7C0E101D" w14:textId="77777777" w:rsidR="008862C7" w:rsidRDefault="008862C7" w:rsidP="008862C7">
      <w:pPr>
        <w:widowControl w:val="0"/>
        <w:autoSpaceDE w:val="0"/>
        <w:autoSpaceDN w:val="0"/>
        <w:adjustRightInd w:val="0"/>
        <w:spacing w:after="120" w:line="360" w:lineRule="auto"/>
        <w:jc w:val="both"/>
        <w:rPr>
          <w:rFonts w:ascii="Arial" w:hAnsi="Arial" w:cs="Arial"/>
          <w:spacing w:val="1"/>
          <w:sz w:val="24"/>
          <w:szCs w:val="24"/>
        </w:rPr>
      </w:pPr>
      <w:r>
        <w:rPr>
          <w:rFonts w:ascii="Arial" w:hAnsi="Arial" w:cs="Arial"/>
          <w:b/>
          <w:spacing w:val="1"/>
          <w:sz w:val="24"/>
          <w:szCs w:val="24"/>
        </w:rPr>
        <w:t xml:space="preserve">Graphique 3.4 : </w:t>
      </w:r>
      <w:r>
        <w:rPr>
          <w:rFonts w:ascii="Arial" w:hAnsi="Arial" w:cs="Arial"/>
          <w:spacing w:val="1"/>
          <w:sz w:val="24"/>
          <w:szCs w:val="24"/>
        </w:rPr>
        <w:t>Evolution de la production, des superficies et des rendements du coton graine en Centrafrique</w:t>
      </w:r>
    </w:p>
    <w:p w14:paraId="428D1F39" w14:textId="77777777" w:rsidR="008862C7" w:rsidRDefault="008862C7" w:rsidP="008862C7">
      <w:pPr>
        <w:tabs>
          <w:tab w:val="left" w:pos="2540"/>
        </w:tabs>
        <w:spacing w:after="0"/>
        <w:rPr>
          <w:rFonts w:ascii="Arial" w:hAnsi="Arial" w:cs="Arial"/>
          <w:b/>
          <w:sz w:val="28"/>
        </w:rPr>
      </w:pPr>
      <w:r>
        <w:rPr>
          <w:rFonts w:ascii="Calibri" w:eastAsia="Times New Roman" w:hAnsi="Calibri" w:cs="Times New Roman"/>
          <w:b/>
          <w:noProof/>
          <w:lang w:eastAsia="fr-FR"/>
        </w:rPr>
        <w:drawing>
          <wp:inline distT="0" distB="0" distL="0" distR="0" wp14:anchorId="3A192042" wp14:editId="70F7696D">
            <wp:extent cx="5688330" cy="2125980"/>
            <wp:effectExtent l="0" t="0" r="7620" b="7620"/>
            <wp:docPr id="67" name="Graphique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F39CC2" w14:textId="77777777" w:rsidR="008862C7" w:rsidRDefault="008862C7" w:rsidP="008862C7">
      <w:pPr>
        <w:pStyle w:val="Default"/>
        <w:spacing w:before="120" w:line="360" w:lineRule="auto"/>
        <w:jc w:val="both"/>
        <w:rPr>
          <w:color w:val="auto"/>
          <w:sz w:val="20"/>
        </w:rPr>
      </w:pPr>
      <w:r>
        <w:rPr>
          <w:color w:val="auto"/>
          <w:sz w:val="20"/>
        </w:rPr>
        <w:lastRenderedPageBreak/>
        <w:t>Source : Rapport sociétés cotonnières</w:t>
      </w:r>
    </w:p>
    <w:p w14:paraId="2ED18A28" w14:textId="77777777" w:rsidR="008862C7" w:rsidRDefault="008862C7" w:rsidP="008862C7">
      <w:pPr>
        <w:pStyle w:val="Default"/>
        <w:spacing w:before="240" w:after="200" w:line="360" w:lineRule="auto"/>
        <w:jc w:val="both"/>
        <w:rPr>
          <w:color w:val="auto"/>
        </w:rPr>
      </w:pPr>
      <w:r>
        <w:rPr>
          <w:color w:val="auto"/>
        </w:rPr>
        <w:t>A titre d’exemple en 2000, 2005 et 2009 où le rendement  moyen à l’hectare était respectivement de 640 kg/ha, 272 kg/ha et 510 kg/ha, la production était respectivement de 25.000 tonnes, 3.700 tonnes et 8.000 tonnes. Contrairement à cette corrélation positive très marquée entre l’évolution de la production et le rendement à l’hectare du coton en Centrafrique, l’évolution de la superficie et celle du rendement ne suit pas la même courbe ; les deux évoluent dans le sens contraire. Ainsi pour les années où les surfaces allouées à la culture croient, le rendement moyen à l’hectare diminue et inversement. La principale raison qui explique cet état de chose est que l’accroissement des superficies est beaucoup plus lié à une augmentation du nombre des producteurs qu’à celle de la taille de l’exploitation. Cet accroissement de l’effectif des producteurs ne permet pas à la société cotonnière de faire un bon suivi de ces derniers dont nombreux ne sont que des opportunistes.</w:t>
      </w:r>
    </w:p>
    <w:p w14:paraId="37ADE58B" w14:textId="77777777" w:rsidR="008862C7" w:rsidRDefault="008862C7" w:rsidP="008862C7">
      <w:pPr>
        <w:widowControl w:val="0"/>
        <w:autoSpaceDE w:val="0"/>
        <w:autoSpaceDN w:val="0"/>
        <w:adjustRightInd w:val="0"/>
        <w:spacing w:line="360" w:lineRule="auto"/>
        <w:jc w:val="both"/>
        <w:rPr>
          <w:rFonts w:ascii="Arial" w:hAnsi="Arial" w:cs="Arial"/>
          <w:spacing w:val="1"/>
          <w:sz w:val="24"/>
          <w:szCs w:val="24"/>
        </w:rPr>
      </w:pPr>
      <w:r>
        <w:rPr>
          <w:rFonts w:ascii="Arial" w:hAnsi="Arial" w:cs="Arial"/>
          <w:spacing w:val="1"/>
          <w:sz w:val="24"/>
          <w:szCs w:val="24"/>
        </w:rPr>
        <w:t xml:space="preserve">La recherche des économies d’échelles est au centre des objectifs majeurs que tout chef d’entreprise rationnel se fixe dans sa quête de réduction de coûts et d’accroissement de la rentabilité de son entreprise. Mais, est-ce toujours le cas lorsqu’il s’agit d’une entreprise agricole de type familial ? </w:t>
      </w:r>
    </w:p>
    <w:p w14:paraId="254BC423" w14:textId="77777777" w:rsidR="008862C7" w:rsidRDefault="008862C7" w:rsidP="008862C7">
      <w:pPr>
        <w:widowControl w:val="0"/>
        <w:autoSpaceDE w:val="0"/>
        <w:autoSpaceDN w:val="0"/>
        <w:adjustRightInd w:val="0"/>
        <w:spacing w:line="360" w:lineRule="auto"/>
        <w:jc w:val="both"/>
        <w:rPr>
          <w:rFonts w:ascii="Arial" w:hAnsi="Arial" w:cs="Arial"/>
          <w:spacing w:val="1"/>
          <w:sz w:val="24"/>
          <w:szCs w:val="24"/>
        </w:rPr>
      </w:pPr>
      <w:r>
        <w:rPr>
          <w:rFonts w:ascii="Arial" w:hAnsi="Arial" w:cs="Arial"/>
          <w:spacing w:val="1"/>
          <w:sz w:val="24"/>
          <w:szCs w:val="24"/>
        </w:rPr>
        <w:t>Contrairement aux exploitations agricoles du type industriel géré sur des principes empruntés à l’économie industrielle qui se développe en occident et en Amérique latine, les exploitations cotonnières en AOC sont du type familial avec une superficie moyenne atteignant difficilement 1 hectare pour les exploitations manuelles. Ces résultats varient légèrement à la hausse lorsqu’il s’agit  des exploitations qui recourent à la traction animale.</w:t>
      </w:r>
    </w:p>
    <w:p w14:paraId="66B046DB" w14:textId="77777777" w:rsidR="008862C7" w:rsidRDefault="008862C7" w:rsidP="008862C7">
      <w:pPr>
        <w:widowControl w:val="0"/>
        <w:autoSpaceDE w:val="0"/>
        <w:autoSpaceDN w:val="0"/>
        <w:adjustRightInd w:val="0"/>
        <w:spacing w:line="360" w:lineRule="auto"/>
        <w:jc w:val="both"/>
        <w:rPr>
          <w:rFonts w:ascii="Arial" w:hAnsi="Arial" w:cs="Arial"/>
          <w:spacing w:val="1"/>
          <w:sz w:val="24"/>
          <w:szCs w:val="24"/>
        </w:rPr>
      </w:pPr>
      <w:r>
        <w:rPr>
          <w:rFonts w:ascii="Arial" w:hAnsi="Arial" w:cs="Arial"/>
          <w:spacing w:val="1"/>
          <w:sz w:val="24"/>
          <w:szCs w:val="24"/>
        </w:rPr>
        <w:t xml:space="preserve">Au-delà des débats relatifs au mode d’exploitation à promouvoir, se trouve la question de la rentabilité, de la viabilité et de l’efficacité économique de ces deux types d’exploitation. En d’autres termes, il est question de savoir lequel de ces deux types d’exploitation permettrait à notre monde si surpeuplé de satisfaire ses besoins alimentaires présents et futurs sans risque de compromission future. Le principal indicateur de décision dans ce cas semble être le rendement à l’hectare de chaque type d’exploitation. Sur ce point, les pays d’Afrique subsaharienne semblaient avoir dans la filière cotonnière des avantages incontestables par rapport à leurs concurrents outre-Atlantique. </w:t>
      </w:r>
    </w:p>
    <w:p w14:paraId="139B3F17" w14:textId="77777777" w:rsidR="008862C7" w:rsidRDefault="008862C7" w:rsidP="008862C7">
      <w:pPr>
        <w:widowControl w:val="0"/>
        <w:autoSpaceDE w:val="0"/>
        <w:autoSpaceDN w:val="0"/>
        <w:adjustRightInd w:val="0"/>
        <w:spacing w:line="360" w:lineRule="auto"/>
        <w:jc w:val="both"/>
        <w:rPr>
          <w:rFonts w:ascii="Arial" w:hAnsi="Arial" w:cs="Arial"/>
          <w:spacing w:val="1"/>
          <w:sz w:val="24"/>
          <w:szCs w:val="24"/>
        </w:rPr>
      </w:pPr>
      <w:r>
        <w:rPr>
          <w:rFonts w:ascii="Arial" w:hAnsi="Arial" w:cs="Arial"/>
          <w:spacing w:val="1"/>
          <w:sz w:val="24"/>
          <w:szCs w:val="24"/>
        </w:rPr>
        <w:t xml:space="preserve">Ces avantages acquis dans le passé semblent être remis en cause aujourd’hui par les difficultés que traverse la filière. Ainsi, il est maintenant question de voir, si l’on doit encore opter pour une exploitation familiale, quel devrait être la taille optimale des exploitations cotonnières afin </w:t>
      </w:r>
      <w:r>
        <w:rPr>
          <w:rFonts w:ascii="Arial" w:hAnsi="Arial" w:cs="Arial"/>
          <w:spacing w:val="1"/>
          <w:sz w:val="24"/>
          <w:szCs w:val="24"/>
        </w:rPr>
        <w:lastRenderedPageBreak/>
        <w:t xml:space="preserve">d’optimiser le rendement des exploitations. Ainsi, les débats et les résultats des travaux sur l’incidence de la taille des exploitations agricoles sur leur productivité ainsi que leur rendement restent contrastés. </w:t>
      </w:r>
    </w:p>
    <w:p w14:paraId="45D00EAD" w14:textId="77777777" w:rsidR="008862C7" w:rsidRDefault="008862C7" w:rsidP="008862C7">
      <w:pPr>
        <w:pStyle w:val="Paragraphedeliste"/>
        <w:numPr>
          <w:ilvl w:val="1"/>
          <w:numId w:val="27"/>
        </w:numPr>
        <w:autoSpaceDE w:val="0"/>
        <w:autoSpaceDN w:val="0"/>
        <w:adjustRightInd w:val="0"/>
        <w:spacing w:after="120" w:line="360" w:lineRule="auto"/>
        <w:jc w:val="both"/>
        <w:outlineLvl w:val="3"/>
        <w:rPr>
          <w:rFonts w:ascii="Arial" w:hAnsi="Arial" w:cs="Arial"/>
          <w:sz w:val="24"/>
          <w:szCs w:val="24"/>
        </w:rPr>
      </w:pPr>
      <w:bookmarkStart w:id="152" w:name="_Toc395107614"/>
      <w:r>
        <w:rPr>
          <w:rFonts w:ascii="Arial" w:hAnsi="Arial" w:cs="Arial"/>
          <w:b/>
          <w:sz w:val="24"/>
          <w:szCs w:val="24"/>
        </w:rPr>
        <w:t>Analyse du système technique de production cotonnière</w:t>
      </w:r>
      <w:bookmarkEnd w:id="152"/>
      <w:r>
        <w:rPr>
          <w:rFonts w:ascii="Arial" w:hAnsi="Arial" w:cs="Arial"/>
          <w:b/>
          <w:sz w:val="24"/>
          <w:szCs w:val="24"/>
        </w:rPr>
        <w:t> </w:t>
      </w:r>
    </w:p>
    <w:p w14:paraId="59CFDAF6"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L'analyse du système technique renvoie aux décisions d’ordre technique relatives aux modes de conduite et d’intégration des systèmes de culture constitutifs du système de production. L’économie d'un produit agricole comme le coton ne peut être étudiée, dans une optique de compréhension du comportement du producteur, si le système de culture auquel il s'intègre reste inconnu. Il importe, une fois ce système décrit, de cerner les déterminants qui président aux choix culturaux et peuvent être recherchés au niveau des différentes composantes du système productif. Peuvent intervenir les caractéristiques agro-techniques des cultures telles que : la technique culturale (culture manuelle ou culture attelée) ; le cycle cultural (intervalle entre plantation et récolte ; durée de vie de la plantation; complémentarité ou concurrence des cycles culturaux, etc.) ; la rigidité des plans de production (itinéraire technique), variable selon les moyens à mettre en œuvre, la technicité requise, la durée des cycles culturaux ; les besoins en travail et la pénibilité de ce travail ; et les besoins en intrants.</w:t>
      </w:r>
    </w:p>
    <w:p w14:paraId="16100096"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Intervient encore, comme déterminant des systèmes de culture, la fonction économique du produit (vente et/ou autoconsommation), ce qui souligne l'intérêt de l'analyse parallèle des systèmes alimentaires (notamment la production vivrière et les activités para-agricoles).</w:t>
      </w:r>
    </w:p>
    <w:p w14:paraId="7EF33F93"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Tous ces éléments doivent être restitués par rapport à l'attitude du producteur face au risque agronomique (aléa climatique ou phytosanitaire), économique (baisse du prix du produit ; hausse du coût de production ; impossibilité, difficultés d'écoulement de la production sur le marché) ou institutionnel (dysfonctionnement, inefficacité des structures de développement et/ou des organisations faitières).</w:t>
      </w:r>
    </w:p>
    <w:p w14:paraId="54DAD660" w14:textId="77777777" w:rsidR="008862C7" w:rsidRDefault="008862C7" w:rsidP="008862C7">
      <w:pPr>
        <w:pStyle w:val="Paragraphedeliste"/>
        <w:numPr>
          <w:ilvl w:val="2"/>
          <w:numId w:val="28"/>
        </w:numPr>
        <w:spacing w:after="120" w:line="360" w:lineRule="auto"/>
        <w:jc w:val="both"/>
        <w:outlineLvl w:val="4"/>
        <w:rPr>
          <w:rFonts w:ascii="Arial" w:hAnsi="Arial" w:cs="Arial"/>
          <w:b/>
          <w:sz w:val="24"/>
          <w:szCs w:val="24"/>
        </w:rPr>
      </w:pPr>
      <w:bookmarkStart w:id="153" w:name="_Toc395107615"/>
      <w:r>
        <w:rPr>
          <w:rFonts w:ascii="Arial" w:hAnsi="Arial" w:cs="Arial"/>
          <w:b/>
          <w:sz w:val="24"/>
          <w:szCs w:val="24"/>
        </w:rPr>
        <w:t>Système de culture cotonnière</w:t>
      </w:r>
      <w:bookmarkEnd w:id="153"/>
      <w:r>
        <w:rPr>
          <w:rFonts w:ascii="Arial" w:hAnsi="Arial" w:cs="Arial"/>
          <w:b/>
          <w:sz w:val="24"/>
          <w:szCs w:val="24"/>
        </w:rPr>
        <w:t xml:space="preserve"> </w:t>
      </w:r>
    </w:p>
    <w:p w14:paraId="6A5EF0F9" w14:textId="77777777" w:rsidR="008862C7" w:rsidRDefault="008862C7" w:rsidP="008862C7">
      <w:pPr>
        <w:pStyle w:val="Paragraphedeliste"/>
        <w:numPr>
          <w:ilvl w:val="3"/>
          <w:numId w:val="28"/>
        </w:numPr>
        <w:spacing w:after="120" w:line="360" w:lineRule="auto"/>
        <w:jc w:val="both"/>
        <w:outlineLvl w:val="5"/>
        <w:rPr>
          <w:rFonts w:ascii="Arial" w:hAnsi="Arial" w:cs="Arial"/>
          <w:b/>
          <w:sz w:val="24"/>
          <w:szCs w:val="24"/>
        </w:rPr>
      </w:pPr>
      <w:bookmarkStart w:id="154" w:name="_Toc395107616"/>
      <w:r>
        <w:rPr>
          <w:rFonts w:ascii="Arial" w:hAnsi="Arial" w:cs="Arial"/>
          <w:b/>
          <w:sz w:val="24"/>
          <w:szCs w:val="24"/>
        </w:rPr>
        <w:t>Techniques culturales</w:t>
      </w:r>
      <w:bookmarkEnd w:id="154"/>
    </w:p>
    <w:p w14:paraId="574F60F7"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Les techniques culturales utilisées dans les exploitations cotonnières en Centrafrique varient en fonction des caractéristiques des systèmes de culture cotonnière. </w:t>
      </w:r>
    </w:p>
    <w:p w14:paraId="1B47BBC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Les techniques culturales des exploitations cotonnières en Centrafrique sont extensives, et les principales pratiques culturales sont : la fertilisation par engrais chimiques (NPK et urée), la rotation de 3 à 5 années en monoculture ou polyculture avec le coton en tête de rotation, les </w:t>
      </w:r>
      <w:r>
        <w:rPr>
          <w:rFonts w:ascii="Arial" w:hAnsi="Arial" w:cs="Arial"/>
          <w:sz w:val="24"/>
          <w:szCs w:val="24"/>
        </w:rPr>
        <w:lastRenderedPageBreak/>
        <w:t xml:space="preserve">associations culturales (coton + manioc, arachide + maïs + manioc), les labours manuels légers et peu profonds (15 à 18 cm) ou des labours à l’aide d’une charrue qui ouvre le sol et retourne la terre, le désherbage manuel ou chimique (sarclage ou herbicide) et la lutte antiparasitaire (insecticides). </w:t>
      </w:r>
    </w:p>
    <w:p w14:paraId="29FB5ED1"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On distingue trois systèmes de cultures dans les zones cotonnières selon la rotation adoptée par les producteurs, dont deux sont largement dominants. Les résultats des travaux effectués en 1995 (</w:t>
      </w:r>
      <w:r>
        <w:rPr>
          <w:rFonts w:ascii="Arial" w:hAnsi="Arial" w:cs="Arial"/>
          <w:sz w:val="24"/>
        </w:rPr>
        <w:t>Kadékoy-Tigagué, 1995</w:t>
      </w:r>
      <w:r>
        <w:rPr>
          <w:rFonts w:ascii="Arial" w:hAnsi="Arial" w:cs="Arial"/>
          <w:sz w:val="24"/>
          <w:szCs w:val="24"/>
        </w:rPr>
        <w:t>), révèle l’existence à 88% dans les parcelles coton enquêtées des systèmes de culture du type 1 et 2 (cf. Tableau 3.1. ci-dessous). Le système de culture 3 est celui conseillé par les agronomes, car selon eux la culture en deuxième année des légumineuses permettraient d’enrichir d’avantage le sol, ce qui serait bénéfique aux cultures suivantes. Toutefois, des travaux plus récents (Mbétid-Bessane, 2007), montrent que contrairement aux approches des agronomes, l’association du coton avec d’autres spéculations dès la première année (système de culture 2) permettrait aux agriculteurs non seulement de renforcer leur sécurité alimentaire mais d’accroître aussi leur rentabilité.</w:t>
      </w:r>
    </w:p>
    <w:p w14:paraId="2B714122"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 xml:space="preserve">Tableau 3.1 : </w:t>
      </w:r>
      <w:r>
        <w:rPr>
          <w:rFonts w:ascii="Arial" w:hAnsi="Arial" w:cs="Arial"/>
          <w:sz w:val="24"/>
          <w:szCs w:val="24"/>
        </w:rPr>
        <w:t xml:space="preserve">Rotation des cultures avec coton en tête de rotation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889"/>
        <w:gridCol w:w="3355"/>
        <w:gridCol w:w="2881"/>
      </w:tblGrid>
      <w:tr w:rsidR="008862C7" w14:paraId="6B2B81F7" w14:textId="77777777" w:rsidTr="008862C7">
        <w:tc>
          <w:tcPr>
            <w:tcW w:w="547" w:type="pct"/>
            <w:vMerge w:val="restart"/>
            <w:tcBorders>
              <w:top w:val="single" w:sz="4" w:space="0" w:color="auto"/>
              <w:left w:val="single" w:sz="4" w:space="0" w:color="auto"/>
              <w:bottom w:val="single" w:sz="4" w:space="0" w:color="auto"/>
              <w:right w:val="single" w:sz="4" w:space="0" w:color="auto"/>
            </w:tcBorders>
            <w:vAlign w:val="center"/>
          </w:tcPr>
          <w:p w14:paraId="32DC7A96" w14:textId="77777777" w:rsidR="008862C7" w:rsidRDefault="008862C7">
            <w:pPr>
              <w:spacing w:before="120" w:after="0" w:line="240" w:lineRule="auto"/>
              <w:jc w:val="center"/>
              <w:rPr>
                <w:rFonts w:ascii="Arial" w:eastAsia="Times New Roman" w:hAnsi="Arial" w:cs="Arial"/>
                <w:b/>
                <w:sz w:val="24"/>
                <w:szCs w:val="24"/>
              </w:rPr>
            </w:pPr>
          </w:p>
          <w:p w14:paraId="4F57A009" w14:textId="77777777" w:rsidR="008862C7" w:rsidRDefault="008862C7">
            <w:pPr>
              <w:tabs>
                <w:tab w:val="left" w:pos="708"/>
              </w:tabs>
              <w:spacing w:before="120" w:after="0" w:line="240" w:lineRule="auto"/>
              <w:jc w:val="center"/>
              <w:rPr>
                <w:rFonts w:ascii="Arial" w:eastAsia="Times New Roman" w:hAnsi="Arial" w:cs="Arial"/>
                <w:b/>
                <w:sz w:val="24"/>
                <w:szCs w:val="24"/>
              </w:rPr>
            </w:pPr>
            <w:r>
              <w:rPr>
                <w:rFonts w:ascii="Arial" w:hAnsi="Arial" w:cs="Arial"/>
                <w:b/>
                <w:i/>
                <w:sz w:val="24"/>
                <w:szCs w:val="24"/>
              </w:rPr>
              <w:t>Année</w:t>
            </w:r>
          </w:p>
        </w:tc>
        <w:tc>
          <w:tcPr>
            <w:tcW w:w="1409" w:type="pct"/>
            <w:tcBorders>
              <w:top w:val="single" w:sz="4" w:space="0" w:color="auto"/>
              <w:left w:val="single" w:sz="4" w:space="0" w:color="auto"/>
              <w:bottom w:val="single" w:sz="4" w:space="0" w:color="auto"/>
              <w:right w:val="single" w:sz="4" w:space="0" w:color="auto"/>
            </w:tcBorders>
            <w:vAlign w:val="center"/>
            <w:hideMark/>
          </w:tcPr>
          <w:p w14:paraId="6FA36769" w14:textId="77777777" w:rsidR="008862C7" w:rsidRDefault="008862C7">
            <w:pPr>
              <w:tabs>
                <w:tab w:val="left" w:pos="708"/>
              </w:tabs>
              <w:spacing w:before="120" w:after="0" w:line="240" w:lineRule="auto"/>
              <w:jc w:val="center"/>
              <w:rPr>
                <w:rFonts w:ascii="Arial" w:eastAsia="Times New Roman" w:hAnsi="Arial" w:cs="Arial"/>
                <w:b/>
                <w:sz w:val="24"/>
                <w:szCs w:val="24"/>
              </w:rPr>
            </w:pPr>
            <w:r>
              <w:rPr>
                <w:rFonts w:ascii="Arial" w:hAnsi="Arial" w:cs="Arial"/>
                <w:b/>
                <w:sz w:val="24"/>
                <w:szCs w:val="24"/>
              </w:rPr>
              <w:t>Système de culture 1</w:t>
            </w:r>
          </w:p>
        </w:tc>
        <w:tc>
          <w:tcPr>
            <w:tcW w:w="1637" w:type="pct"/>
            <w:tcBorders>
              <w:top w:val="single" w:sz="4" w:space="0" w:color="auto"/>
              <w:left w:val="single" w:sz="4" w:space="0" w:color="auto"/>
              <w:bottom w:val="single" w:sz="4" w:space="0" w:color="auto"/>
              <w:right w:val="single" w:sz="4" w:space="0" w:color="auto"/>
            </w:tcBorders>
            <w:vAlign w:val="center"/>
            <w:hideMark/>
          </w:tcPr>
          <w:p w14:paraId="6AC327CB" w14:textId="77777777" w:rsidR="008862C7" w:rsidRDefault="008862C7">
            <w:pPr>
              <w:tabs>
                <w:tab w:val="left" w:pos="708"/>
              </w:tabs>
              <w:spacing w:before="120" w:after="0" w:line="240" w:lineRule="auto"/>
              <w:jc w:val="center"/>
              <w:rPr>
                <w:rFonts w:ascii="Arial" w:eastAsia="Times New Roman" w:hAnsi="Arial" w:cs="Arial"/>
                <w:b/>
                <w:sz w:val="24"/>
                <w:szCs w:val="24"/>
              </w:rPr>
            </w:pPr>
            <w:r>
              <w:rPr>
                <w:rFonts w:ascii="Arial" w:hAnsi="Arial" w:cs="Arial"/>
                <w:b/>
                <w:sz w:val="24"/>
                <w:szCs w:val="24"/>
              </w:rPr>
              <w:t>Système de culture 2</w:t>
            </w:r>
          </w:p>
        </w:tc>
        <w:tc>
          <w:tcPr>
            <w:tcW w:w="1406" w:type="pct"/>
            <w:tcBorders>
              <w:top w:val="single" w:sz="4" w:space="0" w:color="auto"/>
              <w:left w:val="single" w:sz="4" w:space="0" w:color="auto"/>
              <w:bottom w:val="single" w:sz="4" w:space="0" w:color="auto"/>
              <w:right w:val="single" w:sz="4" w:space="0" w:color="auto"/>
            </w:tcBorders>
            <w:hideMark/>
          </w:tcPr>
          <w:p w14:paraId="5BDA924D" w14:textId="77777777" w:rsidR="008862C7" w:rsidRDefault="008862C7">
            <w:pPr>
              <w:tabs>
                <w:tab w:val="left" w:pos="708"/>
              </w:tabs>
              <w:spacing w:before="120" w:after="0" w:line="240" w:lineRule="auto"/>
              <w:jc w:val="center"/>
              <w:rPr>
                <w:rFonts w:ascii="Arial" w:eastAsia="Times New Roman" w:hAnsi="Arial" w:cs="Arial"/>
                <w:b/>
                <w:sz w:val="24"/>
                <w:szCs w:val="24"/>
              </w:rPr>
            </w:pPr>
            <w:r>
              <w:rPr>
                <w:rFonts w:ascii="Arial" w:hAnsi="Arial" w:cs="Arial"/>
                <w:b/>
                <w:sz w:val="24"/>
                <w:szCs w:val="24"/>
              </w:rPr>
              <w:t>Système de culture 3</w:t>
            </w:r>
          </w:p>
        </w:tc>
      </w:tr>
      <w:tr w:rsidR="008862C7" w14:paraId="719C667E" w14:textId="77777777" w:rsidTr="008862C7">
        <w:tc>
          <w:tcPr>
            <w:tcW w:w="0" w:type="auto"/>
            <w:vMerge/>
            <w:tcBorders>
              <w:top w:val="single" w:sz="4" w:space="0" w:color="auto"/>
              <w:left w:val="single" w:sz="4" w:space="0" w:color="auto"/>
              <w:bottom w:val="single" w:sz="4" w:space="0" w:color="auto"/>
              <w:right w:val="single" w:sz="4" w:space="0" w:color="auto"/>
            </w:tcBorders>
            <w:vAlign w:val="center"/>
            <w:hideMark/>
          </w:tcPr>
          <w:p w14:paraId="7F25D371" w14:textId="77777777" w:rsidR="008862C7" w:rsidRDefault="008862C7">
            <w:pPr>
              <w:spacing w:after="0" w:line="240" w:lineRule="auto"/>
              <w:rPr>
                <w:rFonts w:ascii="Arial" w:eastAsia="Times New Roman" w:hAnsi="Arial" w:cs="Arial"/>
                <w:b/>
                <w:sz w:val="24"/>
                <w:szCs w:val="24"/>
              </w:rPr>
            </w:pPr>
          </w:p>
        </w:tc>
        <w:tc>
          <w:tcPr>
            <w:tcW w:w="1409" w:type="pct"/>
            <w:tcBorders>
              <w:top w:val="single" w:sz="4" w:space="0" w:color="auto"/>
              <w:left w:val="single" w:sz="4" w:space="0" w:color="auto"/>
              <w:bottom w:val="single" w:sz="4" w:space="0" w:color="auto"/>
              <w:right w:val="single" w:sz="4" w:space="0" w:color="auto"/>
            </w:tcBorders>
            <w:vAlign w:val="center"/>
            <w:hideMark/>
          </w:tcPr>
          <w:p w14:paraId="692D99D9" w14:textId="77777777" w:rsidR="008862C7" w:rsidRDefault="008862C7">
            <w:pPr>
              <w:tabs>
                <w:tab w:val="left" w:pos="708"/>
              </w:tabs>
              <w:spacing w:before="120" w:after="0" w:line="240" w:lineRule="auto"/>
              <w:jc w:val="center"/>
              <w:rPr>
                <w:rFonts w:ascii="Arial" w:eastAsia="Times New Roman" w:hAnsi="Arial" w:cs="Arial"/>
                <w:b/>
                <w:i/>
                <w:sz w:val="24"/>
                <w:szCs w:val="24"/>
              </w:rPr>
            </w:pPr>
            <w:r>
              <w:rPr>
                <w:rFonts w:ascii="Arial" w:hAnsi="Arial" w:cs="Arial"/>
                <w:b/>
                <w:i/>
                <w:sz w:val="24"/>
                <w:szCs w:val="24"/>
              </w:rPr>
              <w:t>Culture pratiquée</w:t>
            </w:r>
          </w:p>
        </w:tc>
        <w:tc>
          <w:tcPr>
            <w:tcW w:w="1637" w:type="pct"/>
            <w:tcBorders>
              <w:top w:val="single" w:sz="4" w:space="0" w:color="auto"/>
              <w:left w:val="single" w:sz="4" w:space="0" w:color="auto"/>
              <w:bottom w:val="single" w:sz="4" w:space="0" w:color="auto"/>
              <w:right w:val="single" w:sz="4" w:space="0" w:color="auto"/>
            </w:tcBorders>
            <w:vAlign w:val="center"/>
            <w:hideMark/>
          </w:tcPr>
          <w:p w14:paraId="15740728" w14:textId="77777777" w:rsidR="008862C7" w:rsidRDefault="008862C7">
            <w:pPr>
              <w:tabs>
                <w:tab w:val="left" w:pos="708"/>
              </w:tabs>
              <w:spacing w:before="120" w:after="0" w:line="240" w:lineRule="auto"/>
              <w:jc w:val="center"/>
              <w:rPr>
                <w:rFonts w:ascii="Arial" w:eastAsia="Times New Roman" w:hAnsi="Arial" w:cs="Arial"/>
                <w:b/>
                <w:i/>
                <w:sz w:val="24"/>
                <w:szCs w:val="24"/>
              </w:rPr>
            </w:pPr>
            <w:r>
              <w:rPr>
                <w:rFonts w:ascii="Arial" w:hAnsi="Arial" w:cs="Arial"/>
                <w:b/>
                <w:i/>
                <w:sz w:val="24"/>
                <w:szCs w:val="24"/>
              </w:rPr>
              <w:t>Culture pratiquée</w:t>
            </w:r>
          </w:p>
        </w:tc>
        <w:tc>
          <w:tcPr>
            <w:tcW w:w="1406" w:type="pct"/>
            <w:tcBorders>
              <w:top w:val="single" w:sz="4" w:space="0" w:color="auto"/>
              <w:left w:val="single" w:sz="4" w:space="0" w:color="auto"/>
              <w:bottom w:val="single" w:sz="4" w:space="0" w:color="auto"/>
              <w:right w:val="single" w:sz="4" w:space="0" w:color="auto"/>
            </w:tcBorders>
            <w:hideMark/>
          </w:tcPr>
          <w:p w14:paraId="1F433D89" w14:textId="77777777" w:rsidR="008862C7" w:rsidRDefault="008862C7">
            <w:pPr>
              <w:tabs>
                <w:tab w:val="left" w:pos="708"/>
              </w:tabs>
              <w:spacing w:before="120" w:after="0" w:line="240" w:lineRule="auto"/>
              <w:jc w:val="center"/>
              <w:rPr>
                <w:rFonts w:ascii="Arial" w:eastAsia="Times New Roman" w:hAnsi="Arial" w:cs="Arial"/>
                <w:b/>
                <w:i/>
                <w:sz w:val="24"/>
                <w:szCs w:val="24"/>
              </w:rPr>
            </w:pPr>
            <w:r>
              <w:rPr>
                <w:rFonts w:ascii="Arial" w:hAnsi="Arial" w:cs="Arial"/>
                <w:b/>
                <w:i/>
                <w:sz w:val="24"/>
                <w:szCs w:val="24"/>
              </w:rPr>
              <w:t>Culture conseillée</w:t>
            </w:r>
          </w:p>
        </w:tc>
      </w:tr>
      <w:tr w:rsidR="008862C7" w14:paraId="02969E44" w14:textId="77777777" w:rsidTr="008862C7">
        <w:tc>
          <w:tcPr>
            <w:tcW w:w="547" w:type="pct"/>
            <w:tcBorders>
              <w:top w:val="single" w:sz="4" w:space="0" w:color="auto"/>
              <w:left w:val="single" w:sz="4" w:space="0" w:color="auto"/>
              <w:bottom w:val="single" w:sz="4" w:space="0" w:color="auto"/>
              <w:right w:val="single" w:sz="4" w:space="0" w:color="auto"/>
            </w:tcBorders>
            <w:vAlign w:val="center"/>
            <w:hideMark/>
          </w:tcPr>
          <w:p w14:paraId="1814D2AE"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1</w:t>
            </w:r>
          </w:p>
        </w:tc>
        <w:tc>
          <w:tcPr>
            <w:tcW w:w="1409" w:type="pct"/>
            <w:tcBorders>
              <w:top w:val="single" w:sz="4" w:space="0" w:color="auto"/>
              <w:left w:val="single" w:sz="4" w:space="0" w:color="auto"/>
              <w:bottom w:val="single" w:sz="4" w:space="0" w:color="auto"/>
              <w:right w:val="single" w:sz="4" w:space="0" w:color="auto"/>
            </w:tcBorders>
            <w:vAlign w:val="center"/>
            <w:hideMark/>
          </w:tcPr>
          <w:p w14:paraId="71E32E0E"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Coton pur</w:t>
            </w:r>
          </w:p>
        </w:tc>
        <w:tc>
          <w:tcPr>
            <w:tcW w:w="1637" w:type="pct"/>
            <w:tcBorders>
              <w:top w:val="single" w:sz="4" w:space="0" w:color="auto"/>
              <w:left w:val="single" w:sz="4" w:space="0" w:color="auto"/>
              <w:bottom w:val="single" w:sz="4" w:space="0" w:color="auto"/>
              <w:right w:val="single" w:sz="4" w:space="0" w:color="auto"/>
            </w:tcBorders>
            <w:vAlign w:val="center"/>
            <w:hideMark/>
          </w:tcPr>
          <w:p w14:paraId="336ACEEA"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Coton + bouture de manioc</w:t>
            </w:r>
          </w:p>
        </w:tc>
        <w:tc>
          <w:tcPr>
            <w:tcW w:w="1406" w:type="pct"/>
            <w:tcBorders>
              <w:top w:val="single" w:sz="4" w:space="0" w:color="auto"/>
              <w:left w:val="single" w:sz="4" w:space="0" w:color="auto"/>
              <w:bottom w:val="single" w:sz="4" w:space="0" w:color="auto"/>
              <w:right w:val="single" w:sz="4" w:space="0" w:color="auto"/>
            </w:tcBorders>
            <w:hideMark/>
          </w:tcPr>
          <w:p w14:paraId="2390BC5A"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Coton pur</w:t>
            </w:r>
          </w:p>
        </w:tc>
      </w:tr>
      <w:tr w:rsidR="008862C7" w14:paraId="43FCE058" w14:textId="77777777" w:rsidTr="008862C7">
        <w:tc>
          <w:tcPr>
            <w:tcW w:w="547" w:type="pct"/>
            <w:tcBorders>
              <w:top w:val="single" w:sz="4" w:space="0" w:color="auto"/>
              <w:left w:val="single" w:sz="4" w:space="0" w:color="auto"/>
              <w:bottom w:val="single" w:sz="4" w:space="0" w:color="auto"/>
              <w:right w:val="single" w:sz="4" w:space="0" w:color="auto"/>
            </w:tcBorders>
            <w:vAlign w:val="center"/>
            <w:hideMark/>
          </w:tcPr>
          <w:p w14:paraId="67425AD0"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2</w:t>
            </w:r>
          </w:p>
        </w:tc>
        <w:tc>
          <w:tcPr>
            <w:tcW w:w="1409" w:type="pct"/>
            <w:tcBorders>
              <w:top w:val="single" w:sz="4" w:space="0" w:color="auto"/>
              <w:left w:val="single" w:sz="4" w:space="0" w:color="auto"/>
              <w:bottom w:val="single" w:sz="4" w:space="0" w:color="auto"/>
              <w:right w:val="single" w:sz="4" w:space="0" w:color="auto"/>
            </w:tcBorders>
            <w:vAlign w:val="center"/>
            <w:hideMark/>
          </w:tcPr>
          <w:p w14:paraId="77A2BBAC"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Arachide + Céréale (sorgho, mil, maïs) + Manioc</w:t>
            </w:r>
          </w:p>
        </w:tc>
        <w:tc>
          <w:tcPr>
            <w:tcW w:w="1637" w:type="pct"/>
            <w:tcBorders>
              <w:top w:val="single" w:sz="4" w:space="0" w:color="auto"/>
              <w:left w:val="single" w:sz="4" w:space="0" w:color="auto"/>
              <w:bottom w:val="single" w:sz="4" w:space="0" w:color="auto"/>
              <w:right w:val="single" w:sz="4" w:space="0" w:color="auto"/>
            </w:tcBorders>
            <w:vAlign w:val="center"/>
            <w:hideMark/>
          </w:tcPr>
          <w:p w14:paraId="3906ABB9"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 xml:space="preserve">Arachide + Céréale (sorgho, mil, maïs) + Manioc </w:t>
            </w:r>
          </w:p>
        </w:tc>
        <w:tc>
          <w:tcPr>
            <w:tcW w:w="1406" w:type="pct"/>
            <w:tcBorders>
              <w:top w:val="single" w:sz="4" w:space="0" w:color="auto"/>
              <w:left w:val="single" w:sz="4" w:space="0" w:color="auto"/>
              <w:bottom w:val="single" w:sz="4" w:space="0" w:color="auto"/>
              <w:right w:val="single" w:sz="4" w:space="0" w:color="auto"/>
            </w:tcBorders>
            <w:vAlign w:val="center"/>
            <w:hideMark/>
          </w:tcPr>
          <w:p w14:paraId="4FF6A3F5"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 xml:space="preserve">Légumineuses (arachide, niébé) </w:t>
            </w:r>
          </w:p>
        </w:tc>
      </w:tr>
      <w:tr w:rsidR="008862C7" w14:paraId="18930E62" w14:textId="77777777" w:rsidTr="008862C7">
        <w:trPr>
          <w:trHeight w:val="299"/>
        </w:trPr>
        <w:tc>
          <w:tcPr>
            <w:tcW w:w="547" w:type="pct"/>
            <w:tcBorders>
              <w:top w:val="single" w:sz="4" w:space="0" w:color="auto"/>
              <w:left w:val="single" w:sz="4" w:space="0" w:color="auto"/>
              <w:bottom w:val="single" w:sz="4" w:space="0" w:color="auto"/>
              <w:right w:val="single" w:sz="4" w:space="0" w:color="auto"/>
            </w:tcBorders>
            <w:vAlign w:val="center"/>
            <w:hideMark/>
          </w:tcPr>
          <w:p w14:paraId="573770DA"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3</w:t>
            </w:r>
          </w:p>
        </w:tc>
        <w:tc>
          <w:tcPr>
            <w:tcW w:w="1409" w:type="pct"/>
            <w:tcBorders>
              <w:top w:val="single" w:sz="4" w:space="0" w:color="auto"/>
              <w:left w:val="single" w:sz="4" w:space="0" w:color="auto"/>
              <w:bottom w:val="single" w:sz="4" w:space="0" w:color="auto"/>
              <w:right w:val="single" w:sz="4" w:space="0" w:color="auto"/>
            </w:tcBorders>
            <w:vAlign w:val="center"/>
            <w:hideMark/>
          </w:tcPr>
          <w:p w14:paraId="04F12FB8"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Manioc pur</w:t>
            </w:r>
          </w:p>
        </w:tc>
        <w:tc>
          <w:tcPr>
            <w:tcW w:w="1637" w:type="pct"/>
            <w:tcBorders>
              <w:top w:val="single" w:sz="4" w:space="0" w:color="auto"/>
              <w:left w:val="single" w:sz="4" w:space="0" w:color="auto"/>
              <w:bottom w:val="single" w:sz="4" w:space="0" w:color="auto"/>
              <w:right w:val="single" w:sz="4" w:space="0" w:color="auto"/>
            </w:tcBorders>
            <w:vAlign w:val="center"/>
            <w:hideMark/>
          </w:tcPr>
          <w:p w14:paraId="33C05520"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Manioc pur</w:t>
            </w:r>
          </w:p>
        </w:tc>
        <w:tc>
          <w:tcPr>
            <w:tcW w:w="1406" w:type="pct"/>
            <w:tcBorders>
              <w:top w:val="single" w:sz="4" w:space="0" w:color="auto"/>
              <w:left w:val="single" w:sz="4" w:space="0" w:color="auto"/>
              <w:bottom w:val="single" w:sz="4" w:space="0" w:color="auto"/>
              <w:right w:val="single" w:sz="4" w:space="0" w:color="auto"/>
            </w:tcBorders>
            <w:hideMark/>
          </w:tcPr>
          <w:p w14:paraId="748E77B3"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Arachide + Maïs + Manioc</w:t>
            </w:r>
          </w:p>
        </w:tc>
      </w:tr>
      <w:tr w:rsidR="008862C7" w14:paraId="5A7AD2CE" w14:textId="77777777" w:rsidTr="008862C7">
        <w:trPr>
          <w:trHeight w:val="316"/>
        </w:trPr>
        <w:tc>
          <w:tcPr>
            <w:tcW w:w="547" w:type="pct"/>
            <w:tcBorders>
              <w:top w:val="single" w:sz="4" w:space="0" w:color="auto"/>
              <w:left w:val="single" w:sz="4" w:space="0" w:color="auto"/>
              <w:bottom w:val="single" w:sz="4" w:space="0" w:color="auto"/>
              <w:right w:val="single" w:sz="4" w:space="0" w:color="auto"/>
            </w:tcBorders>
            <w:vAlign w:val="center"/>
            <w:hideMark/>
          </w:tcPr>
          <w:p w14:paraId="5C9B7EEC"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4</w:t>
            </w:r>
          </w:p>
        </w:tc>
        <w:tc>
          <w:tcPr>
            <w:tcW w:w="1409" w:type="pct"/>
            <w:tcBorders>
              <w:top w:val="single" w:sz="4" w:space="0" w:color="auto"/>
              <w:left w:val="single" w:sz="4" w:space="0" w:color="auto"/>
              <w:bottom w:val="single" w:sz="4" w:space="0" w:color="auto"/>
              <w:right w:val="single" w:sz="4" w:space="0" w:color="auto"/>
            </w:tcBorders>
            <w:vAlign w:val="center"/>
            <w:hideMark/>
          </w:tcPr>
          <w:p w14:paraId="5460FBD9"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Manioc pur</w:t>
            </w:r>
          </w:p>
        </w:tc>
        <w:tc>
          <w:tcPr>
            <w:tcW w:w="1637" w:type="pct"/>
            <w:tcBorders>
              <w:top w:val="single" w:sz="4" w:space="0" w:color="auto"/>
              <w:left w:val="single" w:sz="4" w:space="0" w:color="auto"/>
              <w:bottom w:val="single" w:sz="4" w:space="0" w:color="auto"/>
              <w:right w:val="single" w:sz="4" w:space="0" w:color="auto"/>
            </w:tcBorders>
            <w:vAlign w:val="center"/>
            <w:hideMark/>
          </w:tcPr>
          <w:p w14:paraId="27AAA50D"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Manioc pur</w:t>
            </w:r>
          </w:p>
        </w:tc>
        <w:tc>
          <w:tcPr>
            <w:tcW w:w="1406" w:type="pct"/>
            <w:tcBorders>
              <w:top w:val="single" w:sz="4" w:space="0" w:color="auto"/>
              <w:left w:val="single" w:sz="4" w:space="0" w:color="auto"/>
              <w:bottom w:val="single" w:sz="4" w:space="0" w:color="auto"/>
              <w:right w:val="single" w:sz="4" w:space="0" w:color="auto"/>
            </w:tcBorders>
            <w:hideMark/>
          </w:tcPr>
          <w:p w14:paraId="588AA8CE"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Manioc pur</w:t>
            </w:r>
          </w:p>
        </w:tc>
      </w:tr>
      <w:tr w:rsidR="008862C7" w14:paraId="19C0A087" w14:textId="77777777" w:rsidTr="008862C7">
        <w:tc>
          <w:tcPr>
            <w:tcW w:w="547" w:type="pct"/>
            <w:tcBorders>
              <w:top w:val="single" w:sz="4" w:space="0" w:color="auto"/>
              <w:left w:val="single" w:sz="4" w:space="0" w:color="auto"/>
              <w:bottom w:val="single" w:sz="4" w:space="0" w:color="auto"/>
              <w:right w:val="single" w:sz="4" w:space="0" w:color="auto"/>
            </w:tcBorders>
            <w:vAlign w:val="center"/>
            <w:hideMark/>
          </w:tcPr>
          <w:p w14:paraId="34F61F39"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5</w:t>
            </w:r>
          </w:p>
        </w:tc>
        <w:tc>
          <w:tcPr>
            <w:tcW w:w="1409" w:type="pct"/>
            <w:tcBorders>
              <w:top w:val="single" w:sz="4" w:space="0" w:color="auto"/>
              <w:left w:val="single" w:sz="4" w:space="0" w:color="auto"/>
              <w:bottom w:val="single" w:sz="4" w:space="0" w:color="auto"/>
              <w:right w:val="single" w:sz="4" w:space="0" w:color="auto"/>
            </w:tcBorders>
            <w:vAlign w:val="center"/>
            <w:hideMark/>
          </w:tcPr>
          <w:p w14:paraId="6118A73F"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Jachère</w:t>
            </w:r>
          </w:p>
        </w:tc>
        <w:tc>
          <w:tcPr>
            <w:tcW w:w="1637" w:type="pct"/>
            <w:tcBorders>
              <w:top w:val="single" w:sz="4" w:space="0" w:color="auto"/>
              <w:left w:val="single" w:sz="4" w:space="0" w:color="auto"/>
              <w:bottom w:val="single" w:sz="4" w:space="0" w:color="auto"/>
              <w:right w:val="single" w:sz="4" w:space="0" w:color="auto"/>
            </w:tcBorders>
            <w:vAlign w:val="center"/>
            <w:hideMark/>
          </w:tcPr>
          <w:p w14:paraId="09D4F80D"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Jachère</w:t>
            </w:r>
          </w:p>
        </w:tc>
        <w:tc>
          <w:tcPr>
            <w:tcW w:w="1406" w:type="pct"/>
            <w:tcBorders>
              <w:top w:val="single" w:sz="4" w:space="0" w:color="auto"/>
              <w:left w:val="single" w:sz="4" w:space="0" w:color="auto"/>
              <w:bottom w:val="single" w:sz="4" w:space="0" w:color="auto"/>
              <w:right w:val="single" w:sz="4" w:space="0" w:color="auto"/>
            </w:tcBorders>
            <w:hideMark/>
          </w:tcPr>
          <w:p w14:paraId="4A3CCE3C"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Jachère</w:t>
            </w:r>
          </w:p>
        </w:tc>
      </w:tr>
    </w:tbl>
    <w:p w14:paraId="0DDB0E86" w14:textId="77777777" w:rsidR="008862C7" w:rsidRDefault="008862C7" w:rsidP="008862C7">
      <w:pPr>
        <w:spacing w:before="120" w:after="0" w:line="360" w:lineRule="auto"/>
        <w:jc w:val="both"/>
        <w:rPr>
          <w:rFonts w:ascii="Arial" w:eastAsia="Times New Roman" w:hAnsi="Arial" w:cs="Arial"/>
          <w:sz w:val="20"/>
        </w:rPr>
      </w:pPr>
      <w:r>
        <w:rPr>
          <w:rFonts w:ascii="Arial" w:hAnsi="Arial" w:cs="Arial"/>
          <w:sz w:val="20"/>
        </w:rPr>
        <w:t>Source : Kadékoy-Tigagué (1995) et notre enquête (2012).</w:t>
      </w:r>
    </w:p>
    <w:p w14:paraId="27C8D5FD"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Comme l’indique ce tableau, quel que soit le système adopté, le coton passe toujours en tête de rotation. Dans les trois systèmes de culture, la terre est mise en jachère après cinq années de culture. La différence entre les deux premiers systèmes de culture observés réside à la première année. Dans le système de culture 1, à la première année, on pratique le coton pur alors qu’on associe les boutures de manioc au coton dans le système de culture 2. Le système de culture 3 conseillé par les agronomes reste très marginal dans la pratique car si celui-ci permet d’accroître le rendement à l’hectare de la production cotonnière, il ne permet pas à l’exploitant en situation de crise d’atteindre ses objectifs en termes de revenu. Ainsi l’appréciation de l’efficacité et de la </w:t>
      </w:r>
      <w:r>
        <w:rPr>
          <w:rFonts w:ascii="Arial" w:hAnsi="Arial" w:cs="Arial"/>
          <w:sz w:val="24"/>
          <w:szCs w:val="24"/>
        </w:rPr>
        <w:lastRenderedPageBreak/>
        <w:t xml:space="preserve">rentabilité de ces systèmes de cultures dépend de l’angle sous lequel l’on se place. Selon que l’on se place du coté des exploitants (approche agro-économique) ou du coté de la société cotonnière (approché des agronomes) le système peut être jugé rentable ou non. </w:t>
      </w:r>
    </w:p>
    <w:p w14:paraId="5EC6244C" w14:textId="77777777" w:rsidR="008862C7" w:rsidRDefault="008862C7" w:rsidP="008862C7">
      <w:pPr>
        <w:pStyle w:val="Paragraphedeliste"/>
        <w:numPr>
          <w:ilvl w:val="3"/>
          <w:numId w:val="28"/>
        </w:numPr>
        <w:spacing w:before="120" w:after="120" w:line="360" w:lineRule="auto"/>
        <w:jc w:val="both"/>
        <w:outlineLvl w:val="5"/>
        <w:rPr>
          <w:rFonts w:ascii="Arial" w:hAnsi="Arial" w:cs="Arial"/>
          <w:b/>
          <w:sz w:val="24"/>
          <w:szCs w:val="24"/>
        </w:rPr>
      </w:pPr>
      <w:bookmarkStart w:id="155" w:name="_Toc395107617"/>
      <w:r>
        <w:rPr>
          <w:rFonts w:ascii="Arial" w:hAnsi="Arial" w:cs="Arial"/>
          <w:b/>
          <w:sz w:val="24"/>
          <w:szCs w:val="24"/>
        </w:rPr>
        <w:t>Itinéraires techniques</w:t>
      </w:r>
      <w:bookmarkEnd w:id="155"/>
    </w:p>
    <w:p w14:paraId="726B6C32"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La production du coton requière différentes phases d’activités. Le passage d’une récolte à une autre nécessite une série d’opérations qui, schématiquement, sont les suivantes : préparation des sols, semis ou plantation, entretien et protection des cultures, récolte, puis stockage des produits jusqu’à la commercialisation. L’itinéraire technique constitue un facteur déterminant du niveau de rendement de la production cotonnière. Chaque étape dépend étroitement des moyens disponibles, des connaissances et de leur degré de mise en pratique. </w:t>
      </w:r>
    </w:p>
    <w:p w14:paraId="1E22AC48" w14:textId="77777777" w:rsidR="008862C7" w:rsidRDefault="008862C7" w:rsidP="008862C7">
      <w:pPr>
        <w:pStyle w:val="Paragraphedeliste"/>
        <w:numPr>
          <w:ilvl w:val="0"/>
          <w:numId w:val="29"/>
        </w:numPr>
        <w:spacing w:before="120" w:after="120" w:line="360" w:lineRule="auto"/>
        <w:jc w:val="both"/>
        <w:outlineLvl w:val="7"/>
        <w:rPr>
          <w:rFonts w:ascii="Arial" w:hAnsi="Arial" w:cs="Arial"/>
          <w:b/>
          <w:sz w:val="24"/>
          <w:szCs w:val="24"/>
        </w:rPr>
      </w:pPr>
      <w:bookmarkStart w:id="156" w:name="_Toc395107618"/>
      <w:r>
        <w:rPr>
          <w:rFonts w:ascii="Arial" w:hAnsi="Arial" w:cs="Arial"/>
          <w:b/>
          <w:sz w:val="24"/>
          <w:szCs w:val="24"/>
        </w:rPr>
        <w:t>Délimitation et défrichement</w:t>
      </w:r>
      <w:bookmarkEnd w:id="156"/>
    </w:p>
    <w:p w14:paraId="33381236"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Il est évident que ce sont les deux premières opérations culturales dans la mise en place des plantes. Ils consistent respectivement à délimiter la parcelle retenue par une haie de 2 à 3 mètres, la préservant ainsi des feux de brousse pour ensuite débarrasser la parcelle de sa végétation naturelle. Ces activités se font toujours manuellement et est d’autant plus difficile qu’il y a assez d’arbustes sur le champ. C’est une activité essentiellement masculine, généralement confiée à la main-d’œuvre temporaire et intervient entre février-mars. En moyenne, les producteurs considèrent que cette opération culturale peut s’effectuer avec de la main-d’œuvre salariale, évaluée à 8 hommes/jour (hj). La rémunération totale pour cette activité par hectare est de 4.000 FCFA, soit 500 FCFA/hj. Les outils utilisés au cours de cette activité sont la machette, la hache et la pioche.</w:t>
      </w:r>
    </w:p>
    <w:p w14:paraId="091F631C" w14:textId="77777777" w:rsidR="008862C7" w:rsidRDefault="008862C7" w:rsidP="008862C7">
      <w:pPr>
        <w:pStyle w:val="Paragraphedeliste"/>
        <w:numPr>
          <w:ilvl w:val="0"/>
          <w:numId w:val="30"/>
        </w:numPr>
        <w:spacing w:before="120" w:after="120" w:line="360" w:lineRule="auto"/>
        <w:jc w:val="both"/>
        <w:outlineLvl w:val="7"/>
        <w:rPr>
          <w:rFonts w:ascii="Arial" w:hAnsi="Arial" w:cs="Arial"/>
          <w:b/>
          <w:sz w:val="24"/>
          <w:szCs w:val="24"/>
        </w:rPr>
      </w:pPr>
      <w:bookmarkStart w:id="157" w:name="_Toc395107619"/>
      <w:r>
        <w:rPr>
          <w:rFonts w:ascii="Arial" w:hAnsi="Arial" w:cs="Arial"/>
          <w:b/>
          <w:sz w:val="24"/>
          <w:szCs w:val="24"/>
        </w:rPr>
        <w:t xml:space="preserve">Endainage et </w:t>
      </w:r>
      <w:bookmarkEnd w:id="157"/>
      <w:r>
        <w:rPr>
          <w:rFonts w:ascii="Arial" w:hAnsi="Arial" w:cs="Arial"/>
          <w:b/>
          <w:sz w:val="24"/>
          <w:szCs w:val="24"/>
        </w:rPr>
        <w:t xml:space="preserve">brûlis </w:t>
      </w:r>
    </w:p>
    <w:p w14:paraId="1429D336"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Dans le processus de production cotonnière, après la délimitation de la parcelle et son défrichement, vient l’endainage puis le brulis qui consiste respectivement à regrouper les herbes et les bois morts et ensuite les incendier</w:t>
      </w:r>
      <w:r>
        <w:rPr>
          <w:rFonts w:ascii="Arial" w:hAnsi="Arial" w:cs="Arial"/>
          <w:sz w:val="16"/>
          <w:szCs w:val="16"/>
        </w:rPr>
        <w:t xml:space="preserve"> </w:t>
      </w:r>
      <w:r>
        <w:rPr>
          <w:rFonts w:ascii="Arial" w:hAnsi="Arial" w:cs="Arial"/>
          <w:sz w:val="24"/>
          <w:szCs w:val="24"/>
        </w:rPr>
        <w:t xml:space="preserve">pour préparer le sol à la culture et la fertilisation par les cendres. Ces activités ont généralement lieu entre mars-avril. En moyenne, les paysans considèrent que cette opération culturale peut s’effectuer avec 5 temporaires dont la rémunération totale pour cette activité par hectare est de 2500 FCFA. Les outils utilisés au cours de cette activité sont la machette, la hache et la pioche. </w:t>
      </w:r>
    </w:p>
    <w:tbl>
      <w:tblPr>
        <w:tblW w:w="5000" w:type="pct"/>
        <w:tblCellSpacing w:w="0" w:type="dxa"/>
        <w:tblCellMar>
          <w:left w:w="210" w:type="dxa"/>
          <w:right w:w="0" w:type="dxa"/>
        </w:tblCellMar>
        <w:tblLook w:val="04A0" w:firstRow="1" w:lastRow="0" w:firstColumn="1" w:lastColumn="0" w:noHBand="0" w:noVBand="1"/>
      </w:tblPr>
      <w:tblGrid>
        <w:gridCol w:w="10348"/>
      </w:tblGrid>
      <w:tr w:rsidR="008862C7" w14:paraId="29CB3AFD" w14:textId="77777777" w:rsidTr="008862C7">
        <w:trPr>
          <w:tblCellSpacing w:w="0" w:type="dxa"/>
        </w:trPr>
        <w:tc>
          <w:tcPr>
            <w:tcW w:w="0" w:type="auto"/>
            <w:tcMar>
              <w:top w:w="0" w:type="dxa"/>
              <w:left w:w="0" w:type="dxa"/>
              <w:bottom w:w="0" w:type="dxa"/>
              <w:right w:w="0" w:type="dxa"/>
            </w:tcMar>
            <w:vAlign w:val="center"/>
            <w:hideMark/>
          </w:tcPr>
          <w:p w14:paraId="23986E46" w14:textId="77777777" w:rsidR="008862C7" w:rsidRDefault="008862C7">
            <w:pPr>
              <w:spacing w:after="0" w:line="240" w:lineRule="auto"/>
              <w:rPr>
                <w:rFonts w:eastAsia="Calibri" w:cs="Times New Roman"/>
                <w:sz w:val="20"/>
                <w:szCs w:val="20"/>
              </w:rPr>
            </w:pPr>
          </w:p>
        </w:tc>
      </w:tr>
    </w:tbl>
    <w:p w14:paraId="74A2C14A" w14:textId="77777777" w:rsidR="008862C7" w:rsidRDefault="008862C7" w:rsidP="008862C7">
      <w:pPr>
        <w:pStyle w:val="Paragraphedeliste"/>
        <w:numPr>
          <w:ilvl w:val="0"/>
          <w:numId w:val="30"/>
        </w:numPr>
        <w:spacing w:after="0" w:line="360" w:lineRule="auto"/>
        <w:jc w:val="both"/>
        <w:outlineLvl w:val="7"/>
        <w:rPr>
          <w:rFonts w:ascii="Arial" w:hAnsi="Arial" w:cs="Arial"/>
          <w:b/>
          <w:sz w:val="24"/>
          <w:szCs w:val="24"/>
        </w:rPr>
      </w:pPr>
      <w:bookmarkStart w:id="158" w:name="_Toc395107620"/>
      <w:r>
        <w:rPr>
          <w:rFonts w:ascii="Arial" w:hAnsi="Arial" w:cs="Arial"/>
          <w:b/>
          <w:sz w:val="24"/>
          <w:szCs w:val="24"/>
        </w:rPr>
        <w:t>Labour</w:t>
      </w:r>
      <w:bookmarkEnd w:id="158"/>
    </w:p>
    <w:p w14:paraId="22DE3BBB"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labour consiste à préparer la terre pour la culture. Il est traditionnellement réalisé en culture manuelle à l’aide d’un daba ou en culture attelée à l’aide d’une charrue qui ouvre le sol et </w:t>
      </w:r>
      <w:r>
        <w:rPr>
          <w:rFonts w:ascii="Arial" w:hAnsi="Arial" w:cs="Arial"/>
          <w:sz w:val="24"/>
          <w:szCs w:val="24"/>
        </w:rPr>
        <w:lastRenderedPageBreak/>
        <w:t xml:space="preserve">retourne la terre. Les mauvaises herbes enfouies sont ainsi détruites et le sol est aéré. Il permet aussi d’établir une surface de terre fine laissant pénétrer l’eau de pluie et favorable à la réception des graines et à leur germination. </w:t>
      </w:r>
    </w:p>
    <w:p w14:paraId="42A6348C"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Dans les exploitations cotonnières centrafricaines, de nombreux agriculteurs pratiquent un labour minimal et peu profond afin de préserver la terre. Les matières végétales qui restent après la récolte sont ainsi enfouies moins profondément, ce qui permet de mieux conserver l’humidité de surface et de protéger le sol contre l’érosion. Il intervient en début de saison des pluies après la première pluie significative. Il commence généralement vers la deuxième semaine du mois de mai dès les premières pluies. En général, les producteurs de coton considèrent que cette opération culturale demande 7 temporaires par hectare dont le coût moyen de rémunération d’un temporaire s’élève à 500 FCFA et le coût total de rémunération à 3500 FCFA. </w:t>
      </w:r>
    </w:p>
    <w:p w14:paraId="7D3AC0DD"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Avec l’introduction de nouvelles technologies de production, certaines exploitations ont recours plutôt à l’utilisation des herbicides (Durand et kalache) qui fournissent les mêmes résultats que le labour mais avec moins de main-d’œuvre.</w:t>
      </w:r>
    </w:p>
    <w:p w14:paraId="5205CE9A" w14:textId="77777777" w:rsidR="008862C7" w:rsidRDefault="008862C7" w:rsidP="008862C7">
      <w:pPr>
        <w:pStyle w:val="Paragraphedeliste"/>
        <w:numPr>
          <w:ilvl w:val="0"/>
          <w:numId w:val="31"/>
        </w:numPr>
        <w:spacing w:before="120" w:after="120" w:line="360" w:lineRule="auto"/>
        <w:jc w:val="both"/>
        <w:outlineLvl w:val="7"/>
        <w:rPr>
          <w:rFonts w:ascii="Arial" w:hAnsi="Arial" w:cs="Arial"/>
          <w:b/>
          <w:sz w:val="24"/>
          <w:szCs w:val="24"/>
        </w:rPr>
      </w:pPr>
      <w:bookmarkStart w:id="159" w:name="_Toc395107621"/>
      <w:r>
        <w:rPr>
          <w:rFonts w:ascii="Arial" w:hAnsi="Arial" w:cs="Arial"/>
          <w:b/>
          <w:sz w:val="24"/>
          <w:szCs w:val="24"/>
        </w:rPr>
        <w:t>Semis</w:t>
      </w:r>
      <w:bookmarkEnd w:id="159"/>
    </w:p>
    <w:p w14:paraId="43D3CE93"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C’est une activité qui intervient juste après le labour durant la saison des pluies. Une fois que le labour est réalisé, </w:t>
      </w:r>
      <w:commentRangeStart w:id="160"/>
      <w:r>
        <w:rPr>
          <w:rFonts w:ascii="Arial" w:hAnsi="Arial" w:cs="Arial"/>
          <w:sz w:val="24"/>
          <w:szCs w:val="24"/>
        </w:rPr>
        <w:t xml:space="preserve">lors du semis avec une </w:t>
      </w:r>
      <w:commentRangeEnd w:id="160"/>
      <w:r>
        <w:rPr>
          <w:rStyle w:val="Marquedecommentaire"/>
          <w:rFonts w:eastAsia="Times New Roman" w:cs="Times New Roman"/>
        </w:rPr>
        <w:commentReference w:id="160"/>
      </w:r>
      <w:r>
        <w:rPr>
          <w:rFonts w:ascii="Arial" w:hAnsi="Arial" w:cs="Arial"/>
          <w:sz w:val="24"/>
          <w:szCs w:val="24"/>
        </w:rPr>
        <w:t xml:space="preserve">houe on fait le poquet dans le sol, destiné à recevoir les semences. Après avoir déposé les semences, on referme le poquet toujours à l’aide du pied. L’activité de semis commence en fin mai pour s’arrêter fin Juin. Dans les deux bassins, l’activité de semis peut accuser un retard de deux semaines après la bonne date, ce qui impacte négativement la production. </w:t>
      </w:r>
    </w:p>
    <w:p w14:paraId="2FA8B512"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En termes de main-d’œuvre, les besoins sont estimés à 5 temporaires par hectare dont le coût moyen s’élève à 500 FCFA par temporaire et le coût total à 2500 FCFA. </w:t>
      </w:r>
    </w:p>
    <w:p w14:paraId="76373AF1" w14:textId="77777777" w:rsidR="008862C7" w:rsidRDefault="008862C7" w:rsidP="008862C7">
      <w:pPr>
        <w:pStyle w:val="Paragraphedeliste"/>
        <w:numPr>
          <w:ilvl w:val="0"/>
          <w:numId w:val="32"/>
        </w:numPr>
        <w:spacing w:before="120" w:after="120" w:line="360" w:lineRule="auto"/>
        <w:jc w:val="both"/>
        <w:outlineLvl w:val="7"/>
        <w:rPr>
          <w:rFonts w:ascii="Arial" w:hAnsi="Arial" w:cs="Arial"/>
          <w:b/>
          <w:sz w:val="24"/>
          <w:szCs w:val="24"/>
        </w:rPr>
      </w:pPr>
      <w:bookmarkStart w:id="161" w:name="_Toc395107622"/>
      <w:r>
        <w:rPr>
          <w:rFonts w:ascii="Arial" w:hAnsi="Arial" w:cs="Arial"/>
          <w:b/>
          <w:sz w:val="24"/>
          <w:szCs w:val="24"/>
        </w:rPr>
        <w:t>Sarclage, fumure et traitement phytosanitaire</w:t>
      </w:r>
      <w:bookmarkEnd w:id="161"/>
      <w:r>
        <w:rPr>
          <w:rFonts w:ascii="Arial" w:hAnsi="Arial" w:cs="Arial"/>
          <w:b/>
          <w:sz w:val="24"/>
          <w:szCs w:val="24"/>
        </w:rPr>
        <w:t xml:space="preserve"> </w:t>
      </w:r>
    </w:p>
    <w:p w14:paraId="3FDD33BA"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sarclage consiste à arracher les mauvaises herbes du champ afin de faciliter le développement de la culture. La fumure par contre est l’enrichissement du sol par des apports nutritifs en engrais. Dans le cadre de la culture cotonnière, les deux activités se font pendant la même période. Le nombre de sarclages varie suivant la culture. D’une façon générale, on réalise plus de sarclage en grande saison (deux ou trois sarclages) qu’en petite saison (un ou deux sarclages). Le premier sarclage, le démariage et l’épandage d’engrais NPK (fumure de fond) ont lieu deux semaines après le semis. En fonction de la poussée de nouvelles herbes, et durant la phase active de végétation, le deuxième sarclage intervient un mois après le premier. Il est </w:t>
      </w:r>
      <w:r>
        <w:rPr>
          <w:rFonts w:ascii="Arial" w:hAnsi="Arial" w:cs="Arial"/>
          <w:sz w:val="24"/>
          <w:szCs w:val="24"/>
        </w:rPr>
        <w:lastRenderedPageBreak/>
        <w:t xml:space="preserve">couplé avec l’épandage d’urée (engrais de floraison). Quant au troisième sarclage, il est facultatif et intervient un mois après le deuxième. </w:t>
      </w:r>
    </w:p>
    <w:p w14:paraId="241629EF"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La demande en travail pour un sarclage est de 13 temporaires en moyenne et pour trois sarclages, elle est de 39 temporaires soit un coût de main-d’œuvre qui s’élève à 19.500 FCFA/ha. La fumure par contre nécessite en moyenne deux temporaires par jour pour un hectare dont leur coût de rémunération moyenne est de 2.000 FCFA soit un coût total moyen de 4.000 FCFA pour un hectare.   </w:t>
      </w:r>
    </w:p>
    <w:p w14:paraId="0153749E" w14:textId="77777777" w:rsidR="008862C7" w:rsidRDefault="008862C7" w:rsidP="008862C7">
      <w:pPr>
        <w:pStyle w:val="Paragraphedeliste"/>
        <w:numPr>
          <w:ilvl w:val="0"/>
          <w:numId w:val="33"/>
        </w:numPr>
        <w:spacing w:after="0" w:line="360" w:lineRule="auto"/>
        <w:jc w:val="both"/>
        <w:outlineLvl w:val="7"/>
        <w:rPr>
          <w:rFonts w:ascii="Arial" w:hAnsi="Arial" w:cs="Arial"/>
          <w:b/>
          <w:sz w:val="24"/>
          <w:szCs w:val="24"/>
        </w:rPr>
      </w:pPr>
      <w:bookmarkStart w:id="162" w:name="_Toc395107623"/>
      <w:r>
        <w:rPr>
          <w:rFonts w:ascii="Arial" w:hAnsi="Arial" w:cs="Arial"/>
          <w:b/>
          <w:sz w:val="24"/>
          <w:szCs w:val="24"/>
        </w:rPr>
        <w:t>Récolte</w:t>
      </w:r>
      <w:bookmarkEnd w:id="162"/>
    </w:p>
    <w:p w14:paraId="79AD8D1D"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Contrairement au pays développé où la récolte se fait essentiellement avec des machines, la récolte du coton en Afrique de l’Ouest et du Centre se fait à la main. Dans les régions cotonnières centrafricaines, la récolte se fait en deux phases. Elle est très exigeante en main-d’œuvre agricole si bien qu’à cette étape de production, les exploitations cotonnières y consacrent la majeure partie de leurs actifs, en plus de la main-d’œuvre extérieure qui est en moyenne de 12 temporaires soit un coût total de 6.000 FCFA/ha.</w:t>
      </w:r>
    </w:p>
    <w:p w14:paraId="120B88D3" w14:textId="77777777" w:rsidR="008862C7" w:rsidRDefault="008862C7" w:rsidP="008862C7">
      <w:pPr>
        <w:pStyle w:val="Paragraphedeliste"/>
        <w:numPr>
          <w:ilvl w:val="2"/>
          <w:numId w:val="34"/>
        </w:numPr>
        <w:spacing w:before="120" w:after="0" w:line="360" w:lineRule="auto"/>
        <w:jc w:val="both"/>
        <w:outlineLvl w:val="4"/>
        <w:rPr>
          <w:rFonts w:ascii="Arial" w:hAnsi="Arial" w:cs="Arial"/>
          <w:b/>
          <w:sz w:val="24"/>
          <w:szCs w:val="24"/>
        </w:rPr>
      </w:pPr>
      <w:bookmarkStart w:id="163" w:name="_Toc395107624"/>
      <w:r>
        <w:rPr>
          <w:rFonts w:ascii="Arial" w:hAnsi="Arial" w:cs="Arial"/>
          <w:b/>
          <w:sz w:val="24"/>
          <w:szCs w:val="24"/>
        </w:rPr>
        <w:t xml:space="preserve">Structures du coût de production cotonnière et </w:t>
      </w:r>
      <w:r>
        <w:rPr>
          <w:rFonts w:ascii="Arial" w:hAnsi="Arial" w:cs="Arial"/>
          <w:b/>
          <w:bCs/>
          <w:spacing w:val="1"/>
          <w:sz w:val="24"/>
          <w:szCs w:val="24"/>
        </w:rPr>
        <w:t xml:space="preserve">du </w:t>
      </w:r>
      <w:r>
        <w:rPr>
          <w:rFonts w:ascii="Arial" w:hAnsi="Arial" w:cs="Arial"/>
          <w:b/>
          <w:sz w:val="24"/>
          <w:szCs w:val="24"/>
        </w:rPr>
        <w:t>revenu des exploitations agricoles dans les régions cotonnières</w:t>
      </w:r>
      <w:bookmarkEnd w:id="163"/>
    </w:p>
    <w:p w14:paraId="5F8CCC42" w14:textId="77777777" w:rsidR="008862C7" w:rsidRDefault="008862C7" w:rsidP="008862C7">
      <w:pPr>
        <w:pStyle w:val="Paragraphedeliste"/>
        <w:widowControl w:val="0"/>
        <w:numPr>
          <w:ilvl w:val="3"/>
          <w:numId w:val="34"/>
        </w:numPr>
        <w:autoSpaceDE w:val="0"/>
        <w:autoSpaceDN w:val="0"/>
        <w:adjustRightInd w:val="0"/>
        <w:spacing w:before="120" w:after="0" w:line="360" w:lineRule="auto"/>
        <w:ind w:left="1077" w:hanging="1077"/>
        <w:jc w:val="both"/>
        <w:outlineLvl w:val="5"/>
        <w:rPr>
          <w:rFonts w:ascii="Arial" w:hAnsi="Arial" w:cs="Arial"/>
          <w:b/>
          <w:spacing w:val="1"/>
          <w:sz w:val="24"/>
          <w:szCs w:val="24"/>
        </w:rPr>
      </w:pPr>
      <w:bookmarkStart w:id="164" w:name="_Toc395107625"/>
      <w:r>
        <w:rPr>
          <w:rFonts w:ascii="Arial" w:hAnsi="Arial" w:cs="Arial"/>
          <w:b/>
          <w:sz w:val="24"/>
          <w:szCs w:val="24"/>
        </w:rPr>
        <w:t>Structures du coût de production cotonnière</w:t>
      </w:r>
      <w:bookmarkEnd w:id="164"/>
    </w:p>
    <w:p w14:paraId="3784F65D" w14:textId="77777777" w:rsidR="008862C7" w:rsidRDefault="008862C7" w:rsidP="008862C7">
      <w:pPr>
        <w:pStyle w:val="Paragraphedeliste"/>
        <w:numPr>
          <w:ilvl w:val="0"/>
          <w:numId w:val="35"/>
        </w:numPr>
        <w:spacing w:before="120" w:after="0" w:line="360" w:lineRule="auto"/>
        <w:ind w:left="714" w:hanging="357"/>
        <w:jc w:val="both"/>
        <w:outlineLvl w:val="7"/>
        <w:rPr>
          <w:rFonts w:ascii="Arial" w:hAnsi="Arial" w:cs="Arial"/>
          <w:b/>
          <w:sz w:val="24"/>
          <w:szCs w:val="24"/>
        </w:rPr>
      </w:pPr>
      <w:bookmarkStart w:id="165" w:name="_Toc395107626"/>
      <w:r>
        <w:rPr>
          <w:rFonts w:ascii="Arial" w:hAnsi="Arial" w:cs="Arial"/>
          <w:b/>
          <w:sz w:val="24"/>
          <w:szCs w:val="24"/>
        </w:rPr>
        <w:t xml:space="preserve">Mode de gestion des exploitations </w:t>
      </w:r>
      <w:r>
        <w:rPr>
          <w:rFonts w:ascii="Arial" w:hAnsi="Arial" w:cs="Arial"/>
          <w:b/>
          <w:spacing w:val="-1"/>
          <w:sz w:val="24"/>
          <w:szCs w:val="24"/>
        </w:rPr>
        <w:t xml:space="preserve">cotonnières </w:t>
      </w:r>
      <w:r>
        <w:rPr>
          <w:rFonts w:ascii="Arial" w:hAnsi="Arial" w:cs="Arial"/>
          <w:b/>
          <w:sz w:val="24"/>
          <w:szCs w:val="24"/>
        </w:rPr>
        <w:t>: division sexuelle des activités</w:t>
      </w:r>
      <w:bookmarkEnd w:id="165"/>
      <w:r>
        <w:rPr>
          <w:rFonts w:ascii="Arial" w:hAnsi="Arial" w:cs="Arial"/>
          <w:b/>
          <w:sz w:val="24"/>
          <w:szCs w:val="24"/>
        </w:rPr>
        <w:t xml:space="preserve"> </w:t>
      </w:r>
    </w:p>
    <w:p w14:paraId="02EC2754"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Dans les exploitations cotonnières, la gestion et la répartition des heures de travail prennent en compte deux facteurs principaux que sont le sexe et le type de culture au tour duquel se développent les stratégies de l’exploitation comme en témoigne le tableau ci-après.</w:t>
      </w:r>
    </w:p>
    <w:p w14:paraId="38AD7751" w14:textId="77777777" w:rsidR="008862C7" w:rsidRDefault="008862C7" w:rsidP="008862C7">
      <w:pPr>
        <w:spacing w:after="120" w:line="360" w:lineRule="auto"/>
        <w:jc w:val="both"/>
        <w:rPr>
          <w:rFonts w:ascii="Arial" w:hAnsi="Arial" w:cs="Arial"/>
          <w:sz w:val="24"/>
          <w:szCs w:val="24"/>
        </w:rPr>
      </w:pPr>
      <w:r>
        <w:rPr>
          <w:rFonts w:ascii="Arial" w:hAnsi="Arial" w:cs="Arial"/>
          <w:b/>
          <w:sz w:val="24"/>
          <w:szCs w:val="24"/>
        </w:rPr>
        <w:t>Tableau 3.2 :</w:t>
      </w:r>
      <w:r>
        <w:rPr>
          <w:rFonts w:ascii="Arial" w:hAnsi="Arial" w:cs="Arial"/>
          <w:sz w:val="24"/>
          <w:szCs w:val="24"/>
        </w:rPr>
        <w:t xml:space="preserve"> Temps de travaux en journée de travail (JT) par activité et par sexe.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gridCol w:w="2275"/>
        <w:gridCol w:w="2276"/>
      </w:tblGrid>
      <w:tr w:rsidR="008862C7" w14:paraId="61AF5E43" w14:textId="77777777" w:rsidTr="008862C7">
        <w:trPr>
          <w:trHeight w:val="387"/>
        </w:trPr>
        <w:tc>
          <w:tcPr>
            <w:tcW w:w="2275" w:type="dxa"/>
            <w:tcBorders>
              <w:top w:val="single" w:sz="4" w:space="0" w:color="auto"/>
              <w:left w:val="single" w:sz="4" w:space="0" w:color="auto"/>
              <w:bottom w:val="single" w:sz="4" w:space="0" w:color="auto"/>
              <w:right w:val="single" w:sz="4" w:space="0" w:color="auto"/>
            </w:tcBorders>
            <w:hideMark/>
          </w:tcPr>
          <w:p w14:paraId="71C721F0" w14:textId="77777777" w:rsidR="008862C7" w:rsidRDefault="008862C7">
            <w:pPr>
              <w:tabs>
                <w:tab w:val="left" w:pos="708"/>
              </w:tabs>
              <w:spacing w:before="120" w:after="0" w:line="276" w:lineRule="auto"/>
              <w:jc w:val="both"/>
              <w:rPr>
                <w:rFonts w:ascii="Arial" w:eastAsia="Times New Roman" w:hAnsi="Arial" w:cs="Arial"/>
                <w:sz w:val="24"/>
                <w:szCs w:val="24"/>
              </w:rPr>
            </w:pPr>
            <w:r>
              <w:rPr>
                <w:rFonts w:ascii="Arial" w:hAnsi="Arial" w:cs="Arial"/>
                <w:sz w:val="24"/>
                <w:szCs w:val="24"/>
              </w:rPr>
              <w:t xml:space="preserve">Variables                                                                                </w:t>
            </w:r>
          </w:p>
        </w:tc>
        <w:tc>
          <w:tcPr>
            <w:tcW w:w="2276" w:type="dxa"/>
            <w:tcBorders>
              <w:top w:val="single" w:sz="4" w:space="0" w:color="auto"/>
              <w:left w:val="single" w:sz="4" w:space="0" w:color="auto"/>
              <w:bottom w:val="single" w:sz="4" w:space="0" w:color="auto"/>
              <w:right w:val="single" w:sz="4" w:space="0" w:color="auto"/>
            </w:tcBorders>
            <w:hideMark/>
          </w:tcPr>
          <w:p w14:paraId="7F6DD7EA" w14:textId="77777777" w:rsidR="008862C7" w:rsidRDefault="008862C7">
            <w:pPr>
              <w:tabs>
                <w:tab w:val="left" w:pos="3930"/>
              </w:tabs>
              <w:spacing w:before="120" w:after="0" w:line="276" w:lineRule="auto"/>
              <w:jc w:val="center"/>
              <w:rPr>
                <w:rFonts w:ascii="Arial" w:eastAsia="Times New Roman" w:hAnsi="Arial" w:cs="Arial"/>
                <w:sz w:val="24"/>
                <w:szCs w:val="24"/>
              </w:rPr>
            </w:pPr>
            <w:r>
              <w:rPr>
                <w:rFonts w:ascii="Arial" w:hAnsi="Arial" w:cs="Arial"/>
                <w:sz w:val="24"/>
                <w:szCs w:val="24"/>
              </w:rPr>
              <w:t>Hommes</w:t>
            </w:r>
          </w:p>
        </w:tc>
        <w:tc>
          <w:tcPr>
            <w:tcW w:w="2275" w:type="dxa"/>
            <w:tcBorders>
              <w:top w:val="single" w:sz="4" w:space="0" w:color="auto"/>
              <w:left w:val="single" w:sz="4" w:space="0" w:color="auto"/>
              <w:bottom w:val="single" w:sz="4" w:space="0" w:color="auto"/>
              <w:right w:val="single" w:sz="4" w:space="0" w:color="auto"/>
            </w:tcBorders>
            <w:hideMark/>
          </w:tcPr>
          <w:p w14:paraId="34012338" w14:textId="77777777" w:rsidR="008862C7" w:rsidRDefault="008862C7">
            <w:pPr>
              <w:tabs>
                <w:tab w:val="left" w:pos="3495"/>
                <w:tab w:val="left" w:pos="5610"/>
                <w:tab w:val="left" w:pos="7890"/>
              </w:tabs>
              <w:spacing w:before="120" w:after="0" w:line="276" w:lineRule="auto"/>
              <w:jc w:val="center"/>
              <w:rPr>
                <w:rFonts w:ascii="Arial" w:eastAsia="Times New Roman" w:hAnsi="Arial" w:cs="Arial"/>
                <w:sz w:val="24"/>
                <w:szCs w:val="24"/>
              </w:rPr>
            </w:pPr>
            <w:r>
              <w:rPr>
                <w:rFonts w:ascii="Arial" w:hAnsi="Arial" w:cs="Arial"/>
                <w:sz w:val="24"/>
                <w:szCs w:val="24"/>
              </w:rPr>
              <w:t>Femme</w:t>
            </w:r>
          </w:p>
        </w:tc>
        <w:tc>
          <w:tcPr>
            <w:tcW w:w="2276" w:type="dxa"/>
            <w:tcBorders>
              <w:top w:val="single" w:sz="4" w:space="0" w:color="auto"/>
              <w:left w:val="single" w:sz="4" w:space="0" w:color="auto"/>
              <w:bottom w:val="single" w:sz="4" w:space="0" w:color="auto"/>
              <w:right w:val="single" w:sz="4" w:space="0" w:color="auto"/>
            </w:tcBorders>
            <w:hideMark/>
          </w:tcPr>
          <w:p w14:paraId="2AB0F4E2" w14:textId="77777777" w:rsidR="008862C7" w:rsidRDefault="008862C7">
            <w:pPr>
              <w:tabs>
                <w:tab w:val="left" w:pos="3495"/>
              </w:tabs>
              <w:spacing w:before="120" w:after="0" w:line="276" w:lineRule="auto"/>
              <w:jc w:val="center"/>
              <w:rPr>
                <w:rFonts w:ascii="Arial" w:eastAsia="Times New Roman" w:hAnsi="Arial" w:cs="Arial"/>
                <w:sz w:val="24"/>
                <w:szCs w:val="24"/>
              </w:rPr>
            </w:pPr>
            <w:r>
              <w:rPr>
                <w:rFonts w:ascii="Arial" w:hAnsi="Arial" w:cs="Arial"/>
                <w:sz w:val="24"/>
                <w:szCs w:val="24"/>
              </w:rPr>
              <w:t>Exploitation</w:t>
            </w:r>
          </w:p>
        </w:tc>
      </w:tr>
      <w:tr w:rsidR="008862C7" w14:paraId="07692939" w14:textId="77777777" w:rsidTr="008862C7">
        <w:trPr>
          <w:trHeight w:val="386"/>
        </w:trPr>
        <w:tc>
          <w:tcPr>
            <w:tcW w:w="2275" w:type="dxa"/>
            <w:tcBorders>
              <w:top w:val="single" w:sz="4" w:space="0" w:color="auto"/>
              <w:left w:val="single" w:sz="4" w:space="0" w:color="auto"/>
              <w:bottom w:val="single" w:sz="4" w:space="0" w:color="auto"/>
              <w:right w:val="single" w:sz="4" w:space="0" w:color="auto"/>
            </w:tcBorders>
            <w:hideMark/>
          </w:tcPr>
          <w:p w14:paraId="1FC01A37" w14:textId="77777777" w:rsidR="008862C7" w:rsidRDefault="008862C7">
            <w:pPr>
              <w:tabs>
                <w:tab w:val="left" w:pos="708"/>
              </w:tabs>
              <w:spacing w:before="120" w:after="0" w:line="276" w:lineRule="auto"/>
              <w:jc w:val="both"/>
              <w:rPr>
                <w:rFonts w:ascii="Arial" w:eastAsia="Times New Roman" w:hAnsi="Arial" w:cs="Arial"/>
                <w:sz w:val="24"/>
                <w:szCs w:val="24"/>
              </w:rPr>
            </w:pPr>
            <w:r>
              <w:rPr>
                <w:rFonts w:ascii="Arial" w:hAnsi="Arial" w:cs="Arial"/>
                <w:sz w:val="24"/>
                <w:szCs w:val="24"/>
              </w:rPr>
              <w:t>Coton</w:t>
            </w:r>
          </w:p>
        </w:tc>
        <w:tc>
          <w:tcPr>
            <w:tcW w:w="2276" w:type="dxa"/>
            <w:tcBorders>
              <w:top w:val="single" w:sz="4" w:space="0" w:color="auto"/>
              <w:left w:val="single" w:sz="4" w:space="0" w:color="auto"/>
              <w:bottom w:val="single" w:sz="4" w:space="0" w:color="auto"/>
              <w:right w:val="single" w:sz="4" w:space="0" w:color="auto"/>
            </w:tcBorders>
            <w:hideMark/>
          </w:tcPr>
          <w:p w14:paraId="27BA7CB5"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55%</w:t>
            </w:r>
          </w:p>
        </w:tc>
        <w:tc>
          <w:tcPr>
            <w:tcW w:w="2275" w:type="dxa"/>
            <w:tcBorders>
              <w:top w:val="single" w:sz="4" w:space="0" w:color="auto"/>
              <w:left w:val="single" w:sz="4" w:space="0" w:color="auto"/>
              <w:bottom w:val="single" w:sz="4" w:space="0" w:color="auto"/>
              <w:right w:val="single" w:sz="4" w:space="0" w:color="auto"/>
            </w:tcBorders>
            <w:hideMark/>
          </w:tcPr>
          <w:p w14:paraId="384F0598"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10%</w:t>
            </w:r>
          </w:p>
        </w:tc>
        <w:tc>
          <w:tcPr>
            <w:tcW w:w="2276" w:type="dxa"/>
            <w:tcBorders>
              <w:top w:val="single" w:sz="4" w:space="0" w:color="auto"/>
              <w:left w:val="single" w:sz="4" w:space="0" w:color="auto"/>
              <w:bottom w:val="single" w:sz="4" w:space="0" w:color="auto"/>
              <w:right w:val="single" w:sz="4" w:space="0" w:color="auto"/>
            </w:tcBorders>
            <w:hideMark/>
          </w:tcPr>
          <w:p w14:paraId="4A9669E4"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28%</w:t>
            </w:r>
          </w:p>
        </w:tc>
      </w:tr>
      <w:tr w:rsidR="008862C7" w14:paraId="7F258AF2" w14:textId="77777777" w:rsidTr="008862C7">
        <w:trPr>
          <w:trHeight w:val="386"/>
        </w:trPr>
        <w:tc>
          <w:tcPr>
            <w:tcW w:w="2275" w:type="dxa"/>
            <w:tcBorders>
              <w:top w:val="single" w:sz="4" w:space="0" w:color="auto"/>
              <w:left w:val="single" w:sz="4" w:space="0" w:color="auto"/>
              <w:bottom w:val="single" w:sz="4" w:space="0" w:color="auto"/>
              <w:right w:val="single" w:sz="4" w:space="0" w:color="auto"/>
            </w:tcBorders>
            <w:hideMark/>
          </w:tcPr>
          <w:p w14:paraId="685F1791" w14:textId="77777777" w:rsidR="008862C7" w:rsidRDefault="008862C7">
            <w:pPr>
              <w:tabs>
                <w:tab w:val="left" w:pos="708"/>
              </w:tabs>
              <w:spacing w:before="120" w:after="0" w:line="276" w:lineRule="auto"/>
              <w:jc w:val="both"/>
              <w:rPr>
                <w:rFonts w:ascii="Arial" w:eastAsia="Times New Roman" w:hAnsi="Arial" w:cs="Arial"/>
                <w:sz w:val="24"/>
                <w:szCs w:val="24"/>
              </w:rPr>
            </w:pPr>
            <w:r>
              <w:rPr>
                <w:rFonts w:ascii="Arial" w:hAnsi="Arial" w:cs="Arial"/>
                <w:sz w:val="24"/>
                <w:szCs w:val="24"/>
              </w:rPr>
              <w:t xml:space="preserve">Vivriers   </w:t>
            </w:r>
          </w:p>
        </w:tc>
        <w:tc>
          <w:tcPr>
            <w:tcW w:w="2276" w:type="dxa"/>
            <w:tcBorders>
              <w:top w:val="single" w:sz="4" w:space="0" w:color="auto"/>
              <w:left w:val="single" w:sz="4" w:space="0" w:color="auto"/>
              <w:bottom w:val="single" w:sz="4" w:space="0" w:color="auto"/>
              <w:right w:val="single" w:sz="4" w:space="0" w:color="auto"/>
            </w:tcBorders>
            <w:hideMark/>
          </w:tcPr>
          <w:p w14:paraId="231807CB"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20%</w:t>
            </w:r>
          </w:p>
        </w:tc>
        <w:tc>
          <w:tcPr>
            <w:tcW w:w="2275" w:type="dxa"/>
            <w:tcBorders>
              <w:top w:val="single" w:sz="4" w:space="0" w:color="auto"/>
              <w:left w:val="single" w:sz="4" w:space="0" w:color="auto"/>
              <w:bottom w:val="single" w:sz="4" w:space="0" w:color="auto"/>
              <w:right w:val="single" w:sz="4" w:space="0" w:color="auto"/>
            </w:tcBorders>
            <w:hideMark/>
          </w:tcPr>
          <w:p w14:paraId="6BEFC2B9"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77%</w:t>
            </w:r>
          </w:p>
        </w:tc>
        <w:tc>
          <w:tcPr>
            <w:tcW w:w="2276" w:type="dxa"/>
            <w:tcBorders>
              <w:top w:val="single" w:sz="4" w:space="0" w:color="auto"/>
              <w:left w:val="single" w:sz="4" w:space="0" w:color="auto"/>
              <w:bottom w:val="single" w:sz="4" w:space="0" w:color="auto"/>
              <w:right w:val="single" w:sz="4" w:space="0" w:color="auto"/>
            </w:tcBorders>
            <w:hideMark/>
          </w:tcPr>
          <w:p w14:paraId="680E1416"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51%</w:t>
            </w:r>
          </w:p>
        </w:tc>
      </w:tr>
      <w:tr w:rsidR="008862C7" w14:paraId="110CDFEC" w14:textId="77777777" w:rsidTr="008862C7">
        <w:trPr>
          <w:trHeight w:val="386"/>
        </w:trPr>
        <w:tc>
          <w:tcPr>
            <w:tcW w:w="2275" w:type="dxa"/>
            <w:tcBorders>
              <w:top w:val="single" w:sz="4" w:space="0" w:color="auto"/>
              <w:left w:val="single" w:sz="4" w:space="0" w:color="auto"/>
              <w:bottom w:val="single" w:sz="4" w:space="0" w:color="auto"/>
              <w:right w:val="single" w:sz="4" w:space="0" w:color="auto"/>
            </w:tcBorders>
            <w:hideMark/>
          </w:tcPr>
          <w:p w14:paraId="5E5068E3" w14:textId="77777777" w:rsidR="008862C7" w:rsidRDefault="008862C7">
            <w:pPr>
              <w:tabs>
                <w:tab w:val="left" w:pos="708"/>
              </w:tabs>
              <w:spacing w:before="120" w:after="0" w:line="276" w:lineRule="auto"/>
              <w:jc w:val="both"/>
              <w:rPr>
                <w:rFonts w:ascii="Arial" w:eastAsia="Times New Roman" w:hAnsi="Arial" w:cs="Arial"/>
                <w:sz w:val="24"/>
                <w:szCs w:val="24"/>
              </w:rPr>
            </w:pPr>
            <w:r>
              <w:rPr>
                <w:rFonts w:ascii="Arial" w:hAnsi="Arial" w:cs="Arial"/>
                <w:sz w:val="24"/>
                <w:szCs w:val="24"/>
              </w:rPr>
              <w:t>Autres</w:t>
            </w:r>
          </w:p>
        </w:tc>
        <w:tc>
          <w:tcPr>
            <w:tcW w:w="2276" w:type="dxa"/>
            <w:tcBorders>
              <w:top w:val="single" w:sz="4" w:space="0" w:color="auto"/>
              <w:left w:val="single" w:sz="4" w:space="0" w:color="auto"/>
              <w:bottom w:val="single" w:sz="4" w:space="0" w:color="auto"/>
              <w:right w:val="single" w:sz="4" w:space="0" w:color="auto"/>
            </w:tcBorders>
            <w:hideMark/>
          </w:tcPr>
          <w:p w14:paraId="4DD4B9C9"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22%</w:t>
            </w:r>
          </w:p>
        </w:tc>
        <w:tc>
          <w:tcPr>
            <w:tcW w:w="2275" w:type="dxa"/>
            <w:tcBorders>
              <w:top w:val="single" w:sz="4" w:space="0" w:color="auto"/>
              <w:left w:val="single" w:sz="4" w:space="0" w:color="auto"/>
              <w:bottom w:val="single" w:sz="4" w:space="0" w:color="auto"/>
              <w:right w:val="single" w:sz="4" w:space="0" w:color="auto"/>
            </w:tcBorders>
            <w:hideMark/>
          </w:tcPr>
          <w:p w14:paraId="74E82E61"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12%</w:t>
            </w:r>
          </w:p>
        </w:tc>
        <w:tc>
          <w:tcPr>
            <w:tcW w:w="2276" w:type="dxa"/>
            <w:tcBorders>
              <w:top w:val="single" w:sz="4" w:space="0" w:color="auto"/>
              <w:left w:val="single" w:sz="4" w:space="0" w:color="auto"/>
              <w:bottom w:val="single" w:sz="4" w:space="0" w:color="auto"/>
              <w:right w:val="single" w:sz="4" w:space="0" w:color="auto"/>
            </w:tcBorders>
            <w:hideMark/>
          </w:tcPr>
          <w:p w14:paraId="0A4841B1" w14:textId="77777777" w:rsidR="008862C7" w:rsidRDefault="008862C7">
            <w:pPr>
              <w:tabs>
                <w:tab w:val="left" w:pos="708"/>
              </w:tabs>
              <w:spacing w:before="120" w:after="0" w:line="276" w:lineRule="auto"/>
              <w:jc w:val="center"/>
              <w:rPr>
                <w:rFonts w:ascii="Arial" w:eastAsia="Times New Roman" w:hAnsi="Arial" w:cs="Arial"/>
                <w:sz w:val="24"/>
                <w:szCs w:val="24"/>
              </w:rPr>
            </w:pPr>
            <w:r>
              <w:rPr>
                <w:rFonts w:ascii="Arial" w:hAnsi="Arial" w:cs="Arial"/>
                <w:sz w:val="24"/>
                <w:szCs w:val="24"/>
              </w:rPr>
              <w:t>21%</w:t>
            </w:r>
          </w:p>
        </w:tc>
      </w:tr>
    </w:tbl>
    <w:p w14:paraId="35F71230"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Source : Mbétid-Bessane, 2004</w:t>
      </w:r>
    </w:p>
    <w:p w14:paraId="628190C7" w14:textId="77777777" w:rsidR="008862C7" w:rsidRDefault="008862C7" w:rsidP="008862C7">
      <w:pPr>
        <w:spacing w:before="120" w:after="120" w:line="360" w:lineRule="auto"/>
        <w:jc w:val="both"/>
        <w:rPr>
          <w:rFonts w:ascii="Arial" w:hAnsi="Arial" w:cs="Arial"/>
          <w:sz w:val="24"/>
          <w:szCs w:val="24"/>
        </w:rPr>
      </w:pPr>
      <w:r>
        <w:rPr>
          <w:rFonts w:ascii="Arial" w:hAnsi="Arial" w:cs="Arial"/>
          <w:sz w:val="24"/>
          <w:szCs w:val="24"/>
        </w:rPr>
        <w:t xml:space="preserve">Le coton est une culture à dominante masculine, 97% de producteurs à stratégie cotonnière intensive sont des hommes (Mbétid-Bessane, 2010) contrairement aux cultures vivrières où les femmes y consacrent un peu plus de 75% de leur temps de travaux </w:t>
      </w:r>
      <w:r w:rsidR="005C0325">
        <w:rPr>
          <w:rFonts w:ascii="Arial" w:hAnsi="Arial" w:cs="Arial"/>
          <w:sz w:val="24"/>
          <w:szCs w:val="24"/>
        </w:rPr>
        <w:t>quel que</w:t>
      </w:r>
      <w:r>
        <w:rPr>
          <w:rFonts w:ascii="Arial" w:hAnsi="Arial" w:cs="Arial"/>
          <w:sz w:val="24"/>
          <w:szCs w:val="24"/>
        </w:rPr>
        <w:t xml:space="preserve"> soit le type d’exploitation. Les hommes par contre consacrent 50% de leur temps de travaux à la production </w:t>
      </w:r>
      <w:r>
        <w:rPr>
          <w:rFonts w:ascii="Arial" w:hAnsi="Arial" w:cs="Arial"/>
          <w:sz w:val="24"/>
          <w:szCs w:val="24"/>
        </w:rPr>
        <w:lastRenderedPageBreak/>
        <w:t>cotonnière si celle-ci constitue la principale spéculation au tour de laquelle l’exploitation développe sa stratégie.</w:t>
      </w:r>
    </w:p>
    <w:p w14:paraId="1F9C1E3A" w14:textId="77777777" w:rsidR="008862C7" w:rsidRDefault="008862C7" w:rsidP="008862C7">
      <w:pPr>
        <w:pStyle w:val="Paragraphedeliste"/>
        <w:numPr>
          <w:ilvl w:val="0"/>
          <w:numId w:val="35"/>
        </w:numPr>
        <w:spacing w:after="0" w:line="360" w:lineRule="auto"/>
        <w:jc w:val="both"/>
        <w:outlineLvl w:val="7"/>
        <w:rPr>
          <w:rFonts w:ascii="Arial" w:hAnsi="Arial" w:cs="Arial"/>
          <w:b/>
          <w:sz w:val="24"/>
          <w:szCs w:val="24"/>
        </w:rPr>
      </w:pPr>
      <w:bookmarkStart w:id="166" w:name="_Toc395107627"/>
      <w:r>
        <w:rPr>
          <w:rFonts w:ascii="Arial" w:hAnsi="Arial" w:cs="Arial"/>
          <w:b/>
          <w:sz w:val="24"/>
          <w:szCs w:val="24"/>
        </w:rPr>
        <w:t>Gestion de la main d’œuvre agricole</w:t>
      </w:r>
      <w:bookmarkEnd w:id="166"/>
      <w:r>
        <w:rPr>
          <w:rFonts w:ascii="Arial" w:hAnsi="Arial" w:cs="Arial"/>
          <w:b/>
          <w:sz w:val="24"/>
          <w:szCs w:val="24"/>
        </w:rPr>
        <w:t> </w:t>
      </w:r>
    </w:p>
    <w:p w14:paraId="43405B2E" w14:textId="77777777" w:rsidR="008862C7" w:rsidRDefault="008862C7" w:rsidP="008862C7">
      <w:pPr>
        <w:spacing w:before="240" w:after="120" w:line="360" w:lineRule="auto"/>
        <w:jc w:val="both"/>
        <w:rPr>
          <w:rFonts w:ascii="Arial" w:hAnsi="Arial" w:cs="Arial"/>
          <w:sz w:val="24"/>
          <w:szCs w:val="24"/>
        </w:rPr>
      </w:pPr>
      <w:r>
        <w:rPr>
          <w:rFonts w:ascii="Arial" w:hAnsi="Arial" w:cs="Arial"/>
          <w:sz w:val="24"/>
          <w:szCs w:val="24"/>
        </w:rPr>
        <w:t xml:space="preserve">L’étude des caractéristiques socio-économiques des exploitations cotonnières en RCA révèle une faiblesse de l’actif agricole familial. Ceci justifie le recours très fréquent à la main-d’œuvre extérieure des exploitations cotonnières. Ainsi, comme tout agent économique rationnel, les chefs des exploitations cotonnières ont tendance à faire un arbitrage optimal dans l’allocation de la main-d’œuvre disponible entre les différentes activités de l’exploitation. </w:t>
      </w:r>
    </w:p>
    <w:p w14:paraId="16F6D1D3" w14:textId="77777777" w:rsidR="005C0325" w:rsidRDefault="005C0325" w:rsidP="008862C7">
      <w:pPr>
        <w:spacing w:before="240" w:after="120" w:line="360" w:lineRule="auto"/>
        <w:jc w:val="both"/>
        <w:rPr>
          <w:rFonts w:ascii="Arial" w:hAnsi="Arial" w:cs="Arial"/>
          <w:sz w:val="24"/>
          <w:szCs w:val="24"/>
        </w:rPr>
      </w:pPr>
      <w:r>
        <w:rPr>
          <w:noProof/>
          <w:lang w:eastAsia="fr-FR"/>
        </w:rPr>
        <w:drawing>
          <wp:anchor distT="0" distB="381" distL="114300" distR="114300" simplePos="0" relativeHeight="251673600" behindDoc="0" locked="0" layoutInCell="1" allowOverlap="1" wp14:anchorId="5E94788D" wp14:editId="00E1A01A">
            <wp:simplePos x="0" y="0"/>
            <wp:positionH relativeFrom="column">
              <wp:posOffset>361315</wp:posOffset>
            </wp:positionH>
            <wp:positionV relativeFrom="paragraph">
              <wp:posOffset>192405</wp:posOffset>
            </wp:positionV>
            <wp:extent cx="5754370" cy="2694305"/>
            <wp:effectExtent l="0" t="0" r="17780" b="10795"/>
            <wp:wrapSquare wrapText="bothSides"/>
            <wp:docPr id="139" name="Graphique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5DC4487" w14:textId="77777777" w:rsidR="005C0325" w:rsidRDefault="005C0325" w:rsidP="008862C7">
      <w:pPr>
        <w:spacing w:before="240" w:after="120" w:line="360" w:lineRule="auto"/>
        <w:jc w:val="both"/>
        <w:rPr>
          <w:rFonts w:ascii="Arial" w:hAnsi="Arial" w:cs="Arial"/>
          <w:sz w:val="24"/>
          <w:szCs w:val="24"/>
        </w:rPr>
      </w:pPr>
    </w:p>
    <w:p w14:paraId="3E3D9D59" w14:textId="77777777" w:rsidR="005C0325" w:rsidRDefault="005C0325" w:rsidP="008862C7">
      <w:pPr>
        <w:spacing w:before="240" w:after="120" w:line="360" w:lineRule="auto"/>
        <w:jc w:val="both"/>
        <w:rPr>
          <w:rFonts w:ascii="Arial" w:hAnsi="Arial" w:cs="Arial"/>
          <w:sz w:val="24"/>
          <w:szCs w:val="24"/>
        </w:rPr>
      </w:pPr>
    </w:p>
    <w:p w14:paraId="5CCA42E9" w14:textId="77777777" w:rsidR="005C0325" w:rsidRDefault="005C0325" w:rsidP="008862C7">
      <w:pPr>
        <w:spacing w:before="240" w:after="120" w:line="360" w:lineRule="auto"/>
        <w:jc w:val="both"/>
        <w:rPr>
          <w:rFonts w:ascii="Arial" w:hAnsi="Arial" w:cs="Arial"/>
          <w:sz w:val="24"/>
          <w:szCs w:val="24"/>
        </w:rPr>
      </w:pPr>
    </w:p>
    <w:p w14:paraId="5675CDD8" w14:textId="77777777" w:rsidR="005C0325" w:rsidRDefault="005C0325" w:rsidP="008862C7">
      <w:pPr>
        <w:spacing w:before="240" w:after="120" w:line="360" w:lineRule="auto"/>
        <w:jc w:val="both"/>
        <w:rPr>
          <w:rFonts w:ascii="Arial" w:hAnsi="Arial" w:cs="Arial"/>
          <w:sz w:val="24"/>
          <w:szCs w:val="24"/>
        </w:rPr>
      </w:pPr>
    </w:p>
    <w:p w14:paraId="0066B236" w14:textId="77777777" w:rsidR="005C0325" w:rsidRDefault="005C0325" w:rsidP="008862C7">
      <w:pPr>
        <w:spacing w:before="240" w:after="120" w:line="360" w:lineRule="auto"/>
        <w:jc w:val="both"/>
        <w:rPr>
          <w:rFonts w:ascii="Arial" w:hAnsi="Arial" w:cs="Arial"/>
          <w:sz w:val="24"/>
          <w:szCs w:val="24"/>
        </w:rPr>
      </w:pPr>
    </w:p>
    <w:p w14:paraId="7ECF73D1" w14:textId="77777777" w:rsidR="005C0325" w:rsidRDefault="005C0325" w:rsidP="008862C7">
      <w:pPr>
        <w:spacing w:before="240" w:after="120" w:line="360" w:lineRule="auto"/>
        <w:jc w:val="both"/>
        <w:rPr>
          <w:rFonts w:ascii="Arial" w:hAnsi="Arial" w:cs="Arial"/>
          <w:sz w:val="24"/>
          <w:szCs w:val="24"/>
        </w:rPr>
      </w:pPr>
    </w:p>
    <w:p w14:paraId="779B0D96" w14:textId="77777777" w:rsidR="005C0325" w:rsidRDefault="005C0325" w:rsidP="008862C7">
      <w:pPr>
        <w:spacing w:after="120" w:line="360" w:lineRule="auto"/>
        <w:jc w:val="both"/>
        <w:rPr>
          <w:rFonts w:ascii="Arial" w:hAnsi="Arial" w:cs="Arial"/>
          <w:sz w:val="24"/>
          <w:szCs w:val="24"/>
        </w:rPr>
      </w:pPr>
    </w:p>
    <w:p w14:paraId="12653B0A"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La main-d’œuvre familiale ne représente que 58% du temps de travail demandé qui s’exprime par le besoin en main-d’œuvre extérieure, pour toute l’exploitation. Pour combler le déficit en travail de leur exploitation qui est de 42%, les producteurs de coton ont recours à la main-d’œuvre extérieure sous différentes formes. On compte trois formes de recours à la main-d’œuvre extérieure avec une proportion de 30% pour l’invitation, 7% pour le salariat et 5% pour l’entraide. </w:t>
      </w:r>
    </w:p>
    <w:p w14:paraId="5096B8BC"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Pour que l’allocation de la main-d’œuvre dans le temps soit optimale, elle ne doit pas être statique, mais plutôt dynamique, prenant en compte l’exigence en main-d’œuvre des différentes étapes du cycle cultural (itinéraire technique) du coton et les périodes de l’année auxquelles elles interviennent.  </w:t>
      </w:r>
    </w:p>
    <w:p w14:paraId="4139F6CA"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Ainsi, pendant les périodes des activités les plus exigeantes en termes de main-d’œuvre (préparation du sol, sarclage et semis), les producteurs de coton ont tendance à consacrer </w:t>
      </w:r>
      <w:r>
        <w:rPr>
          <w:rFonts w:ascii="Arial" w:hAnsi="Arial" w:cs="Arial"/>
          <w:sz w:val="24"/>
          <w:szCs w:val="24"/>
        </w:rPr>
        <w:lastRenderedPageBreak/>
        <w:t xml:space="preserve">beaucoup plus leur actif agricole ainsi que la main-d’œuvre extérieure à la culture du coton, pendant que les autres activités sont en veille. </w:t>
      </w:r>
    </w:p>
    <w:p w14:paraId="67BD6BD6" w14:textId="77777777" w:rsidR="008862C7" w:rsidRDefault="008862C7" w:rsidP="008862C7">
      <w:pPr>
        <w:spacing w:after="0" w:line="360" w:lineRule="auto"/>
        <w:jc w:val="both"/>
        <w:rPr>
          <w:rFonts w:ascii="Arial" w:hAnsi="Arial" w:cs="Arial"/>
          <w:sz w:val="24"/>
          <w:szCs w:val="24"/>
        </w:rPr>
      </w:pPr>
      <w:r>
        <w:rPr>
          <w:rFonts w:ascii="Arial" w:hAnsi="Arial" w:cs="Arial"/>
          <w:b/>
          <w:bCs/>
          <w:sz w:val="24"/>
          <w:szCs w:val="24"/>
        </w:rPr>
        <w:t xml:space="preserve">Graphique 3.6: </w:t>
      </w:r>
      <w:r>
        <w:rPr>
          <w:rFonts w:ascii="Arial" w:hAnsi="Arial" w:cs="Arial"/>
          <w:sz w:val="24"/>
          <w:szCs w:val="24"/>
        </w:rPr>
        <w:t xml:space="preserve">Répartition de la main-d'œuvre extérieure entre les activités </w:t>
      </w:r>
    </w:p>
    <w:p w14:paraId="68DEE361" w14:textId="77777777" w:rsidR="008862C7" w:rsidRDefault="008862C7" w:rsidP="008862C7">
      <w:pPr>
        <w:spacing w:after="0" w:line="360" w:lineRule="auto"/>
        <w:jc w:val="both"/>
        <w:rPr>
          <w:rFonts w:ascii="Arial" w:hAnsi="Arial" w:cs="Arial"/>
          <w:sz w:val="24"/>
          <w:szCs w:val="24"/>
        </w:rPr>
      </w:pPr>
      <w:r>
        <w:rPr>
          <w:rFonts w:ascii="Calibri" w:eastAsia="Times New Roman" w:hAnsi="Calibri" w:cs="Times New Roman"/>
          <w:noProof/>
          <w:lang w:eastAsia="fr-FR"/>
        </w:rPr>
        <w:drawing>
          <wp:inline distT="0" distB="0" distL="0" distR="0" wp14:anchorId="6AC7C7FB" wp14:editId="0D4FCD6B">
            <wp:extent cx="5747385" cy="2018665"/>
            <wp:effectExtent l="0" t="0" r="5715" b="635"/>
            <wp:docPr id="68" name="Graphique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C5FCFE"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déficit en travail se fait sentir lors de la réalisation des opérations nécessitant une équipe de travail ou lorsque l’exploitation a acquis un retard dans la réalisation du calendrier cultural. Ainsi sur les 42% de main-d’œuvre extérieure, 51% sont destinés au sarclage (sarclage et fumure), 29% à la préparation du sol (défrichage, endainage, brulis et labour), 15% aux récoltes et 5% aux semis.</w:t>
      </w:r>
    </w:p>
    <w:p w14:paraId="4B8786A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Comme dans tout processus de production, les producteurs de coton pour obtenir un output doivent faire intervenir des facteurs de production. Seulement, ces inputs ont un coût d’acquisition que ces derniers doivent supporter dans leur processus de production. Ces inputs vont des intrants chimiques à la main-d’œuvre agricole en passant par les matériels agricoles et les coûts divers.  </w:t>
      </w:r>
    </w:p>
    <w:p w14:paraId="29464BA1" w14:textId="77777777" w:rsidR="008862C7" w:rsidRDefault="008862C7" w:rsidP="008862C7">
      <w:pPr>
        <w:pStyle w:val="Paragraphedeliste"/>
        <w:numPr>
          <w:ilvl w:val="0"/>
          <w:numId w:val="36"/>
        </w:numPr>
        <w:spacing w:before="120" w:after="0" w:line="360" w:lineRule="auto"/>
        <w:jc w:val="both"/>
        <w:outlineLvl w:val="7"/>
        <w:rPr>
          <w:rFonts w:ascii="Arial" w:hAnsi="Arial" w:cs="Arial"/>
          <w:b/>
          <w:sz w:val="24"/>
          <w:szCs w:val="24"/>
        </w:rPr>
      </w:pPr>
      <w:bookmarkStart w:id="167" w:name="_Toc395107628"/>
      <w:r>
        <w:rPr>
          <w:rFonts w:ascii="Arial" w:hAnsi="Arial" w:cs="Arial"/>
          <w:b/>
          <w:sz w:val="24"/>
          <w:szCs w:val="24"/>
        </w:rPr>
        <w:t>Intrants agricoles</w:t>
      </w:r>
      <w:bookmarkEnd w:id="167"/>
    </w:p>
    <w:p w14:paraId="08D01C7C"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La production cotonnière nécessite l’emploi des intrants chimiques et biologiques que sont principalement l’engrais, l’insecticide et les semences. Essentiellement fournis par la société cotonnière, ces intrants sont octroyés à crédit.  Le remboursement s’effectue lors du paiement du coton graine. Les coûts de ces intrants sont consignés dans le tableau suivant. </w:t>
      </w:r>
    </w:p>
    <w:p w14:paraId="32E16EFB"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 xml:space="preserve">Tableaux 3.3 : </w:t>
      </w:r>
      <w:r>
        <w:rPr>
          <w:rFonts w:ascii="Arial" w:hAnsi="Arial" w:cs="Arial"/>
          <w:sz w:val="24"/>
          <w:szCs w:val="24"/>
        </w:rPr>
        <w:t>Coût moyen des intrants agricoles par ha dans les exploitations enquêtées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071"/>
        <w:gridCol w:w="3071"/>
      </w:tblGrid>
      <w:tr w:rsidR="008862C7" w14:paraId="598818CA" w14:textId="77777777" w:rsidTr="008862C7">
        <w:tc>
          <w:tcPr>
            <w:tcW w:w="2962" w:type="dxa"/>
            <w:tcBorders>
              <w:top w:val="single" w:sz="4" w:space="0" w:color="auto"/>
              <w:left w:val="single" w:sz="4" w:space="0" w:color="auto"/>
              <w:bottom w:val="single" w:sz="4" w:space="0" w:color="auto"/>
              <w:right w:val="single" w:sz="4" w:space="0" w:color="auto"/>
            </w:tcBorders>
            <w:hideMark/>
          </w:tcPr>
          <w:p w14:paraId="0D6B53ED" w14:textId="77777777" w:rsidR="008862C7" w:rsidRDefault="008862C7">
            <w:pPr>
              <w:tabs>
                <w:tab w:val="left" w:pos="708"/>
              </w:tabs>
              <w:spacing w:after="0" w:line="240" w:lineRule="auto"/>
              <w:jc w:val="both"/>
              <w:rPr>
                <w:rFonts w:ascii="Arial" w:eastAsia="Times New Roman" w:hAnsi="Arial" w:cs="Arial"/>
                <w:sz w:val="20"/>
                <w:szCs w:val="24"/>
              </w:rPr>
            </w:pPr>
            <w:r>
              <w:rPr>
                <w:rFonts w:ascii="Arial" w:hAnsi="Arial" w:cs="Arial"/>
                <w:sz w:val="24"/>
                <w:szCs w:val="24"/>
              </w:rPr>
              <w:t>Type d’Intrants</w:t>
            </w:r>
          </w:p>
        </w:tc>
        <w:tc>
          <w:tcPr>
            <w:tcW w:w="3071" w:type="dxa"/>
            <w:tcBorders>
              <w:top w:val="single" w:sz="4" w:space="0" w:color="auto"/>
              <w:left w:val="single" w:sz="4" w:space="0" w:color="auto"/>
              <w:bottom w:val="single" w:sz="4" w:space="0" w:color="auto"/>
              <w:right w:val="single" w:sz="4" w:space="0" w:color="auto"/>
            </w:tcBorders>
            <w:hideMark/>
          </w:tcPr>
          <w:p w14:paraId="697F5C2C"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Consommation à l’hectare</w:t>
            </w:r>
          </w:p>
        </w:tc>
        <w:tc>
          <w:tcPr>
            <w:tcW w:w="3071" w:type="dxa"/>
            <w:tcBorders>
              <w:top w:val="single" w:sz="4" w:space="0" w:color="auto"/>
              <w:left w:val="single" w:sz="4" w:space="0" w:color="auto"/>
              <w:bottom w:val="single" w:sz="4" w:space="0" w:color="auto"/>
              <w:right w:val="single" w:sz="4" w:space="0" w:color="auto"/>
            </w:tcBorders>
            <w:hideMark/>
          </w:tcPr>
          <w:p w14:paraId="56000336"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Coût total moyen  (FCFA)</w:t>
            </w:r>
          </w:p>
        </w:tc>
      </w:tr>
      <w:tr w:rsidR="008862C7" w14:paraId="59E1AFA8" w14:textId="77777777" w:rsidTr="008862C7">
        <w:tc>
          <w:tcPr>
            <w:tcW w:w="2962" w:type="dxa"/>
            <w:tcBorders>
              <w:top w:val="single" w:sz="4" w:space="0" w:color="auto"/>
              <w:left w:val="single" w:sz="4" w:space="0" w:color="auto"/>
              <w:bottom w:val="single" w:sz="4" w:space="0" w:color="auto"/>
              <w:right w:val="single" w:sz="4" w:space="0" w:color="auto"/>
            </w:tcBorders>
            <w:hideMark/>
          </w:tcPr>
          <w:p w14:paraId="552BE5FB" w14:textId="77777777" w:rsidR="008862C7" w:rsidRDefault="008862C7">
            <w:pPr>
              <w:tabs>
                <w:tab w:val="left" w:pos="708"/>
              </w:tabs>
              <w:spacing w:after="0" w:line="240" w:lineRule="auto"/>
              <w:jc w:val="both"/>
              <w:rPr>
                <w:rFonts w:ascii="Arial" w:eastAsia="Times New Roman" w:hAnsi="Arial" w:cs="Arial"/>
                <w:sz w:val="20"/>
                <w:szCs w:val="24"/>
              </w:rPr>
            </w:pPr>
            <w:r>
              <w:rPr>
                <w:rFonts w:ascii="Arial" w:hAnsi="Arial" w:cs="Arial"/>
                <w:sz w:val="24"/>
                <w:szCs w:val="24"/>
              </w:rPr>
              <w:t>Semence</w:t>
            </w:r>
          </w:p>
        </w:tc>
        <w:tc>
          <w:tcPr>
            <w:tcW w:w="3071" w:type="dxa"/>
            <w:tcBorders>
              <w:top w:val="single" w:sz="4" w:space="0" w:color="auto"/>
              <w:left w:val="single" w:sz="4" w:space="0" w:color="auto"/>
              <w:bottom w:val="single" w:sz="4" w:space="0" w:color="auto"/>
              <w:right w:val="single" w:sz="4" w:space="0" w:color="auto"/>
            </w:tcBorders>
            <w:hideMark/>
          </w:tcPr>
          <w:p w14:paraId="1022BDE8"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35 kg</w:t>
            </w:r>
          </w:p>
        </w:tc>
        <w:tc>
          <w:tcPr>
            <w:tcW w:w="3071" w:type="dxa"/>
            <w:tcBorders>
              <w:top w:val="single" w:sz="4" w:space="0" w:color="auto"/>
              <w:left w:val="single" w:sz="4" w:space="0" w:color="auto"/>
              <w:bottom w:val="single" w:sz="4" w:space="0" w:color="auto"/>
              <w:right w:val="single" w:sz="4" w:space="0" w:color="auto"/>
            </w:tcBorders>
            <w:hideMark/>
          </w:tcPr>
          <w:p w14:paraId="1FDC1A17"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0</w:t>
            </w:r>
          </w:p>
        </w:tc>
      </w:tr>
      <w:tr w:rsidR="008862C7" w14:paraId="5E837DEE" w14:textId="77777777" w:rsidTr="008862C7">
        <w:trPr>
          <w:trHeight w:val="446"/>
        </w:trPr>
        <w:tc>
          <w:tcPr>
            <w:tcW w:w="2962" w:type="dxa"/>
            <w:tcBorders>
              <w:top w:val="single" w:sz="4" w:space="0" w:color="auto"/>
              <w:left w:val="single" w:sz="4" w:space="0" w:color="auto"/>
              <w:bottom w:val="single" w:sz="4" w:space="0" w:color="auto"/>
              <w:right w:val="single" w:sz="4" w:space="0" w:color="auto"/>
            </w:tcBorders>
            <w:hideMark/>
          </w:tcPr>
          <w:p w14:paraId="421CAEED" w14:textId="77777777" w:rsidR="008862C7" w:rsidRDefault="008862C7">
            <w:pPr>
              <w:tabs>
                <w:tab w:val="left" w:pos="708"/>
              </w:tabs>
              <w:spacing w:after="0" w:line="240" w:lineRule="auto"/>
              <w:jc w:val="both"/>
              <w:rPr>
                <w:rFonts w:ascii="Arial" w:eastAsia="Times New Roman" w:hAnsi="Arial" w:cs="Arial"/>
                <w:sz w:val="20"/>
                <w:szCs w:val="24"/>
              </w:rPr>
            </w:pPr>
            <w:r>
              <w:rPr>
                <w:rFonts w:ascii="Arial" w:hAnsi="Arial" w:cs="Arial"/>
                <w:sz w:val="24"/>
                <w:szCs w:val="24"/>
              </w:rPr>
              <w:t xml:space="preserve">Emballage semence           </w:t>
            </w:r>
          </w:p>
        </w:tc>
        <w:tc>
          <w:tcPr>
            <w:tcW w:w="3071" w:type="dxa"/>
            <w:tcBorders>
              <w:top w:val="single" w:sz="4" w:space="0" w:color="auto"/>
              <w:left w:val="single" w:sz="4" w:space="0" w:color="auto"/>
              <w:bottom w:val="single" w:sz="4" w:space="0" w:color="auto"/>
              <w:right w:val="single" w:sz="4" w:space="0" w:color="auto"/>
            </w:tcBorders>
            <w:hideMark/>
          </w:tcPr>
          <w:p w14:paraId="616F8D57"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1</w:t>
            </w:r>
          </w:p>
        </w:tc>
        <w:tc>
          <w:tcPr>
            <w:tcW w:w="3071" w:type="dxa"/>
            <w:tcBorders>
              <w:top w:val="single" w:sz="4" w:space="0" w:color="auto"/>
              <w:left w:val="single" w:sz="4" w:space="0" w:color="auto"/>
              <w:bottom w:val="single" w:sz="4" w:space="0" w:color="auto"/>
              <w:right w:val="single" w:sz="4" w:space="0" w:color="auto"/>
            </w:tcBorders>
            <w:hideMark/>
          </w:tcPr>
          <w:p w14:paraId="0F8E3B3E"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245</w:t>
            </w:r>
          </w:p>
        </w:tc>
      </w:tr>
      <w:tr w:rsidR="008862C7" w14:paraId="247C4CF7" w14:textId="77777777" w:rsidTr="008862C7">
        <w:tc>
          <w:tcPr>
            <w:tcW w:w="2962" w:type="dxa"/>
            <w:tcBorders>
              <w:top w:val="single" w:sz="4" w:space="0" w:color="auto"/>
              <w:left w:val="single" w:sz="4" w:space="0" w:color="auto"/>
              <w:bottom w:val="single" w:sz="4" w:space="0" w:color="auto"/>
              <w:right w:val="single" w:sz="4" w:space="0" w:color="auto"/>
            </w:tcBorders>
            <w:hideMark/>
          </w:tcPr>
          <w:p w14:paraId="75830D71" w14:textId="77777777" w:rsidR="008862C7" w:rsidRDefault="008862C7">
            <w:pPr>
              <w:tabs>
                <w:tab w:val="left" w:pos="708"/>
              </w:tabs>
              <w:spacing w:after="0" w:line="240" w:lineRule="auto"/>
              <w:jc w:val="both"/>
              <w:rPr>
                <w:rFonts w:ascii="Arial" w:eastAsia="Times New Roman" w:hAnsi="Arial" w:cs="Arial"/>
                <w:sz w:val="20"/>
                <w:szCs w:val="24"/>
              </w:rPr>
            </w:pPr>
            <w:r>
              <w:rPr>
                <w:rFonts w:ascii="Arial" w:hAnsi="Arial" w:cs="Arial"/>
                <w:sz w:val="24"/>
                <w:szCs w:val="24"/>
              </w:rPr>
              <w:t>Engrais</w:t>
            </w:r>
          </w:p>
        </w:tc>
        <w:tc>
          <w:tcPr>
            <w:tcW w:w="3071" w:type="dxa"/>
            <w:tcBorders>
              <w:top w:val="single" w:sz="4" w:space="0" w:color="auto"/>
              <w:left w:val="single" w:sz="4" w:space="0" w:color="auto"/>
              <w:bottom w:val="single" w:sz="4" w:space="0" w:color="auto"/>
              <w:right w:val="single" w:sz="4" w:space="0" w:color="auto"/>
            </w:tcBorders>
            <w:hideMark/>
          </w:tcPr>
          <w:p w14:paraId="3FA79D2A"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31 kg</w:t>
            </w:r>
          </w:p>
        </w:tc>
        <w:tc>
          <w:tcPr>
            <w:tcW w:w="3071" w:type="dxa"/>
            <w:tcBorders>
              <w:top w:val="single" w:sz="4" w:space="0" w:color="auto"/>
              <w:left w:val="single" w:sz="4" w:space="0" w:color="auto"/>
              <w:bottom w:val="single" w:sz="4" w:space="0" w:color="auto"/>
              <w:right w:val="single" w:sz="4" w:space="0" w:color="auto"/>
            </w:tcBorders>
            <w:hideMark/>
          </w:tcPr>
          <w:p w14:paraId="1C452A81"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8.093</w:t>
            </w:r>
          </w:p>
        </w:tc>
      </w:tr>
      <w:tr w:rsidR="008862C7" w14:paraId="721372B6" w14:textId="77777777" w:rsidTr="008862C7">
        <w:tc>
          <w:tcPr>
            <w:tcW w:w="2962" w:type="dxa"/>
            <w:tcBorders>
              <w:top w:val="single" w:sz="4" w:space="0" w:color="auto"/>
              <w:left w:val="single" w:sz="4" w:space="0" w:color="auto"/>
              <w:bottom w:val="single" w:sz="4" w:space="0" w:color="auto"/>
              <w:right w:val="single" w:sz="4" w:space="0" w:color="auto"/>
            </w:tcBorders>
            <w:hideMark/>
          </w:tcPr>
          <w:p w14:paraId="4FA158C0" w14:textId="77777777" w:rsidR="008862C7" w:rsidRDefault="008862C7">
            <w:pPr>
              <w:tabs>
                <w:tab w:val="left" w:pos="708"/>
              </w:tabs>
              <w:spacing w:after="0" w:line="240" w:lineRule="auto"/>
              <w:jc w:val="both"/>
              <w:rPr>
                <w:rFonts w:ascii="Arial" w:eastAsia="Times New Roman" w:hAnsi="Arial" w:cs="Arial"/>
                <w:sz w:val="20"/>
                <w:szCs w:val="24"/>
              </w:rPr>
            </w:pPr>
            <w:r>
              <w:rPr>
                <w:rFonts w:ascii="Arial" w:hAnsi="Arial" w:cs="Arial"/>
                <w:sz w:val="24"/>
                <w:szCs w:val="24"/>
              </w:rPr>
              <w:t>Insecticide</w:t>
            </w:r>
          </w:p>
        </w:tc>
        <w:tc>
          <w:tcPr>
            <w:tcW w:w="3071" w:type="dxa"/>
            <w:tcBorders>
              <w:top w:val="single" w:sz="4" w:space="0" w:color="auto"/>
              <w:left w:val="single" w:sz="4" w:space="0" w:color="auto"/>
              <w:bottom w:val="single" w:sz="4" w:space="0" w:color="auto"/>
              <w:right w:val="single" w:sz="4" w:space="0" w:color="auto"/>
            </w:tcBorders>
            <w:hideMark/>
          </w:tcPr>
          <w:p w14:paraId="7BD6A05A"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5 L</w:t>
            </w:r>
          </w:p>
        </w:tc>
        <w:tc>
          <w:tcPr>
            <w:tcW w:w="3071" w:type="dxa"/>
            <w:tcBorders>
              <w:top w:val="single" w:sz="4" w:space="0" w:color="auto"/>
              <w:left w:val="single" w:sz="4" w:space="0" w:color="auto"/>
              <w:bottom w:val="single" w:sz="4" w:space="0" w:color="auto"/>
              <w:right w:val="single" w:sz="4" w:space="0" w:color="auto"/>
            </w:tcBorders>
            <w:hideMark/>
          </w:tcPr>
          <w:p w14:paraId="73D29E65"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4"/>
                <w:szCs w:val="24"/>
              </w:rPr>
              <w:t>9.000</w:t>
            </w:r>
          </w:p>
        </w:tc>
      </w:tr>
      <w:tr w:rsidR="008862C7" w14:paraId="024D5DE5" w14:textId="77777777" w:rsidTr="008862C7">
        <w:tc>
          <w:tcPr>
            <w:tcW w:w="6033" w:type="dxa"/>
            <w:gridSpan w:val="2"/>
            <w:tcBorders>
              <w:top w:val="single" w:sz="4" w:space="0" w:color="auto"/>
              <w:left w:val="single" w:sz="4" w:space="0" w:color="auto"/>
              <w:bottom w:val="single" w:sz="4" w:space="0" w:color="auto"/>
              <w:right w:val="single" w:sz="4" w:space="0" w:color="auto"/>
            </w:tcBorders>
            <w:hideMark/>
          </w:tcPr>
          <w:p w14:paraId="6F24B137" w14:textId="77777777" w:rsidR="008862C7" w:rsidRDefault="008862C7">
            <w:pPr>
              <w:tabs>
                <w:tab w:val="left" w:pos="708"/>
              </w:tabs>
              <w:spacing w:after="0" w:line="240" w:lineRule="auto"/>
              <w:rPr>
                <w:rFonts w:ascii="Arial" w:eastAsia="Times New Roman" w:hAnsi="Arial" w:cs="Arial"/>
                <w:sz w:val="24"/>
                <w:szCs w:val="24"/>
              </w:rPr>
            </w:pPr>
            <w:r>
              <w:rPr>
                <w:rFonts w:ascii="Arial" w:hAnsi="Arial" w:cs="Arial"/>
                <w:sz w:val="24"/>
                <w:szCs w:val="24"/>
              </w:rPr>
              <w:t xml:space="preserve">Coût total                                                                                                 </w:t>
            </w:r>
          </w:p>
        </w:tc>
        <w:tc>
          <w:tcPr>
            <w:tcW w:w="3071" w:type="dxa"/>
            <w:tcBorders>
              <w:top w:val="single" w:sz="4" w:space="0" w:color="auto"/>
              <w:left w:val="single" w:sz="4" w:space="0" w:color="auto"/>
              <w:bottom w:val="single" w:sz="4" w:space="0" w:color="auto"/>
              <w:right w:val="single" w:sz="4" w:space="0" w:color="auto"/>
            </w:tcBorders>
            <w:hideMark/>
          </w:tcPr>
          <w:p w14:paraId="6DAF89FB"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17.338</w:t>
            </w:r>
          </w:p>
        </w:tc>
      </w:tr>
    </w:tbl>
    <w:p w14:paraId="6D17C978" w14:textId="77777777" w:rsidR="008862C7" w:rsidRDefault="008862C7" w:rsidP="008862C7">
      <w:pPr>
        <w:spacing w:after="120" w:line="360" w:lineRule="auto"/>
        <w:jc w:val="both"/>
        <w:rPr>
          <w:rFonts w:ascii="Arial" w:eastAsia="Times New Roman" w:hAnsi="Arial" w:cs="Arial"/>
          <w:sz w:val="24"/>
          <w:szCs w:val="24"/>
        </w:rPr>
      </w:pPr>
    </w:p>
    <w:p w14:paraId="4498F20A"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lastRenderedPageBreak/>
        <w:t>D’une manière générale, le producteur de coton utilise en moyenne 35 kg de semence par hectare. Le coût des engrais est en moyenne de 8.093 FCFA tandis que les insecticides coûtent 9.000 FCFA par ha. En ce qui concerne les semences, les producteurs de coton supportent le coût d’emballage qui est de 245F CFA. Ainsi, le montant du crédit par producteur est en moyenne de 17.338 FCFA/ha.</w:t>
      </w:r>
    </w:p>
    <w:p w14:paraId="3A8A345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Tous les producteurs ne procèdent pas au traitement de leur plantation selon les normes. Ce comportement explique les disparités au niveau du rendement et donc des revenus. L’expérience a montré que les producteurs qui utilisent les intrants correctement et surtout s’ils pratiquent la culture attelée réalisent de haut rendement. </w:t>
      </w:r>
    </w:p>
    <w:p w14:paraId="6306A4C0" w14:textId="77777777" w:rsidR="008862C7" w:rsidRDefault="008862C7" w:rsidP="008862C7">
      <w:pPr>
        <w:pStyle w:val="Paragraphedeliste"/>
        <w:numPr>
          <w:ilvl w:val="0"/>
          <w:numId w:val="37"/>
        </w:numPr>
        <w:spacing w:after="0" w:line="360" w:lineRule="auto"/>
        <w:jc w:val="both"/>
        <w:outlineLvl w:val="7"/>
        <w:rPr>
          <w:rFonts w:ascii="Arial" w:hAnsi="Arial" w:cs="Arial"/>
          <w:b/>
          <w:sz w:val="24"/>
          <w:szCs w:val="24"/>
        </w:rPr>
      </w:pPr>
      <w:bookmarkStart w:id="168" w:name="_Toc395107629"/>
      <w:r>
        <w:rPr>
          <w:rFonts w:ascii="Arial" w:hAnsi="Arial" w:cs="Arial"/>
          <w:b/>
          <w:sz w:val="24"/>
          <w:szCs w:val="24"/>
        </w:rPr>
        <w:t>Main-d’œuvre</w:t>
      </w:r>
      <w:bookmarkEnd w:id="168"/>
    </w:p>
    <w:p w14:paraId="10EB4DF8"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coton est une culture dont la demande en main-d’œuvre est relativement élevée par rapport aux vivriers. De ce fait, les producteurs recourent souvent à la main-œuvre extérieure compte tenu de la faiblesse de l’actif familial, soit 2,9 actifs familiaux par exploitation. Selon notre enquête, le coût unitaire de la main-d’œuvre extérieure est de 500 FCFA et le nombre moyen des temporaires par hectare est de 78 donc le coût pour 1 hectare est de 39.000</w:t>
      </w:r>
      <w:r>
        <w:rPr>
          <w:rFonts w:ascii="Arial" w:hAnsi="Arial" w:cs="Arial"/>
          <w:b/>
          <w:sz w:val="24"/>
          <w:szCs w:val="24"/>
        </w:rPr>
        <w:t xml:space="preserve"> </w:t>
      </w:r>
      <w:r>
        <w:rPr>
          <w:rFonts w:ascii="Arial" w:hAnsi="Arial" w:cs="Arial"/>
          <w:sz w:val="24"/>
          <w:szCs w:val="24"/>
        </w:rPr>
        <w:t xml:space="preserve">FCFA. De plus la taille moyenne des exploitations cotonnières est de 0,72 ha par personne d’où le coût moyen de main-d’œuvre est alors de 28.080 FCFA.  </w:t>
      </w:r>
    </w:p>
    <w:p w14:paraId="2E1ACC02" w14:textId="77777777" w:rsidR="008862C7" w:rsidRDefault="008862C7" w:rsidP="008862C7">
      <w:pPr>
        <w:pStyle w:val="Paragraphedeliste"/>
        <w:numPr>
          <w:ilvl w:val="0"/>
          <w:numId w:val="37"/>
        </w:numPr>
        <w:spacing w:before="120" w:after="0" w:line="360" w:lineRule="auto"/>
        <w:jc w:val="both"/>
        <w:outlineLvl w:val="7"/>
        <w:rPr>
          <w:rFonts w:ascii="Arial" w:hAnsi="Arial" w:cs="Arial"/>
          <w:b/>
          <w:sz w:val="24"/>
          <w:szCs w:val="24"/>
        </w:rPr>
      </w:pPr>
      <w:bookmarkStart w:id="169" w:name="_Toc395107630"/>
      <w:r>
        <w:rPr>
          <w:rFonts w:ascii="Arial" w:hAnsi="Arial" w:cs="Arial"/>
          <w:b/>
          <w:sz w:val="24"/>
          <w:szCs w:val="24"/>
        </w:rPr>
        <w:t>Matériels agricoles</w:t>
      </w:r>
      <w:bookmarkEnd w:id="169"/>
    </w:p>
    <w:p w14:paraId="551122F2"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La culture du coton est pratiquée à la main avec une très faible utilisation de l’attelage. En effet, la culture manuelle représente 82% alors que la culture attelée représente seulement 18%. Le tableau ci-après présente le coût moyen des principaux matériels agricoles utilisés dans les exploitations cotonnières.  </w:t>
      </w:r>
    </w:p>
    <w:p w14:paraId="0D767CED"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 xml:space="preserve">Tableau 3.4 : </w:t>
      </w:r>
      <w:r>
        <w:rPr>
          <w:rFonts w:ascii="Arial" w:hAnsi="Arial" w:cs="Arial"/>
          <w:sz w:val="24"/>
          <w:szCs w:val="24"/>
        </w:rPr>
        <w:t>Amortissement des principaux matériels agricoles de l’exploitation</w:t>
      </w:r>
    </w:p>
    <w:tbl>
      <w:tblPr>
        <w:tblW w:w="4884" w:type="pct"/>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370"/>
        <w:gridCol w:w="3038"/>
        <w:gridCol w:w="2553"/>
        <w:gridCol w:w="3358"/>
      </w:tblGrid>
      <w:tr w:rsidR="008862C7" w14:paraId="3DB8973A" w14:textId="77777777" w:rsidTr="008862C7">
        <w:trPr>
          <w:trHeight w:val="162"/>
        </w:trPr>
        <w:tc>
          <w:tcPr>
            <w:tcW w:w="664" w:type="pct"/>
            <w:tcBorders>
              <w:top w:val="single" w:sz="4" w:space="0" w:color="auto"/>
              <w:left w:val="single" w:sz="4" w:space="0" w:color="auto"/>
              <w:bottom w:val="single" w:sz="4" w:space="0" w:color="auto"/>
              <w:right w:val="single" w:sz="4" w:space="0" w:color="auto"/>
            </w:tcBorders>
            <w:vAlign w:val="center"/>
            <w:hideMark/>
          </w:tcPr>
          <w:p w14:paraId="15A34FDD" w14:textId="77777777" w:rsidR="008862C7" w:rsidRDefault="008862C7">
            <w:pPr>
              <w:tabs>
                <w:tab w:val="left" w:pos="708"/>
              </w:tabs>
              <w:spacing w:after="0" w:line="240" w:lineRule="auto"/>
              <w:rPr>
                <w:rFonts w:ascii="Arial" w:eastAsia="Times New Roman" w:hAnsi="Arial" w:cs="Arial"/>
                <w:sz w:val="24"/>
                <w:szCs w:val="24"/>
              </w:rPr>
            </w:pPr>
            <w:r>
              <w:rPr>
                <w:rFonts w:ascii="Arial" w:hAnsi="Arial" w:cs="Arial"/>
                <w:sz w:val="24"/>
                <w:szCs w:val="24"/>
              </w:rPr>
              <w:t>Matériels</w:t>
            </w:r>
          </w:p>
        </w:tc>
        <w:tc>
          <w:tcPr>
            <w:tcW w:w="1472" w:type="pct"/>
            <w:tcBorders>
              <w:top w:val="single" w:sz="4" w:space="0" w:color="auto"/>
              <w:left w:val="single" w:sz="4" w:space="0" w:color="auto"/>
              <w:bottom w:val="single" w:sz="4" w:space="0" w:color="auto"/>
              <w:right w:val="single" w:sz="4" w:space="0" w:color="auto"/>
            </w:tcBorders>
            <w:hideMark/>
          </w:tcPr>
          <w:p w14:paraId="353B9ADE"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 xml:space="preserve">Prix (FCFA) </w:t>
            </w:r>
          </w:p>
        </w:tc>
        <w:tc>
          <w:tcPr>
            <w:tcW w:w="1237" w:type="pct"/>
            <w:tcBorders>
              <w:top w:val="single" w:sz="4" w:space="0" w:color="auto"/>
              <w:left w:val="single" w:sz="4" w:space="0" w:color="auto"/>
              <w:bottom w:val="single" w:sz="4" w:space="0" w:color="auto"/>
              <w:right w:val="single" w:sz="4" w:space="0" w:color="auto"/>
            </w:tcBorders>
            <w:hideMark/>
          </w:tcPr>
          <w:p w14:paraId="4AB0F85C"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Durée de vie (an)</w:t>
            </w:r>
          </w:p>
        </w:tc>
        <w:tc>
          <w:tcPr>
            <w:tcW w:w="1628" w:type="pct"/>
            <w:tcBorders>
              <w:top w:val="single" w:sz="4" w:space="0" w:color="auto"/>
              <w:left w:val="single" w:sz="4" w:space="0" w:color="auto"/>
              <w:bottom w:val="single" w:sz="4" w:space="0" w:color="auto"/>
              <w:right w:val="single" w:sz="4" w:space="0" w:color="auto"/>
            </w:tcBorders>
            <w:hideMark/>
          </w:tcPr>
          <w:p w14:paraId="0234C6BB"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Amortissement (FCFA)</w:t>
            </w:r>
          </w:p>
        </w:tc>
      </w:tr>
      <w:tr w:rsidR="008862C7" w14:paraId="6CD9C7D1" w14:textId="77777777" w:rsidTr="008862C7">
        <w:trPr>
          <w:trHeight w:val="162"/>
        </w:trPr>
        <w:tc>
          <w:tcPr>
            <w:tcW w:w="664" w:type="pct"/>
            <w:tcBorders>
              <w:top w:val="single" w:sz="4" w:space="0" w:color="auto"/>
              <w:left w:val="single" w:sz="4" w:space="0" w:color="auto"/>
              <w:bottom w:val="single" w:sz="4" w:space="0" w:color="auto"/>
              <w:right w:val="single" w:sz="4" w:space="0" w:color="auto"/>
            </w:tcBorders>
            <w:hideMark/>
          </w:tcPr>
          <w:p w14:paraId="6D8E54C0" w14:textId="77777777" w:rsidR="008862C7" w:rsidRDefault="008862C7">
            <w:pPr>
              <w:tabs>
                <w:tab w:val="left" w:pos="708"/>
              </w:tabs>
              <w:spacing w:before="120" w:after="0" w:line="240" w:lineRule="auto"/>
              <w:rPr>
                <w:rFonts w:ascii="Arial" w:eastAsia="Times New Roman" w:hAnsi="Arial" w:cs="Arial"/>
                <w:sz w:val="24"/>
                <w:szCs w:val="24"/>
              </w:rPr>
            </w:pPr>
            <w:r>
              <w:rPr>
                <w:rFonts w:ascii="Arial" w:hAnsi="Arial" w:cs="Arial"/>
                <w:sz w:val="24"/>
                <w:szCs w:val="24"/>
              </w:rPr>
              <w:t xml:space="preserve">Houe </w:t>
            </w:r>
          </w:p>
        </w:tc>
        <w:tc>
          <w:tcPr>
            <w:tcW w:w="1472" w:type="pct"/>
            <w:tcBorders>
              <w:top w:val="single" w:sz="4" w:space="0" w:color="auto"/>
              <w:left w:val="single" w:sz="4" w:space="0" w:color="auto"/>
              <w:bottom w:val="single" w:sz="4" w:space="0" w:color="auto"/>
              <w:right w:val="single" w:sz="4" w:space="0" w:color="auto"/>
            </w:tcBorders>
            <w:hideMark/>
          </w:tcPr>
          <w:p w14:paraId="085641F0"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 xml:space="preserve">   535</w:t>
            </w:r>
          </w:p>
        </w:tc>
        <w:tc>
          <w:tcPr>
            <w:tcW w:w="1237" w:type="pct"/>
            <w:tcBorders>
              <w:top w:val="single" w:sz="4" w:space="0" w:color="auto"/>
              <w:left w:val="single" w:sz="4" w:space="0" w:color="auto"/>
              <w:bottom w:val="single" w:sz="4" w:space="0" w:color="auto"/>
              <w:right w:val="single" w:sz="4" w:space="0" w:color="auto"/>
            </w:tcBorders>
            <w:hideMark/>
          </w:tcPr>
          <w:p w14:paraId="702C5526"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2</w:t>
            </w:r>
          </w:p>
        </w:tc>
        <w:tc>
          <w:tcPr>
            <w:tcW w:w="1628" w:type="pct"/>
            <w:tcBorders>
              <w:top w:val="single" w:sz="4" w:space="0" w:color="auto"/>
              <w:left w:val="single" w:sz="4" w:space="0" w:color="auto"/>
              <w:bottom w:val="single" w:sz="4" w:space="0" w:color="auto"/>
              <w:right w:val="single" w:sz="4" w:space="0" w:color="auto"/>
            </w:tcBorders>
            <w:hideMark/>
          </w:tcPr>
          <w:p w14:paraId="6FCB7F26"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268</w:t>
            </w:r>
          </w:p>
        </w:tc>
      </w:tr>
      <w:tr w:rsidR="008862C7" w14:paraId="16B531F0" w14:textId="77777777" w:rsidTr="008862C7">
        <w:tc>
          <w:tcPr>
            <w:tcW w:w="664" w:type="pct"/>
            <w:tcBorders>
              <w:top w:val="single" w:sz="4" w:space="0" w:color="auto"/>
              <w:left w:val="single" w:sz="4" w:space="0" w:color="auto"/>
              <w:bottom w:val="single" w:sz="4" w:space="0" w:color="auto"/>
              <w:right w:val="single" w:sz="4" w:space="0" w:color="auto"/>
            </w:tcBorders>
            <w:hideMark/>
          </w:tcPr>
          <w:p w14:paraId="79D3963B" w14:textId="77777777" w:rsidR="008862C7" w:rsidRDefault="008862C7">
            <w:pPr>
              <w:tabs>
                <w:tab w:val="left" w:pos="708"/>
              </w:tabs>
              <w:spacing w:before="120" w:after="0" w:line="240" w:lineRule="auto"/>
              <w:rPr>
                <w:rFonts w:ascii="Arial" w:eastAsia="Times New Roman" w:hAnsi="Arial" w:cs="Arial"/>
                <w:sz w:val="24"/>
                <w:szCs w:val="24"/>
              </w:rPr>
            </w:pPr>
            <w:r>
              <w:rPr>
                <w:rFonts w:ascii="Arial" w:hAnsi="Arial" w:cs="Arial"/>
                <w:sz w:val="24"/>
                <w:szCs w:val="24"/>
              </w:rPr>
              <w:t xml:space="preserve">Machette </w:t>
            </w:r>
          </w:p>
        </w:tc>
        <w:tc>
          <w:tcPr>
            <w:tcW w:w="1472" w:type="pct"/>
            <w:tcBorders>
              <w:top w:val="single" w:sz="4" w:space="0" w:color="auto"/>
              <w:left w:val="single" w:sz="4" w:space="0" w:color="auto"/>
              <w:bottom w:val="single" w:sz="4" w:space="0" w:color="auto"/>
              <w:right w:val="single" w:sz="4" w:space="0" w:color="auto"/>
            </w:tcBorders>
            <w:hideMark/>
          </w:tcPr>
          <w:p w14:paraId="453758A2"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2.750</w:t>
            </w:r>
          </w:p>
        </w:tc>
        <w:tc>
          <w:tcPr>
            <w:tcW w:w="1237" w:type="pct"/>
            <w:tcBorders>
              <w:top w:val="single" w:sz="4" w:space="0" w:color="auto"/>
              <w:left w:val="single" w:sz="4" w:space="0" w:color="auto"/>
              <w:bottom w:val="single" w:sz="4" w:space="0" w:color="auto"/>
              <w:right w:val="single" w:sz="4" w:space="0" w:color="auto"/>
            </w:tcBorders>
            <w:hideMark/>
          </w:tcPr>
          <w:p w14:paraId="77501AC9"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6</w:t>
            </w:r>
          </w:p>
        </w:tc>
        <w:tc>
          <w:tcPr>
            <w:tcW w:w="1628" w:type="pct"/>
            <w:tcBorders>
              <w:top w:val="single" w:sz="4" w:space="0" w:color="auto"/>
              <w:left w:val="single" w:sz="4" w:space="0" w:color="auto"/>
              <w:bottom w:val="single" w:sz="4" w:space="0" w:color="auto"/>
              <w:right w:val="single" w:sz="4" w:space="0" w:color="auto"/>
            </w:tcBorders>
            <w:hideMark/>
          </w:tcPr>
          <w:p w14:paraId="57208C5A"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458</w:t>
            </w:r>
          </w:p>
        </w:tc>
      </w:tr>
      <w:tr w:rsidR="008862C7" w14:paraId="53244296" w14:textId="77777777" w:rsidTr="008862C7">
        <w:trPr>
          <w:trHeight w:val="162"/>
        </w:trPr>
        <w:tc>
          <w:tcPr>
            <w:tcW w:w="664" w:type="pct"/>
            <w:tcBorders>
              <w:top w:val="single" w:sz="4" w:space="0" w:color="auto"/>
              <w:left w:val="single" w:sz="4" w:space="0" w:color="auto"/>
              <w:bottom w:val="single" w:sz="4" w:space="0" w:color="auto"/>
              <w:right w:val="single" w:sz="4" w:space="0" w:color="auto"/>
            </w:tcBorders>
            <w:hideMark/>
          </w:tcPr>
          <w:p w14:paraId="4049847A" w14:textId="77777777" w:rsidR="008862C7" w:rsidRDefault="008862C7">
            <w:pPr>
              <w:tabs>
                <w:tab w:val="left" w:pos="708"/>
              </w:tabs>
              <w:spacing w:before="120" w:after="0" w:line="240" w:lineRule="auto"/>
              <w:rPr>
                <w:rFonts w:ascii="Arial" w:eastAsia="Times New Roman" w:hAnsi="Arial" w:cs="Arial"/>
                <w:sz w:val="24"/>
                <w:szCs w:val="24"/>
              </w:rPr>
            </w:pPr>
            <w:r>
              <w:rPr>
                <w:rFonts w:ascii="Arial" w:hAnsi="Arial" w:cs="Arial"/>
                <w:sz w:val="24"/>
                <w:szCs w:val="24"/>
              </w:rPr>
              <w:t xml:space="preserve">Autres </w:t>
            </w:r>
          </w:p>
        </w:tc>
        <w:tc>
          <w:tcPr>
            <w:tcW w:w="1472" w:type="pct"/>
            <w:tcBorders>
              <w:top w:val="single" w:sz="4" w:space="0" w:color="auto"/>
              <w:left w:val="single" w:sz="4" w:space="0" w:color="auto"/>
              <w:bottom w:val="single" w:sz="4" w:space="0" w:color="auto"/>
              <w:right w:val="single" w:sz="4" w:space="0" w:color="auto"/>
            </w:tcBorders>
            <w:hideMark/>
          </w:tcPr>
          <w:p w14:paraId="5F6C1050"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1.575</w:t>
            </w:r>
          </w:p>
        </w:tc>
        <w:tc>
          <w:tcPr>
            <w:tcW w:w="1237" w:type="pct"/>
            <w:tcBorders>
              <w:top w:val="single" w:sz="4" w:space="0" w:color="auto"/>
              <w:left w:val="single" w:sz="4" w:space="0" w:color="auto"/>
              <w:bottom w:val="single" w:sz="4" w:space="0" w:color="auto"/>
              <w:right w:val="single" w:sz="4" w:space="0" w:color="auto"/>
            </w:tcBorders>
            <w:hideMark/>
          </w:tcPr>
          <w:p w14:paraId="4FBABEA7"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2</w:t>
            </w:r>
          </w:p>
        </w:tc>
        <w:tc>
          <w:tcPr>
            <w:tcW w:w="1628" w:type="pct"/>
            <w:tcBorders>
              <w:top w:val="single" w:sz="4" w:space="0" w:color="auto"/>
              <w:left w:val="single" w:sz="4" w:space="0" w:color="auto"/>
              <w:bottom w:val="single" w:sz="4" w:space="0" w:color="auto"/>
              <w:right w:val="single" w:sz="4" w:space="0" w:color="auto"/>
            </w:tcBorders>
            <w:hideMark/>
          </w:tcPr>
          <w:p w14:paraId="4A30F498"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788</w:t>
            </w:r>
          </w:p>
        </w:tc>
      </w:tr>
      <w:tr w:rsidR="008862C7" w14:paraId="7E5CF633" w14:textId="77777777" w:rsidTr="008862C7">
        <w:trPr>
          <w:trHeight w:val="162"/>
        </w:trPr>
        <w:tc>
          <w:tcPr>
            <w:tcW w:w="3372" w:type="pct"/>
            <w:gridSpan w:val="3"/>
            <w:tcBorders>
              <w:top w:val="single" w:sz="4" w:space="0" w:color="auto"/>
              <w:left w:val="single" w:sz="4" w:space="0" w:color="auto"/>
              <w:bottom w:val="single" w:sz="4" w:space="0" w:color="auto"/>
              <w:right w:val="single" w:sz="4" w:space="0" w:color="auto"/>
            </w:tcBorders>
            <w:hideMark/>
          </w:tcPr>
          <w:p w14:paraId="311B4664" w14:textId="77777777" w:rsidR="008862C7" w:rsidRDefault="008862C7">
            <w:pPr>
              <w:tabs>
                <w:tab w:val="left" w:pos="708"/>
              </w:tabs>
              <w:spacing w:before="120" w:after="0" w:line="240" w:lineRule="auto"/>
              <w:rPr>
                <w:rFonts w:ascii="Arial" w:eastAsia="Times New Roman" w:hAnsi="Arial" w:cs="Arial"/>
                <w:sz w:val="24"/>
                <w:szCs w:val="24"/>
              </w:rPr>
            </w:pPr>
            <w:r>
              <w:rPr>
                <w:rFonts w:ascii="Arial" w:hAnsi="Arial" w:cs="Arial"/>
                <w:sz w:val="24"/>
                <w:szCs w:val="24"/>
              </w:rPr>
              <w:t>Total</w:t>
            </w:r>
          </w:p>
        </w:tc>
        <w:tc>
          <w:tcPr>
            <w:tcW w:w="1628" w:type="pct"/>
            <w:tcBorders>
              <w:top w:val="single" w:sz="4" w:space="0" w:color="auto"/>
              <w:left w:val="single" w:sz="4" w:space="0" w:color="auto"/>
              <w:bottom w:val="single" w:sz="4" w:space="0" w:color="auto"/>
              <w:right w:val="single" w:sz="4" w:space="0" w:color="auto"/>
            </w:tcBorders>
            <w:hideMark/>
          </w:tcPr>
          <w:p w14:paraId="7E683241" w14:textId="77777777" w:rsidR="008862C7" w:rsidRDefault="008862C7">
            <w:pPr>
              <w:tabs>
                <w:tab w:val="left" w:pos="708"/>
              </w:tabs>
              <w:spacing w:before="120" w:after="0" w:line="240" w:lineRule="auto"/>
              <w:jc w:val="center"/>
              <w:rPr>
                <w:rFonts w:ascii="Arial" w:eastAsia="Times New Roman" w:hAnsi="Arial" w:cs="Arial"/>
                <w:sz w:val="24"/>
                <w:szCs w:val="24"/>
              </w:rPr>
            </w:pPr>
            <w:r>
              <w:rPr>
                <w:rFonts w:ascii="Arial" w:hAnsi="Arial" w:cs="Arial"/>
                <w:sz w:val="24"/>
                <w:szCs w:val="24"/>
              </w:rPr>
              <w:t>1.514</w:t>
            </w:r>
          </w:p>
        </w:tc>
      </w:tr>
    </w:tbl>
    <w:p w14:paraId="4F5DF5D7" w14:textId="77777777" w:rsidR="008862C7" w:rsidRDefault="008862C7" w:rsidP="008862C7">
      <w:pPr>
        <w:spacing w:before="240" w:after="0" w:line="360" w:lineRule="auto"/>
        <w:jc w:val="both"/>
        <w:rPr>
          <w:rFonts w:ascii="Arial" w:eastAsia="Times New Roman" w:hAnsi="Arial" w:cs="Arial"/>
          <w:sz w:val="24"/>
          <w:szCs w:val="24"/>
        </w:rPr>
      </w:pPr>
    </w:p>
    <w:p w14:paraId="62AD27EC" w14:textId="77777777" w:rsidR="008862C7" w:rsidRDefault="008862C7" w:rsidP="008862C7">
      <w:pPr>
        <w:spacing w:before="240" w:after="0" w:line="360" w:lineRule="auto"/>
        <w:jc w:val="both"/>
        <w:rPr>
          <w:rFonts w:ascii="Arial" w:hAnsi="Arial" w:cs="Arial"/>
          <w:sz w:val="24"/>
          <w:szCs w:val="24"/>
        </w:rPr>
      </w:pPr>
      <w:r>
        <w:rPr>
          <w:rFonts w:ascii="Arial" w:hAnsi="Arial" w:cs="Arial"/>
          <w:sz w:val="24"/>
          <w:szCs w:val="24"/>
        </w:rPr>
        <w:t xml:space="preserve">En tenant compte de l’amortissement des matériels, le coût moyen annuel est donc de 1.514 FCFA par exploitation. </w:t>
      </w:r>
    </w:p>
    <w:p w14:paraId="27E17B60" w14:textId="77777777" w:rsidR="008862C7" w:rsidRDefault="008862C7" w:rsidP="008862C7">
      <w:pPr>
        <w:pStyle w:val="Paragraphedeliste"/>
        <w:numPr>
          <w:ilvl w:val="0"/>
          <w:numId w:val="38"/>
        </w:numPr>
        <w:spacing w:before="120" w:after="120" w:line="360" w:lineRule="auto"/>
        <w:jc w:val="both"/>
        <w:outlineLvl w:val="7"/>
        <w:rPr>
          <w:rFonts w:ascii="Arial" w:hAnsi="Arial" w:cs="Arial"/>
          <w:b/>
          <w:sz w:val="24"/>
          <w:szCs w:val="24"/>
        </w:rPr>
      </w:pPr>
      <w:bookmarkStart w:id="170" w:name="_Toc395107631"/>
      <w:r>
        <w:rPr>
          <w:rFonts w:ascii="Arial" w:hAnsi="Arial" w:cs="Arial"/>
          <w:b/>
          <w:sz w:val="24"/>
          <w:szCs w:val="24"/>
        </w:rPr>
        <w:lastRenderedPageBreak/>
        <w:t>Coût total moyen des inputs par exploitation cotonnière.</w:t>
      </w:r>
      <w:bookmarkEnd w:id="170"/>
    </w:p>
    <w:p w14:paraId="1046E845"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Théoriquement, le coût total moyen est le rapport du coût total des inputs avec la quantité des outputs produits. Dans notre cas, il est ici question de déterminer la moyenne des coûts annuels que supporte un exploitant dans la zone de Bossangoa. Mais, par raison de commodité, nous avons voulu utiliser le terme coût total moyen pour illustrer la moyenne annuelle des coûts de production cotonnière dans la zone de Bossangoa comme en témoigne le tableau qui suit :</w:t>
      </w:r>
    </w:p>
    <w:p w14:paraId="0B49631B"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 xml:space="preserve">Tableau 3.5 : </w:t>
      </w:r>
      <w:r>
        <w:rPr>
          <w:rFonts w:ascii="Arial" w:hAnsi="Arial" w:cs="Arial"/>
          <w:sz w:val="24"/>
          <w:szCs w:val="24"/>
        </w:rPr>
        <w:t xml:space="preserve">Coût total moyen des principaux inputs dans la production cotonnière.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163"/>
        <w:gridCol w:w="2904"/>
        <w:gridCol w:w="2252"/>
      </w:tblGrid>
      <w:tr w:rsidR="008862C7" w14:paraId="2F208BBA" w14:textId="77777777" w:rsidTr="008862C7">
        <w:tc>
          <w:tcPr>
            <w:tcW w:w="2502" w:type="pct"/>
            <w:tcBorders>
              <w:top w:val="single" w:sz="4" w:space="0" w:color="auto"/>
              <w:left w:val="single" w:sz="4" w:space="0" w:color="auto"/>
              <w:bottom w:val="single" w:sz="4" w:space="0" w:color="auto"/>
              <w:right w:val="single" w:sz="4" w:space="0" w:color="auto"/>
            </w:tcBorders>
            <w:hideMark/>
          </w:tcPr>
          <w:p w14:paraId="196BB397"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 xml:space="preserve">Libelle </w:t>
            </w:r>
          </w:p>
        </w:tc>
        <w:tc>
          <w:tcPr>
            <w:tcW w:w="1407" w:type="pct"/>
            <w:tcBorders>
              <w:top w:val="single" w:sz="4" w:space="0" w:color="auto"/>
              <w:left w:val="single" w:sz="4" w:space="0" w:color="auto"/>
              <w:bottom w:val="single" w:sz="4" w:space="0" w:color="auto"/>
              <w:right w:val="single" w:sz="4" w:space="0" w:color="auto"/>
            </w:tcBorders>
            <w:hideMark/>
          </w:tcPr>
          <w:p w14:paraId="53D564D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Coût moyen</w:t>
            </w:r>
          </w:p>
        </w:tc>
        <w:tc>
          <w:tcPr>
            <w:tcW w:w="1092" w:type="pct"/>
            <w:tcBorders>
              <w:top w:val="single" w:sz="4" w:space="0" w:color="auto"/>
              <w:left w:val="single" w:sz="4" w:space="0" w:color="auto"/>
              <w:bottom w:val="single" w:sz="4" w:space="0" w:color="auto"/>
              <w:right w:val="single" w:sz="4" w:space="0" w:color="auto"/>
            </w:tcBorders>
            <w:hideMark/>
          </w:tcPr>
          <w:p w14:paraId="3C8AAD20"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Proportion (en %)</w:t>
            </w:r>
          </w:p>
        </w:tc>
      </w:tr>
      <w:tr w:rsidR="008862C7" w14:paraId="74525729" w14:textId="77777777" w:rsidTr="008862C7">
        <w:trPr>
          <w:trHeight w:val="165"/>
        </w:trPr>
        <w:tc>
          <w:tcPr>
            <w:tcW w:w="2502" w:type="pct"/>
            <w:tcBorders>
              <w:top w:val="single" w:sz="4" w:space="0" w:color="auto"/>
              <w:left w:val="single" w:sz="4" w:space="0" w:color="auto"/>
              <w:bottom w:val="single" w:sz="4" w:space="0" w:color="auto"/>
              <w:right w:val="single" w:sz="4" w:space="0" w:color="auto"/>
            </w:tcBorders>
            <w:hideMark/>
          </w:tcPr>
          <w:p w14:paraId="0E9D3604"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Mains d’œuvre (en FCFA)</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02DE9F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30.240</w:t>
            </w:r>
          </w:p>
        </w:tc>
        <w:tc>
          <w:tcPr>
            <w:tcW w:w="1092" w:type="pct"/>
            <w:tcBorders>
              <w:top w:val="single" w:sz="4" w:space="0" w:color="auto"/>
              <w:left w:val="single" w:sz="4" w:space="0" w:color="auto"/>
              <w:bottom w:val="single" w:sz="4" w:space="0" w:color="auto"/>
              <w:right w:val="single" w:sz="4" w:space="0" w:color="auto"/>
            </w:tcBorders>
            <w:hideMark/>
          </w:tcPr>
          <w:p w14:paraId="3C751FD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62</w:t>
            </w:r>
          </w:p>
        </w:tc>
      </w:tr>
      <w:tr w:rsidR="008862C7" w14:paraId="230F015F" w14:textId="77777777" w:rsidTr="008862C7">
        <w:trPr>
          <w:trHeight w:val="183"/>
        </w:trPr>
        <w:tc>
          <w:tcPr>
            <w:tcW w:w="2502" w:type="pct"/>
            <w:tcBorders>
              <w:top w:val="single" w:sz="4" w:space="0" w:color="auto"/>
              <w:left w:val="single" w:sz="4" w:space="0" w:color="auto"/>
              <w:bottom w:val="single" w:sz="4" w:space="0" w:color="auto"/>
              <w:right w:val="single" w:sz="4" w:space="0" w:color="auto"/>
            </w:tcBorders>
            <w:hideMark/>
          </w:tcPr>
          <w:p w14:paraId="15E6AF9E"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Matériels agricoles (en FCFA)</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DEBED48"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 xml:space="preserve">     1.514</w:t>
            </w:r>
          </w:p>
        </w:tc>
        <w:tc>
          <w:tcPr>
            <w:tcW w:w="1092" w:type="pct"/>
            <w:tcBorders>
              <w:top w:val="single" w:sz="4" w:space="0" w:color="auto"/>
              <w:left w:val="single" w:sz="4" w:space="0" w:color="auto"/>
              <w:bottom w:val="single" w:sz="4" w:space="0" w:color="auto"/>
              <w:right w:val="single" w:sz="4" w:space="0" w:color="auto"/>
            </w:tcBorders>
            <w:hideMark/>
          </w:tcPr>
          <w:p w14:paraId="6EFAB56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 xml:space="preserve">  3,10</w:t>
            </w:r>
          </w:p>
        </w:tc>
      </w:tr>
      <w:tr w:rsidR="008862C7" w14:paraId="658E1BBB" w14:textId="77777777" w:rsidTr="008862C7">
        <w:trPr>
          <w:trHeight w:val="274"/>
        </w:trPr>
        <w:tc>
          <w:tcPr>
            <w:tcW w:w="2502" w:type="pct"/>
            <w:tcBorders>
              <w:top w:val="single" w:sz="4" w:space="0" w:color="auto"/>
              <w:left w:val="single" w:sz="4" w:space="0" w:color="auto"/>
              <w:bottom w:val="single" w:sz="4" w:space="0" w:color="auto"/>
              <w:right w:val="single" w:sz="4" w:space="0" w:color="auto"/>
            </w:tcBorders>
            <w:hideMark/>
          </w:tcPr>
          <w:p w14:paraId="11B46D36"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Intrants chimiques (en FCFA)</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1CE5FF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17.338</w:t>
            </w:r>
          </w:p>
        </w:tc>
        <w:tc>
          <w:tcPr>
            <w:tcW w:w="1092" w:type="pct"/>
            <w:tcBorders>
              <w:top w:val="single" w:sz="4" w:space="0" w:color="auto"/>
              <w:left w:val="single" w:sz="4" w:space="0" w:color="auto"/>
              <w:bottom w:val="single" w:sz="4" w:space="0" w:color="auto"/>
              <w:right w:val="single" w:sz="4" w:space="0" w:color="auto"/>
            </w:tcBorders>
            <w:hideMark/>
          </w:tcPr>
          <w:p w14:paraId="7544A580"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35,30</w:t>
            </w:r>
          </w:p>
        </w:tc>
      </w:tr>
      <w:tr w:rsidR="008862C7" w14:paraId="0FE9A681" w14:textId="77777777" w:rsidTr="008862C7">
        <w:trPr>
          <w:trHeight w:val="219"/>
        </w:trPr>
        <w:tc>
          <w:tcPr>
            <w:tcW w:w="2502" w:type="pct"/>
            <w:tcBorders>
              <w:top w:val="single" w:sz="4" w:space="0" w:color="auto"/>
              <w:left w:val="single" w:sz="4" w:space="0" w:color="auto"/>
              <w:bottom w:val="single" w:sz="4" w:space="0" w:color="auto"/>
              <w:right w:val="single" w:sz="4" w:space="0" w:color="auto"/>
            </w:tcBorders>
            <w:hideMark/>
          </w:tcPr>
          <w:p w14:paraId="17CAB512"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Contribution caisse de la FPCO (FCFA/ kg)</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69128B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3</w:t>
            </w:r>
          </w:p>
        </w:tc>
        <w:tc>
          <w:tcPr>
            <w:tcW w:w="1092" w:type="pct"/>
            <w:tcBorders>
              <w:top w:val="single" w:sz="4" w:space="0" w:color="auto"/>
              <w:left w:val="single" w:sz="4" w:space="0" w:color="auto"/>
              <w:bottom w:val="single" w:sz="4" w:space="0" w:color="auto"/>
              <w:right w:val="single" w:sz="4" w:space="0" w:color="auto"/>
            </w:tcBorders>
            <w:hideMark/>
          </w:tcPr>
          <w:p w14:paraId="19D4B327" w14:textId="77777777" w:rsidR="008862C7" w:rsidRDefault="008862C7">
            <w:pPr>
              <w:tabs>
                <w:tab w:val="left" w:pos="708"/>
                <w:tab w:val="center" w:pos="935"/>
              </w:tabs>
              <w:spacing w:before="120" w:after="0" w:line="240" w:lineRule="auto"/>
              <w:rPr>
                <w:rFonts w:ascii="Arial" w:eastAsia="Times New Roman" w:hAnsi="Arial" w:cs="Arial"/>
              </w:rPr>
            </w:pPr>
            <w:r>
              <w:rPr>
                <w:rFonts w:ascii="Arial" w:hAnsi="Arial" w:cs="Arial"/>
              </w:rPr>
              <w:tab/>
              <w:t xml:space="preserve"> </w:t>
            </w:r>
            <w:r>
              <w:rPr>
                <w:rFonts w:ascii="Arial" w:hAnsi="Arial" w:cs="Arial"/>
              </w:rPr>
              <w:tab/>
              <w:t>0,00</w:t>
            </w:r>
          </w:p>
        </w:tc>
      </w:tr>
      <w:tr w:rsidR="008862C7" w14:paraId="13A45B31" w14:textId="77777777" w:rsidTr="008862C7">
        <w:trPr>
          <w:trHeight w:val="174"/>
        </w:trPr>
        <w:tc>
          <w:tcPr>
            <w:tcW w:w="2502" w:type="pct"/>
            <w:tcBorders>
              <w:top w:val="single" w:sz="4" w:space="0" w:color="auto"/>
              <w:left w:val="single" w:sz="4" w:space="0" w:color="auto"/>
              <w:bottom w:val="single" w:sz="4" w:space="0" w:color="auto"/>
              <w:right w:val="single" w:sz="4" w:space="0" w:color="auto"/>
            </w:tcBorders>
            <w:shd w:val="clear" w:color="auto" w:fill="D9D9D9"/>
            <w:hideMark/>
          </w:tcPr>
          <w:p w14:paraId="11A55358"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 xml:space="preserve">Total </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7B1E74"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 xml:space="preserve">   49.094</w:t>
            </w:r>
          </w:p>
        </w:tc>
        <w:tc>
          <w:tcPr>
            <w:tcW w:w="1092" w:type="pct"/>
            <w:tcBorders>
              <w:top w:val="single" w:sz="4" w:space="0" w:color="auto"/>
              <w:left w:val="single" w:sz="4" w:space="0" w:color="auto"/>
              <w:bottom w:val="single" w:sz="4" w:space="0" w:color="auto"/>
              <w:right w:val="single" w:sz="4" w:space="0" w:color="auto"/>
            </w:tcBorders>
            <w:shd w:val="clear" w:color="auto" w:fill="D9D9D9"/>
            <w:hideMark/>
          </w:tcPr>
          <w:p w14:paraId="244C068F"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100</w:t>
            </w:r>
          </w:p>
        </w:tc>
      </w:tr>
      <w:tr w:rsidR="008862C7" w14:paraId="3232169F" w14:textId="77777777" w:rsidTr="008862C7">
        <w:trPr>
          <w:trHeight w:val="266"/>
        </w:trPr>
        <w:tc>
          <w:tcPr>
            <w:tcW w:w="2502" w:type="pct"/>
            <w:tcBorders>
              <w:top w:val="single" w:sz="4" w:space="0" w:color="auto"/>
              <w:left w:val="single" w:sz="4" w:space="0" w:color="auto"/>
              <w:bottom w:val="single" w:sz="4" w:space="0" w:color="auto"/>
              <w:right w:val="single" w:sz="4" w:space="0" w:color="auto"/>
            </w:tcBorders>
            <w:hideMark/>
          </w:tcPr>
          <w:p w14:paraId="234B25F8"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Rendement (kg/ha)</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4FC534B"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578</w:t>
            </w:r>
          </w:p>
        </w:tc>
        <w:tc>
          <w:tcPr>
            <w:tcW w:w="1092" w:type="pct"/>
            <w:tcBorders>
              <w:top w:val="single" w:sz="4" w:space="0" w:color="auto"/>
              <w:left w:val="single" w:sz="4" w:space="0" w:color="auto"/>
              <w:bottom w:val="single" w:sz="4" w:space="0" w:color="auto"/>
              <w:right w:val="single" w:sz="4" w:space="0" w:color="auto"/>
            </w:tcBorders>
            <w:hideMark/>
          </w:tcPr>
          <w:p w14:paraId="2F14209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w:t>
            </w:r>
          </w:p>
        </w:tc>
      </w:tr>
      <w:tr w:rsidR="008862C7" w14:paraId="2C429E3C" w14:textId="77777777" w:rsidTr="008862C7">
        <w:trPr>
          <w:trHeight w:val="258"/>
        </w:trPr>
        <w:tc>
          <w:tcPr>
            <w:tcW w:w="2502" w:type="pct"/>
            <w:tcBorders>
              <w:top w:val="single" w:sz="4" w:space="0" w:color="auto"/>
              <w:left w:val="single" w:sz="4" w:space="0" w:color="auto"/>
              <w:bottom w:val="single" w:sz="4" w:space="0" w:color="auto"/>
              <w:right w:val="single" w:sz="4" w:space="0" w:color="auto"/>
            </w:tcBorders>
            <w:hideMark/>
          </w:tcPr>
          <w:p w14:paraId="469A913A"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Superficie moyenne (ha)</w:t>
            </w:r>
          </w:p>
        </w:tc>
        <w:tc>
          <w:tcPr>
            <w:tcW w:w="1407" w:type="pct"/>
            <w:tcBorders>
              <w:top w:val="single" w:sz="4" w:space="0" w:color="auto"/>
              <w:left w:val="single" w:sz="4" w:space="0" w:color="auto"/>
              <w:bottom w:val="single" w:sz="4" w:space="0" w:color="auto"/>
              <w:right w:val="single" w:sz="4" w:space="0" w:color="auto"/>
            </w:tcBorders>
            <w:vAlign w:val="center"/>
            <w:hideMark/>
          </w:tcPr>
          <w:p w14:paraId="32C23224"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0,72</w:t>
            </w:r>
          </w:p>
        </w:tc>
        <w:tc>
          <w:tcPr>
            <w:tcW w:w="1092" w:type="pct"/>
            <w:tcBorders>
              <w:top w:val="single" w:sz="4" w:space="0" w:color="auto"/>
              <w:left w:val="single" w:sz="4" w:space="0" w:color="auto"/>
              <w:bottom w:val="single" w:sz="4" w:space="0" w:color="auto"/>
              <w:right w:val="single" w:sz="4" w:space="0" w:color="auto"/>
            </w:tcBorders>
            <w:hideMark/>
          </w:tcPr>
          <w:p w14:paraId="5F0A6146"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w:t>
            </w:r>
          </w:p>
        </w:tc>
      </w:tr>
      <w:tr w:rsidR="008862C7" w14:paraId="2107021C" w14:textId="77777777" w:rsidTr="008862C7">
        <w:trPr>
          <w:trHeight w:val="135"/>
        </w:trPr>
        <w:tc>
          <w:tcPr>
            <w:tcW w:w="2502" w:type="pct"/>
            <w:tcBorders>
              <w:top w:val="single" w:sz="4" w:space="0" w:color="auto"/>
              <w:left w:val="single" w:sz="4" w:space="0" w:color="auto"/>
              <w:bottom w:val="single" w:sz="4" w:space="0" w:color="auto"/>
              <w:right w:val="single" w:sz="4" w:space="0" w:color="auto"/>
            </w:tcBorders>
            <w:shd w:val="clear" w:color="auto" w:fill="D9D9D9"/>
            <w:hideMark/>
          </w:tcPr>
          <w:p w14:paraId="12BD3B8A" w14:textId="77777777" w:rsidR="008862C7" w:rsidRDefault="008862C7">
            <w:pPr>
              <w:tabs>
                <w:tab w:val="left" w:pos="708"/>
              </w:tabs>
              <w:spacing w:before="120" w:after="0" w:line="240" w:lineRule="auto"/>
              <w:jc w:val="both"/>
              <w:rPr>
                <w:rFonts w:ascii="Arial" w:eastAsia="Times New Roman" w:hAnsi="Arial" w:cs="Arial"/>
              </w:rPr>
            </w:pPr>
            <w:r>
              <w:rPr>
                <w:rFonts w:ascii="Arial" w:hAnsi="Arial" w:cs="Arial"/>
              </w:rPr>
              <w:t>Coût par unité de CG produite (FCFA/Kg)</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A1EB8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118</w:t>
            </w:r>
          </w:p>
        </w:tc>
        <w:tc>
          <w:tcPr>
            <w:tcW w:w="1092" w:type="pct"/>
            <w:tcBorders>
              <w:top w:val="single" w:sz="4" w:space="0" w:color="auto"/>
              <w:left w:val="single" w:sz="4" w:space="0" w:color="auto"/>
              <w:bottom w:val="single" w:sz="4" w:space="0" w:color="auto"/>
              <w:right w:val="single" w:sz="4" w:space="0" w:color="auto"/>
            </w:tcBorders>
            <w:shd w:val="clear" w:color="auto" w:fill="D9D9D9"/>
            <w:hideMark/>
          </w:tcPr>
          <w:p w14:paraId="5ED4B3EA"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w:t>
            </w:r>
          </w:p>
        </w:tc>
      </w:tr>
    </w:tbl>
    <w:p w14:paraId="24E8B2E8" w14:textId="77777777" w:rsidR="008862C7" w:rsidRDefault="008862C7" w:rsidP="008862C7">
      <w:pPr>
        <w:spacing w:before="240" w:after="0" w:line="360" w:lineRule="auto"/>
        <w:jc w:val="both"/>
        <w:rPr>
          <w:rFonts w:ascii="Arial" w:eastAsia="Times New Roman" w:hAnsi="Arial" w:cs="Arial"/>
          <w:sz w:val="24"/>
          <w:szCs w:val="24"/>
        </w:rPr>
      </w:pPr>
      <w:r>
        <w:rPr>
          <w:rFonts w:ascii="Arial" w:hAnsi="Arial" w:cs="Arial"/>
          <w:sz w:val="24"/>
          <w:szCs w:val="24"/>
        </w:rPr>
        <w:t xml:space="preserve">La faiblesse de la main-d’œuvre familiale oblige les producteurs à recourir de plus en plus à la main-d’œuvre extérieure pour réaliser les principales opérations du cycle cultural. Ainsi le coût de la main-d’œuvre représente 62% des coûts. Le coût des matériels agricoles est de 3,10% et enfin le coût des intrants qui représente 35,30%. Cela montre que  le coût de la main-d’œuvre suivi de celui des intrants chimiques sont les principaux postes de dépenses dans le système de production cotonnière en Centrafrique. </w:t>
      </w:r>
    </w:p>
    <w:p w14:paraId="0E2433BE" w14:textId="77777777" w:rsidR="008862C7" w:rsidRDefault="008862C7" w:rsidP="008862C7">
      <w:pPr>
        <w:pStyle w:val="Paragraphedeliste"/>
        <w:numPr>
          <w:ilvl w:val="3"/>
          <w:numId w:val="34"/>
        </w:numPr>
        <w:spacing w:before="120" w:after="120" w:line="360" w:lineRule="auto"/>
        <w:jc w:val="both"/>
        <w:outlineLvl w:val="5"/>
        <w:rPr>
          <w:rFonts w:ascii="Arial" w:hAnsi="Arial" w:cs="Arial"/>
          <w:b/>
          <w:sz w:val="24"/>
          <w:szCs w:val="28"/>
        </w:rPr>
      </w:pPr>
      <w:bookmarkStart w:id="171" w:name="_Toc395107632"/>
      <w:r>
        <w:rPr>
          <w:rFonts w:ascii="Arial" w:hAnsi="Arial" w:cs="Arial"/>
          <w:b/>
          <w:sz w:val="24"/>
          <w:szCs w:val="28"/>
        </w:rPr>
        <w:t xml:space="preserve">Structure du revenu </w:t>
      </w:r>
      <w:r>
        <w:rPr>
          <w:rFonts w:ascii="Arial" w:hAnsi="Arial" w:cs="Arial"/>
          <w:b/>
          <w:sz w:val="24"/>
          <w:szCs w:val="24"/>
        </w:rPr>
        <w:t>des exploitations agricoles dans les régions cotonnières</w:t>
      </w:r>
      <w:bookmarkEnd w:id="171"/>
      <w:r>
        <w:rPr>
          <w:rFonts w:ascii="Arial" w:hAnsi="Arial" w:cs="Arial"/>
          <w:b/>
          <w:sz w:val="24"/>
          <w:szCs w:val="28"/>
        </w:rPr>
        <w:t xml:space="preserve"> </w:t>
      </w:r>
    </w:p>
    <w:p w14:paraId="1DE1C21D" w14:textId="77777777" w:rsidR="008862C7" w:rsidRDefault="008862C7" w:rsidP="008862C7">
      <w:pPr>
        <w:pStyle w:val="Paragraphedeliste"/>
        <w:numPr>
          <w:ilvl w:val="0"/>
          <w:numId w:val="37"/>
        </w:numPr>
        <w:spacing w:before="240" w:after="120" w:line="360" w:lineRule="auto"/>
        <w:ind w:hanging="584"/>
        <w:jc w:val="both"/>
        <w:outlineLvl w:val="7"/>
        <w:rPr>
          <w:rFonts w:ascii="Arial" w:hAnsi="Arial" w:cs="Arial"/>
          <w:b/>
          <w:sz w:val="24"/>
          <w:szCs w:val="28"/>
        </w:rPr>
      </w:pPr>
      <w:bookmarkStart w:id="172" w:name="_Toc395107633"/>
      <w:r>
        <w:rPr>
          <w:rFonts w:ascii="Arial" w:hAnsi="Arial" w:cs="Arial"/>
          <w:b/>
          <w:sz w:val="24"/>
          <w:szCs w:val="28"/>
        </w:rPr>
        <w:t>Prix au producteur</w:t>
      </w:r>
      <w:bookmarkEnd w:id="172"/>
    </w:p>
    <w:p w14:paraId="78E08DF3"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Dans la majeure partie des économies cotonnières du monde, les prix aux producteurs sont administrés. En Centrafrique, les prix du coton sont officiellement communiqués par le Ministère du Développement Rural suite à une réunion avec les principaux acteurs de la filière (Ministère, ACDA, producteur).</w:t>
      </w:r>
    </w:p>
    <w:p w14:paraId="59B2A50D"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Notons que les variations du prix sont beaucoup plus entachées des considérations politiques et sociales que de la loi du marché. Le prix du coton au producteur est fixé en fonction de la qualité du coton graine, ceci du fait qu’on distingue trois qualités de coton. Le coton de 1</w:t>
      </w:r>
      <w:r>
        <w:rPr>
          <w:rFonts w:ascii="Arial" w:hAnsi="Arial" w:cs="Arial"/>
          <w:sz w:val="24"/>
          <w:szCs w:val="24"/>
          <w:vertAlign w:val="superscript"/>
        </w:rPr>
        <w:t>er</w:t>
      </w:r>
      <w:r>
        <w:rPr>
          <w:rFonts w:ascii="Arial" w:hAnsi="Arial" w:cs="Arial"/>
          <w:sz w:val="24"/>
          <w:szCs w:val="24"/>
        </w:rPr>
        <w:t xml:space="preserve"> choix (coton blanc) est celui qui a le prix élevé suivi du coton de 2</w:t>
      </w:r>
      <w:r>
        <w:rPr>
          <w:rFonts w:ascii="Arial" w:hAnsi="Arial" w:cs="Arial"/>
          <w:sz w:val="24"/>
          <w:szCs w:val="24"/>
          <w:vertAlign w:val="superscript"/>
        </w:rPr>
        <w:t>ième</w:t>
      </w:r>
      <w:r>
        <w:rPr>
          <w:rFonts w:ascii="Arial" w:hAnsi="Arial" w:cs="Arial"/>
          <w:sz w:val="24"/>
          <w:szCs w:val="24"/>
        </w:rPr>
        <w:t xml:space="preserve"> choix (coton jaune) et enfin du coton de </w:t>
      </w:r>
      <w:r>
        <w:rPr>
          <w:rFonts w:ascii="Arial" w:hAnsi="Arial" w:cs="Arial"/>
          <w:sz w:val="24"/>
          <w:szCs w:val="24"/>
        </w:rPr>
        <w:lastRenderedPageBreak/>
        <w:t>3</w:t>
      </w:r>
      <w:r>
        <w:rPr>
          <w:rFonts w:ascii="Arial" w:hAnsi="Arial" w:cs="Arial"/>
          <w:sz w:val="24"/>
          <w:szCs w:val="24"/>
          <w:vertAlign w:val="superscript"/>
        </w:rPr>
        <w:t>ième</w:t>
      </w:r>
      <w:r>
        <w:rPr>
          <w:rFonts w:ascii="Arial" w:hAnsi="Arial" w:cs="Arial"/>
          <w:sz w:val="24"/>
          <w:szCs w:val="24"/>
        </w:rPr>
        <w:t xml:space="preserve"> choix qui présente un prix dérisoire. Cette classification a pour objectif d’encourager le producteur au respect de bonnes pratiques agricoles, sources d’amélioration de la qualité du coton et donc de sa compétitivité.</w:t>
      </w:r>
    </w:p>
    <w:p w14:paraId="3572D4A4"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A partir de ces qualités et de leurs prix respectifs, on peut déterminer le prix moyen annuel. Le tableau suivant fournit ces différents prix.</w:t>
      </w:r>
    </w:p>
    <w:p w14:paraId="11546728" w14:textId="77777777" w:rsidR="008862C7" w:rsidRDefault="008862C7" w:rsidP="008862C7">
      <w:pPr>
        <w:spacing w:before="240" w:after="0" w:line="360" w:lineRule="auto"/>
        <w:jc w:val="both"/>
        <w:rPr>
          <w:rFonts w:ascii="Arial" w:hAnsi="Arial" w:cs="Arial"/>
          <w:sz w:val="24"/>
          <w:szCs w:val="24"/>
        </w:rPr>
      </w:pPr>
      <w:r>
        <w:rPr>
          <w:rFonts w:ascii="Arial" w:hAnsi="Arial" w:cs="Arial"/>
          <w:b/>
          <w:sz w:val="24"/>
          <w:szCs w:val="24"/>
        </w:rPr>
        <w:t xml:space="preserve">Tableau 3.6 : </w:t>
      </w:r>
      <w:r>
        <w:rPr>
          <w:rFonts w:ascii="Arial" w:hAnsi="Arial" w:cs="Arial"/>
          <w:sz w:val="24"/>
          <w:szCs w:val="24"/>
        </w:rPr>
        <w:t>Evolution du prix d’achat de coton-graine au producteur (en FCFA/kg)</w:t>
      </w:r>
    </w:p>
    <w:tbl>
      <w:tblPr>
        <w:tblW w:w="4897"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07"/>
        <w:gridCol w:w="265"/>
        <w:gridCol w:w="1035"/>
        <w:gridCol w:w="1035"/>
        <w:gridCol w:w="995"/>
        <w:gridCol w:w="995"/>
        <w:gridCol w:w="1150"/>
        <w:gridCol w:w="995"/>
        <w:gridCol w:w="869"/>
      </w:tblGrid>
      <w:tr w:rsidR="008862C7" w14:paraId="785CCF50" w14:textId="77777777" w:rsidTr="008862C7">
        <w:tc>
          <w:tcPr>
            <w:tcW w:w="1453" w:type="pct"/>
            <w:tcBorders>
              <w:top w:val="single" w:sz="4" w:space="0" w:color="auto"/>
              <w:left w:val="single" w:sz="4" w:space="0" w:color="auto"/>
              <w:bottom w:val="single" w:sz="4" w:space="0" w:color="auto"/>
              <w:right w:val="single" w:sz="4" w:space="0" w:color="auto"/>
            </w:tcBorders>
            <w:vAlign w:val="center"/>
            <w:hideMark/>
          </w:tcPr>
          <w:p w14:paraId="6E061942"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Coton graine</w:t>
            </w:r>
          </w:p>
        </w:tc>
        <w:tc>
          <w:tcPr>
            <w:tcW w:w="128" w:type="pct"/>
            <w:tcBorders>
              <w:top w:val="single" w:sz="4" w:space="0" w:color="auto"/>
              <w:left w:val="single" w:sz="4" w:space="0" w:color="auto"/>
              <w:bottom w:val="single" w:sz="4" w:space="0" w:color="auto"/>
              <w:right w:val="nil"/>
            </w:tcBorders>
            <w:vAlign w:val="center"/>
          </w:tcPr>
          <w:p w14:paraId="7B03EDDD" w14:textId="77777777" w:rsidR="008862C7" w:rsidRDefault="008862C7">
            <w:pPr>
              <w:tabs>
                <w:tab w:val="left" w:pos="708"/>
              </w:tabs>
              <w:spacing w:before="120" w:after="0" w:line="276" w:lineRule="auto"/>
              <w:jc w:val="center"/>
              <w:rPr>
                <w:rFonts w:ascii="Arial" w:eastAsia="Times New Roman" w:hAnsi="Arial" w:cs="Arial"/>
              </w:rPr>
            </w:pPr>
          </w:p>
        </w:tc>
        <w:tc>
          <w:tcPr>
            <w:tcW w:w="500" w:type="pct"/>
            <w:tcBorders>
              <w:top w:val="single" w:sz="4" w:space="0" w:color="auto"/>
              <w:left w:val="nil"/>
              <w:bottom w:val="single" w:sz="4" w:space="0" w:color="auto"/>
              <w:right w:val="single" w:sz="4" w:space="0" w:color="auto"/>
            </w:tcBorders>
            <w:vAlign w:val="center"/>
            <w:hideMark/>
          </w:tcPr>
          <w:p w14:paraId="60C91EE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05/06</w:t>
            </w:r>
          </w:p>
        </w:tc>
        <w:tc>
          <w:tcPr>
            <w:tcW w:w="500" w:type="pct"/>
            <w:tcBorders>
              <w:top w:val="single" w:sz="4" w:space="0" w:color="auto"/>
              <w:left w:val="single" w:sz="4" w:space="0" w:color="auto"/>
              <w:bottom w:val="single" w:sz="4" w:space="0" w:color="auto"/>
              <w:right w:val="single" w:sz="4" w:space="0" w:color="auto"/>
            </w:tcBorders>
            <w:vAlign w:val="center"/>
            <w:hideMark/>
          </w:tcPr>
          <w:p w14:paraId="1EB3B29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06/07</w:t>
            </w:r>
          </w:p>
        </w:tc>
        <w:tc>
          <w:tcPr>
            <w:tcW w:w="481" w:type="pct"/>
            <w:tcBorders>
              <w:top w:val="single" w:sz="4" w:space="0" w:color="auto"/>
              <w:left w:val="single" w:sz="4" w:space="0" w:color="auto"/>
              <w:bottom w:val="single" w:sz="4" w:space="0" w:color="auto"/>
              <w:right w:val="single" w:sz="4" w:space="0" w:color="auto"/>
            </w:tcBorders>
            <w:vAlign w:val="center"/>
            <w:hideMark/>
          </w:tcPr>
          <w:p w14:paraId="6ED69AC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07/08</w:t>
            </w:r>
          </w:p>
        </w:tc>
        <w:tc>
          <w:tcPr>
            <w:tcW w:w="481" w:type="pct"/>
            <w:tcBorders>
              <w:top w:val="single" w:sz="4" w:space="0" w:color="auto"/>
              <w:left w:val="single" w:sz="4" w:space="0" w:color="auto"/>
              <w:bottom w:val="single" w:sz="4" w:space="0" w:color="auto"/>
              <w:right w:val="single" w:sz="4" w:space="0" w:color="auto"/>
            </w:tcBorders>
            <w:vAlign w:val="center"/>
            <w:hideMark/>
          </w:tcPr>
          <w:p w14:paraId="39FBA06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08/09</w:t>
            </w:r>
          </w:p>
        </w:tc>
        <w:tc>
          <w:tcPr>
            <w:tcW w:w="556" w:type="pct"/>
            <w:tcBorders>
              <w:top w:val="single" w:sz="4" w:space="0" w:color="auto"/>
              <w:left w:val="single" w:sz="4" w:space="0" w:color="auto"/>
              <w:bottom w:val="single" w:sz="4" w:space="0" w:color="auto"/>
              <w:right w:val="single" w:sz="4" w:space="0" w:color="auto"/>
            </w:tcBorders>
            <w:vAlign w:val="center"/>
            <w:hideMark/>
          </w:tcPr>
          <w:p w14:paraId="0546460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09/10</w:t>
            </w:r>
          </w:p>
        </w:tc>
        <w:tc>
          <w:tcPr>
            <w:tcW w:w="481" w:type="pct"/>
            <w:tcBorders>
              <w:top w:val="single" w:sz="4" w:space="0" w:color="auto"/>
              <w:left w:val="single" w:sz="4" w:space="0" w:color="auto"/>
              <w:bottom w:val="single" w:sz="4" w:space="0" w:color="auto"/>
              <w:right w:val="single" w:sz="4" w:space="0" w:color="auto"/>
            </w:tcBorders>
            <w:vAlign w:val="center"/>
            <w:hideMark/>
          </w:tcPr>
          <w:p w14:paraId="73F81DA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10/11</w:t>
            </w:r>
          </w:p>
        </w:tc>
        <w:tc>
          <w:tcPr>
            <w:tcW w:w="422" w:type="pct"/>
            <w:tcBorders>
              <w:top w:val="single" w:sz="4" w:space="0" w:color="auto"/>
              <w:left w:val="single" w:sz="4" w:space="0" w:color="auto"/>
              <w:bottom w:val="single" w:sz="4" w:space="0" w:color="auto"/>
              <w:right w:val="single" w:sz="4" w:space="0" w:color="auto"/>
            </w:tcBorders>
            <w:vAlign w:val="center"/>
            <w:hideMark/>
          </w:tcPr>
          <w:p w14:paraId="10967D9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11/12</w:t>
            </w:r>
          </w:p>
        </w:tc>
      </w:tr>
      <w:tr w:rsidR="008862C7" w14:paraId="60B9DEC5" w14:textId="77777777" w:rsidTr="008862C7">
        <w:trPr>
          <w:trHeight w:val="225"/>
        </w:trPr>
        <w:tc>
          <w:tcPr>
            <w:tcW w:w="1453" w:type="pct"/>
            <w:tcBorders>
              <w:top w:val="single" w:sz="4" w:space="0" w:color="auto"/>
              <w:left w:val="single" w:sz="4" w:space="0" w:color="auto"/>
              <w:bottom w:val="single" w:sz="4" w:space="0" w:color="auto"/>
              <w:right w:val="single" w:sz="4" w:space="0" w:color="auto"/>
            </w:tcBorders>
            <w:vAlign w:val="center"/>
            <w:hideMark/>
          </w:tcPr>
          <w:p w14:paraId="1B8A1884"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1</w:t>
            </w:r>
            <w:r>
              <w:rPr>
                <w:rFonts w:ascii="Arial" w:hAnsi="Arial" w:cs="Arial"/>
                <w:vertAlign w:val="superscript"/>
              </w:rPr>
              <w:t>er</w:t>
            </w:r>
            <w:r>
              <w:rPr>
                <w:rFonts w:ascii="Arial" w:hAnsi="Arial" w:cs="Arial"/>
              </w:rPr>
              <w:t xml:space="preserve"> choix </w:t>
            </w:r>
          </w:p>
        </w:tc>
        <w:tc>
          <w:tcPr>
            <w:tcW w:w="128" w:type="pct"/>
            <w:tcBorders>
              <w:top w:val="single" w:sz="4" w:space="0" w:color="auto"/>
              <w:left w:val="single" w:sz="4" w:space="0" w:color="auto"/>
              <w:bottom w:val="single" w:sz="4" w:space="0" w:color="auto"/>
              <w:right w:val="nil"/>
            </w:tcBorders>
            <w:vAlign w:val="center"/>
          </w:tcPr>
          <w:p w14:paraId="1BDB3B86" w14:textId="77777777" w:rsidR="008862C7" w:rsidRDefault="008862C7">
            <w:pPr>
              <w:tabs>
                <w:tab w:val="left" w:pos="708"/>
              </w:tabs>
              <w:spacing w:before="120" w:after="0" w:line="276" w:lineRule="auto"/>
              <w:jc w:val="both"/>
              <w:rPr>
                <w:rFonts w:ascii="Arial" w:eastAsia="Times New Roman" w:hAnsi="Arial" w:cs="Arial"/>
              </w:rPr>
            </w:pPr>
          </w:p>
        </w:tc>
        <w:tc>
          <w:tcPr>
            <w:tcW w:w="500" w:type="pct"/>
            <w:tcBorders>
              <w:top w:val="single" w:sz="4" w:space="0" w:color="auto"/>
              <w:left w:val="nil"/>
              <w:bottom w:val="single" w:sz="4" w:space="0" w:color="auto"/>
              <w:right w:val="single" w:sz="4" w:space="0" w:color="auto"/>
            </w:tcBorders>
            <w:vAlign w:val="center"/>
            <w:hideMark/>
          </w:tcPr>
          <w:p w14:paraId="448746A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AED07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481" w:type="pct"/>
            <w:tcBorders>
              <w:top w:val="single" w:sz="4" w:space="0" w:color="auto"/>
              <w:left w:val="single" w:sz="4" w:space="0" w:color="auto"/>
              <w:bottom w:val="single" w:sz="4" w:space="0" w:color="auto"/>
              <w:right w:val="single" w:sz="4" w:space="0" w:color="auto"/>
            </w:tcBorders>
            <w:vAlign w:val="center"/>
            <w:hideMark/>
          </w:tcPr>
          <w:p w14:paraId="117F02A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481" w:type="pct"/>
            <w:tcBorders>
              <w:top w:val="single" w:sz="4" w:space="0" w:color="auto"/>
              <w:left w:val="single" w:sz="4" w:space="0" w:color="auto"/>
              <w:bottom w:val="single" w:sz="4" w:space="0" w:color="auto"/>
              <w:right w:val="single" w:sz="4" w:space="0" w:color="auto"/>
            </w:tcBorders>
            <w:vAlign w:val="center"/>
            <w:hideMark/>
          </w:tcPr>
          <w:p w14:paraId="5095695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556" w:type="pct"/>
            <w:tcBorders>
              <w:top w:val="single" w:sz="4" w:space="0" w:color="auto"/>
              <w:left w:val="single" w:sz="4" w:space="0" w:color="auto"/>
              <w:bottom w:val="single" w:sz="4" w:space="0" w:color="auto"/>
              <w:right w:val="single" w:sz="4" w:space="0" w:color="auto"/>
            </w:tcBorders>
            <w:vAlign w:val="center"/>
            <w:hideMark/>
          </w:tcPr>
          <w:p w14:paraId="0EF793B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481" w:type="pct"/>
            <w:tcBorders>
              <w:top w:val="single" w:sz="4" w:space="0" w:color="auto"/>
              <w:left w:val="single" w:sz="4" w:space="0" w:color="auto"/>
              <w:bottom w:val="single" w:sz="4" w:space="0" w:color="auto"/>
              <w:right w:val="single" w:sz="4" w:space="0" w:color="auto"/>
            </w:tcBorders>
            <w:vAlign w:val="center"/>
            <w:hideMark/>
          </w:tcPr>
          <w:p w14:paraId="4AEB7EA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160</w:t>
            </w:r>
          </w:p>
        </w:tc>
        <w:tc>
          <w:tcPr>
            <w:tcW w:w="422" w:type="pct"/>
            <w:tcBorders>
              <w:top w:val="single" w:sz="4" w:space="0" w:color="auto"/>
              <w:left w:val="single" w:sz="4" w:space="0" w:color="auto"/>
              <w:bottom w:val="single" w:sz="4" w:space="0" w:color="auto"/>
              <w:right w:val="single" w:sz="4" w:space="0" w:color="auto"/>
            </w:tcBorders>
            <w:vAlign w:val="center"/>
            <w:hideMark/>
          </w:tcPr>
          <w:p w14:paraId="47674B2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175</w:t>
            </w:r>
          </w:p>
        </w:tc>
      </w:tr>
      <w:tr w:rsidR="008862C7" w14:paraId="1474D862" w14:textId="77777777" w:rsidTr="008862C7">
        <w:trPr>
          <w:trHeight w:val="70"/>
        </w:trPr>
        <w:tc>
          <w:tcPr>
            <w:tcW w:w="1453" w:type="pct"/>
            <w:tcBorders>
              <w:top w:val="nil"/>
              <w:left w:val="single" w:sz="4" w:space="0" w:color="auto"/>
              <w:bottom w:val="single" w:sz="4" w:space="0" w:color="auto"/>
              <w:right w:val="single" w:sz="4" w:space="0" w:color="auto"/>
            </w:tcBorders>
            <w:vAlign w:val="center"/>
            <w:hideMark/>
          </w:tcPr>
          <w:p w14:paraId="55A404BB"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2</w:t>
            </w:r>
            <w:r>
              <w:rPr>
                <w:rFonts w:ascii="Arial" w:hAnsi="Arial" w:cs="Arial"/>
                <w:vertAlign w:val="superscript"/>
              </w:rPr>
              <w:t>ième</w:t>
            </w:r>
            <w:r>
              <w:rPr>
                <w:rFonts w:ascii="Arial" w:hAnsi="Arial" w:cs="Arial"/>
              </w:rPr>
              <w:t xml:space="preserve"> choix</w:t>
            </w:r>
          </w:p>
        </w:tc>
        <w:tc>
          <w:tcPr>
            <w:tcW w:w="128" w:type="pct"/>
            <w:tcBorders>
              <w:top w:val="nil"/>
              <w:left w:val="single" w:sz="4" w:space="0" w:color="auto"/>
              <w:bottom w:val="single" w:sz="4" w:space="0" w:color="auto"/>
              <w:right w:val="nil"/>
            </w:tcBorders>
            <w:vAlign w:val="center"/>
          </w:tcPr>
          <w:p w14:paraId="1056599F" w14:textId="77777777" w:rsidR="008862C7" w:rsidRDefault="008862C7">
            <w:pPr>
              <w:tabs>
                <w:tab w:val="left" w:pos="708"/>
              </w:tabs>
              <w:spacing w:before="120" w:after="0" w:line="276" w:lineRule="auto"/>
              <w:jc w:val="both"/>
              <w:rPr>
                <w:rFonts w:ascii="Arial" w:eastAsia="Times New Roman" w:hAnsi="Arial" w:cs="Arial"/>
              </w:rPr>
            </w:pPr>
          </w:p>
        </w:tc>
        <w:tc>
          <w:tcPr>
            <w:tcW w:w="500" w:type="pct"/>
            <w:tcBorders>
              <w:top w:val="nil"/>
              <w:left w:val="nil"/>
              <w:bottom w:val="single" w:sz="4" w:space="0" w:color="auto"/>
              <w:right w:val="single" w:sz="4" w:space="0" w:color="auto"/>
            </w:tcBorders>
            <w:vAlign w:val="center"/>
            <w:hideMark/>
          </w:tcPr>
          <w:p w14:paraId="5BB8DA8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w:t>
            </w:r>
          </w:p>
        </w:tc>
        <w:tc>
          <w:tcPr>
            <w:tcW w:w="500" w:type="pct"/>
            <w:tcBorders>
              <w:top w:val="nil"/>
              <w:left w:val="single" w:sz="4" w:space="0" w:color="auto"/>
              <w:bottom w:val="single" w:sz="4" w:space="0" w:color="auto"/>
              <w:right w:val="single" w:sz="4" w:space="0" w:color="auto"/>
            </w:tcBorders>
            <w:vAlign w:val="center"/>
            <w:hideMark/>
          </w:tcPr>
          <w:p w14:paraId="5DA3C4C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w:t>
            </w:r>
          </w:p>
        </w:tc>
        <w:tc>
          <w:tcPr>
            <w:tcW w:w="481" w:type="pct"/>
            <w:tcBorders>
              <w:top w:val="nil"/>
              <w:left w:val="single" w:sz="4" w:space="0" w:color="auto"/>
              <w:bottom w:val="single" w:sz="4" w:space="0" w:color="auto"/>
              <w:right w:val="single" w:sz="4" w:space="0" w:color="auto"/>
            </w:tcBorders>
            <w:vAlign w:val="center"/>
            <w:hideMark/>
          </w:tcPr>
          <w:p w14:paraId="6EC1FE4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w:t>
            </w:r>
          </w:p>
        </w:tc>
        <w:tc>
          <w:tcPr>
            <w:tcW w:w="481" w:type="pct"/>
            <w:tcBorders>
              <w:top w:val="nil"/>
              <w:left w:val="single" w:sz="4" w:space="0" w:color="auto"/>
              <w:bottom w:val="single" w:sz="4" w:space="0" w:color="auto"/>
              <w:right w:val="single" w:sz="4" w:space="0" w:color="auto"/>
            </w:tcBorders>
            <w:vAlign w:val="center"/>
            <w:hideMark/>
          </w:tcPr>
          <w:p w14:paraId="2344FC2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w:t>
            </w:r>
          </w:p>
        </w:tc>
        <w:tc>
          <w:tcPr>
            <w:tcW w:w="556" w:type="pct"/>
            <w:tcBorders>
              <w:top w:val="nil"/>
              <w:left w:val="single" w:sz="4" w:space="0" w:color="auto"/>
              <w:bottom w:val="single" w:sz="4" w:space="0" w:color="auto"/>
              <w:right w:val="single" w:sz="4" w:space="0" w:color="auto"/>
            </w:tcBorders>
            <w:vAlign w:val="center"/>
            <w:hideMark/>
          </w:tcPr>
          <w:p w14:paraId="28894E1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105</w:t>
            </w:r>
          </w:p>
        </w:tc>
        <w:tc>
          <w:tcPr>
            <w:tcW w:w="481" w:type="pct"/>
            <w:tcBorders>
              <w:top w:val="nil"/>
              <w:left w:val="single" w:sz="4" w:space="0" w:color="auto"/>
              <w:bottom w:val="single" w:sz="4" w:space="0" w:color="auto"/>
              <w:right w:val="single" w:sz="4" w:space="0" w:color="auto"/>
            </w:tcBorders>
            <w:vAlign w:val="center"/>
            <w:hideMark/>
          </w:tcPr>
          <w:p w14:paraId="3685828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115</w:t>
            </w:r>
          </w:p>
        </w:tc>
        <w:tc>
          <w:tcPr>
            <w:tcW w:w="422" w:type="pct"/>
            <w:tcBorders>
              <w:top w:val="nil"/>
              <w:left w:val="single" w:sz="4" w:space="0" w:color="auto"/>
              <w:bottom w:val="single" w:sz="4" w:space="0" w:color="auto"/>
              <w:right w:val="single" w:sz="4" w:space="0" w:color="auto"/>
            </w:tcBorders>
            <w:vAlign w:val="center"/>
            <w:hideMark/>
          </w:tcPr>
          <w:p w14:paraId="3AEC408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115</w:t>
            </w:r>
          </w:p>
        </w:tc>
      </w:tr>
      <w:tr w:rsidR="008862C7" w14:paraId="30C20B97" w14:textId="77777777" w:rsidTr="008862C7">
        <w:tc>
          <w:tcPr>
            <w:tcW w:w="1453" w:type="pct"/>
            <w:tcBorders>
              <w:top w:val="single" w:sz="4" w:space="0" w:color="auto"/>
              <w:left w:val="single" w:sz="4" w:space="0" w:color="auto"/>
              <w:bottom w:val="single" w:sz="4" w:space="0" w:color="auto"/>
              <w:right w:val="single" w:sz="4" w:space="0" w:color="auto"/>
            </w:tcBorders>
            <w:vAlign w:val="center"/>
            <w:hideMark/>
          </w:tcPr>
          <w:p w14:paraId="619DF0CE"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3</w:t>
            </w:r>
            <w:r>
              <w:rPr>
                <w:rFonts w:ascii="Arial" w:hAnsi="Arial" w:cs="Arial"/>
                <w:vertAlign w:val="superscript"/>
              </w:rPr>
              <w:t>ième</w:t>
            </w:r>
            <w:r>
              <w:rPr>
                <w:rFonts w:ascii="Arial" w:hAnsi="Arial" w:cs="Arial"/>
              </w:rPr>
              <w:t xml:space="preserve"> choix </w:t>
            </w:r>
          </w:p>
        </w:tc>
        <w:tc>
          <w:tcPr>
            <w:tcW w:w="128" w:type="pct"/>
            <w:tcBorders>
              <w:top w:val="single" w:sz="4" w:space="0" w:color="auto"/>
              <w:left w:val="single" w:sz="4" w:space="0" w:color="auto"/>
              <w:bottom w:val="single" w:sz="4" w:space="0" w:color="auto"/>
              <w:right w:val="nil"/>
            </w:tcBorders>
            <w:vAlign w:val="center"/>
          </w:tcPr>
          <w:p w14:paraId="032BFA70" w14:textId="77777777" w:rsidR="008862C7" w:rsidRDefault="008862C7">
            <w:pPr>
              <w:tabs>
                <w:tab w:val="left" w:pos="708"/>
              </w:tabs>
              <w:spacing w:before="120" w:after="0" w:line="276" w:lineRule="auto"/>
              <w:jc w:val="both"/>
              <w:rPr>
                <w:rFonts w:ascii="Arial" w:eastAsia="Times New Roman" w:hAnsi="Arial" w:cs="Arial"/>
              </w:rPr>
            </w:pPr>
          </w:p>
        </w:tc>
        <w:tc>
          <w:tcPr>
            <w:tcW w:w="500" w:type="pct"/>
            <w:tcBorders>
              <w:top w:val="single" w:sz="4" w:space="0" w:color="auto"/>
              <w:left w:val="nil"/>
              <w:bottom w:val="single" w:sz="4" w:space="0" w:color="auto"/>
              <w:right w:val="single" w:sz="4" w:space="0" w:color="auto"/>
            </w:tcBorders>
            <w:vAlign w:val="center"/>
            <w:hideMark/>
          </w:tcPr>
          <w:p w14:paraId="493347D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500" w:type="pct"/>
            <w:tcBorders>
              <w:top w:val="single" w:sz="4" w:space="0" w:color="auto"/>
              <w:left w:val="single" w:sz="4" w:space="0" w:color="auto"/>
              <w:bottom w:val="single" w:sz="4" w:space="0" w:color="auto"/>
              <w:right w:val="single" w:sz="4" w:space="0" w:color="auto"/>
            </w:tcBorders>
            <w:vAlign w:val="center"/>
            <w:hideMark/>
          </w:tcPr>
          <w:p w14:paraId="4F58FDC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481" w:type="pct"/>
            <w:tcBorders>
              <w:top w:val="single" w:sz="4" w:space="0" w:color="auto"/>
              <w:left w:val="single" w:sz="4" w:space="0" w:color="auto"/>
              <w:bottom w:val="single" w:sz="4" w:space="0" w:color="auto"/>
              <w:right w:val="single" w:sz="4" w:space="0" w:color="auto"/>
            </w:tcBorders>
            <w:vAlign w:val="center"/>
            <w:hideMark/>
          </w:tcPr>
          <w:p w14:paraId="240D460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481" w:type="pct"/>
            <w:tcBorders>
              <w:top w:val="single" w:sz="4" w:space="0" w:color="auto"/>
              <w:left w:val="single" w:sz="4" w:space="0" w:color="auto"/>
              <w:bottom w:val="single" w:sz="4" w:space="0" w:color="auto"/>
              <w:right w:val="single" w:sz="4" w:space="0" w:color="auto"/>
            </w:tcBorders>
            <w:vAlign w:val="center"/>
            <w:hideMark/>
          </w:tcPr>
          <w:p w14:paraId="2C44B9B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556" w:type="pct"/>
            <w:tcBorders>
              <w:top w:val="single" w:sz="4" w:space="0" w:color="auto"/>
              <w:left w:val="single" w:sz="4" w:space="0" w:color="auto"/>
              <w:bottom w:val="single" w:sz="4" w:space="0" w:color="auto"/>
              <w:right w:val="single" w:sz="4" w:space="0" w:color="auto"/>
            </w:tcBorders>
            <w:vAlign w:val="center"/>
            <w:hideMark/>
          </w:tcPr>
          <w:p w14:paraId="6394566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c>
          <w:tcPr>
            <w:tcW w:w="481" w:type="pct"/>
            <w:tcBorders>
              <w:top w:val="single" w:sz="4" w:space="0" w:color="auto"/>
              <w:left w:val="single" w:sz="4" w:space="0" w:color="auto"/>
              <w:bottom w:val="single" w:sz="4" w:space="0" w:color="auto"/>
              <w:right w:val="single" w:sz="4" w:space="0" w:color="auto"/>
            </w:tcBorders>
            <w:vAlign w:val="center"/>
            <w:hideMark/>
          </w:tcPr>
          <w:p w14:paraId="4CC463F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80</w:t>
            </w:r>
          </w:p>
        </w:tc>
        <w:tc>
          <w:tcPr>
            <w:tcW w:w="422" w:type="pct"/>
            <w:tcBorders>
              <w:top w:val="single" w:sz="4" w:space="0" w:color="auto"/>
              <w:left w:val="single" w:sz="4" w:space="0" w:color="auto"/>
              <w:bottom w:val="single" w:sz="4" w:space="0" w:color="auto"/>
              <w:right w:val="single" w:sz="4" w:space="0" w:color="auto"/>
            </w:tcBorders>
            <w:vAlign w:val="center"/>
            <w:hideMark/>
          </w:tcPr>
          <w:p w14:paraId="253D03A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80</w:t>
            </w:r>
          </w:p>
        </w:tc>
      </w:tr>
    </w:tbl>
    <w:p w14:paraId="1F43653E" w14:textId="77777777" w:rsidR="008862C7" w:rsidRDefault="008862C7" w:rsidP="008862C7">
      <w:pPr>
        <w:spacing w:before="120" w:after="0" w:line="240" w:lineRule="auto"/>
        <w:jc w:val="both"/>
        <w:rPr>
          <w:rFonts w:ascii="Arial" w:eastAsia="Times New Roman" w:hAnsi="Arial" w:cs="Arial"/>
          <w:sz w:val="20"/>
          <w:szCs w:val="24"/>
        </w:rPr>
      </w:pPr>
      <w:r>
        <w:rPr>
          <w:rFonts w:ascii="Arial" w:hAnsi="Arial" w:cs="Arial"/>
          <w:sz w:val="20"/>
          <w:szCs w:val="24"/>
        </w:rPr>
        <w:t>Source : Cellule Coton, année 2013 et BEAC, année 2012</w:t>
      </w:r>
    </w:p>
    <w:p w14:paraId="778FB6A4" w14:textId="77777777" w:rsidR="008862C7" w:rsidRDefault="008862C7" w:rsidP="008862C7">
      <w:pPr>
        <w:spacing w:before="240" w:after="240" w:line="360" w:lineRule="auto"/>
        <w:jc w:val="both"/>
        <w:rPr>
          <w:rFonts w:ascii="Arial" w:hAnsi="Arial" w:cs="Arial"/>
          <w:sz w:val="24"/>
          <w:szCs w:val="24"/>
        </w:rPr>
      </w:pPr>
      <w:r>
        <w:rPr>
          <w:rFonts w:ascii="Arial" w:hAnsi="Arial" w:cs="Arial"/>
          <w:sz w:val="24"/>
          <w:szCs w:val="24"/>
        </w:rPr>
        <w:t xml:space="preserve">Le prix du coton en Centrafrique est resté stable pendant presque dix ans malgré la chute des cours mondiaux sur la période. Ceci grâce aux subventions de l’Etat qui finance en partie les intrants et les prix. </w:t>
      </w:r>
    </w:p>
    <w:p w14:paraId="5F5E977B" w14:textId="77777777" w:rsidR="008862C7" w:rsidRDefault="008862C7" w:rsidP="008862C7">
      <w:pPr>
        <w:spacing w:before="240" w:after="240" w:line="360" w:lineRule="auto"/>
        <w:jc w:val="both"/>
        <w:rPr>
          <w:rFonts w:ascii="Arial" w:hAnsi="Arial" w:cs="Arial"/>
          <w:sz w:val="24"/>
          <w:szCs w:val="24"/>
        </w:rPr>
      </w:pPr>
      <w:r>
        <w:rPr>
          <w:rFonts w:ascii="Arial" w:hAnsi="Arial" w:cs="Arial"/>
          <w:sz w:val="24"/>
          <w:szCs w:val="24"/>
        </w:rPr>
        <w:t xml:space="preserve">Toutefois, comme l’indique le tableau, ce prix est fonction de la qualité du coton graine produit. </w:t>
      </w:r>
    </w:p>
    <w:p w14:paraId="4AE624B9"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Ainsi, on peut constater que plus le coton graine est de bonne qualité (1</w:t>
      </w:r>
      <w:r>
        <w:rPr>
          <w:rFonts w:ascii="Arial" w:hAnsi="Arial" w:cs="Arial"/>
          <w:sz w:val="24"/>
          <w:szCs w:val="24"/>
          <w:vertAlign w:val="superscript"/>
        </w:rPr>
        <w:t>er</w:t>
      </w:r>
      <w:r>
        <w:rPr>
          <w:rFonts w:ascii="Arial" w:hAnsi="Arial" w:cs="Arial"/>
          <w:sz w:val="24"/>
          <w:szCs w:val="24"/>
        </w:rPr>
        <w:t xml:space="preserve"> choix) plus le prix moyen se rapproche du prix du coton de 1</w:t>
      </w:r>
      <w:r>
        <w:rPr>
          <w:rFonts w:ascii="Arial" w:hAnsi="Arial" w:cs="Arial"/>
          <w:sz w:val="24"/>
          <w:szCs w:val="24"/>
          <w:vertAlign w:val="superscript"/>
        </w:rPr>
        <w:t>er</w:t>
      </w:r>
      <w:r>
        <w:rPr>
          <w:rFonts w:ascii="Arial" w:hAnsi="Arial" w:cs="Arial"/>
          <w:sz w:val="24"/>
          <w:szCs w:val="24"/>
        </w:rPr>
        <w:t xml:space="preserve"> choix. </w:t>
      </w:r>
    </w:p>
    <w:p w14:paraId="7A1B9B47" w14:textId="77777777" w:rsidR="008862C7" w:rsidRDefault="008862C7" w:rsidP="008862C7">
      <w:pPr>
        <w:pStyle w:val="Paragraphedeliste"/>
        <w:numPr>
          <w:ilvl w:val="0"/>
          <w:numId w:val="37"/>
        </w:numPr>
        <w:spacing w:before="120" w:after="120" w:line="360" w:lineRule="auto"/>
        <w:jc w:val="both"/>
        <w:outlineLvl w:val="7"/>
        <w:rPr>
          <w:rFonts w:ascii="Arial" w:hAnsi="Arial" w:cs="Arial"/>
          <w:b/>
          <w:sz w:val="24"/>
          <w:szCs w:val="28"/>
        </w:rPr>
      </w:pPr>
      <w:bookmarkStart w:id="173" w:name="_Toc395107634"/>
      <w:r>
        <w:rPr>
          <w:rFonts w:ascii="Arial" w:hAnsi="Arial" w:cs="Arial"/>
          <w:b/>
          <w:sz w:val="24"/>
          <w:szCs w:val="28"/>
        </w:rPr>
        <w:t>Revenu coton</w:t>
      </w:r>
      <w:bookmarkEnd w:id="173"/>
    </w:p>
    <w:p w14:paraId="1020FD57"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Dans les zones cotonnières, seul le coton constituait une source relativement sûre de revenus pour le producteur. Ce revenu leur permettait d’acquérir des équipements agricoles, des cheptels, des équipements ménagers, des biens de consommation mais aussi de financer la scolarisation des enfants et la santé de la famille, et parfois de doter leurs femmes pour les plus jeunes. </w:t>
      </w:r>
    </w:p>
    <w:p w14:paraId="5CA3A089"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bref, c’était la principale source d’investissement des producteurs de la région des savanes. En revanche, les revenus obtenus lors de la vente occasionnelle des vivriers sont destinés à l’achat des produits de première nécessité. Ceci revient donc à dire que le revenu cotonnier avait une valeur beaucoup plus qualitative que quantitative ; c’est-à-dire que bien que faible, les revenus cotonniers étaient beaucoup plus perçus par les producteurs en valeur absolue car c’est l’occasion pour eux de disposer du coup d’une grosse somme d’argent permettant de réaliser des investissements. </w:t>
      </w:r>
    </w:p>
    <w:p w14:paraId="0C528EE0"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lastRenderedPageBreak/>
        <w:t xml:space="preserve">En parlant de revenu, il importe de distinguer le revenu brut, le revenu net et le revenu disponible. Essayons de déterminer ces différents revenus pour la compagne 2011-2012. </w:t>
      </w:r>
    </w:p>
    <w:p w14:paraId="563FD87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La production moyenne du coton est de 578 kg/ha et le revenu brut est de 75 863</w:t>
      </w:r>
      <w:r>
        <w:rPr>
          <w:rFonts w:ascii="Times New Roman" w:hAnsi="Times New Roman"/>
          <w:sz w:val="24"/>
          <w:szCs w:val="24"/>
        </w:rPr>
        <w:t xml:space="preserve"> </w:t>
      </w:r>
      <w:r>
        <w:rPr>
          <w:rFonts w:ascii="Arial" w:hAnsi="Arial" w:cs="Arial"/>
          <w:sz w:val="24"/>
          <w:szCs w:val="24"/>
        </w:rPr>
        <w:t>FCFA. De ce revenu brut, il faut déduire le coût total de production pour obtenir le revenu net.</w:t>
      </w:r>
    </w:p>
    <w:p w14:paraId="6A5FB30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coût moyen (CM) des intrants est CM = 17.338 FCFA et la moyenne des exploitations cotonnière enquêtées est de 0,72 ha. Le revenu net du producteur de coton s’obtient en déduisant du revenu brut la valeur des intrants.</w:t>
      </w:r>
    </w:p>
    <w:p w14:paraId="74631789"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Tableau 3.7 :</w:t>
      </w:r>
      <w:r>
        <w:rPr>
          <w:rFonts w:ascii="Arial" w:hAnsi="Arial" w:cs="Arial"/>
          <w:sz w:val="24"/>
          <w:szCs w:val="24"/>
        </w:rPr>
        <w:t xml:space="preserve"> Détermination des revenus coton</w:t>
      </w:r>
    </w:p>
    <w:tbl>
      <w:tblPr>
        <w:tblW w:w="4884" w:type="pct"/>
        <w:tblInd w:w="108" w:type="dxa"/>
        <w:tblLook w:val="04A0" w:firstRow="1" w:lastRow="0" w:firstColumn="1" w:lastColumn="0" w:noHBand="0" w:noVBand="1"/>
      </w:tblPr>
      <w:tblGrid>
        <w:gridCol w:w="5642"/>
        <w:gridCol w:w="4677"/>
      </w:tblGrid>
      <w:tr w:rsidR="008862C7" w14:paraId="28954BD2" w14:textId="77777777" w:rsidTr="008862C7">
        <w:trPr>
          <w:trHeight w:val="318"/>
        </w:trPr>
        <w:tc>
          <w:tcPr>
            <w:tcW w:w="2734" w:type="pct"/>
            <w:tcBorders>
              <w:top w:val="single" w:sz="4" w:space="0" w:color="auto"/>
              <w:left w:val="single" w:sz="4" w:space="0" w:color="auto"/>
              <w:bottom w:val="single" w:sz="4" w:space="0" w:color="auto"/>
              <w:right w:val="nil"/>
            </w:tcBorders>
            <w:hideMark/>
          </w:tcPr>
          <w:p w14:paraId="188ACB5F"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Libelle</w:t>
            </w:r>
          </w:p>
        </w:tc>
        <w:tc>
          <w:tcPr>
            <w:tcW w:w="2266" w:type="pct"/>
            <w:tcBorders>
              <w:top w:val="single" w:sz="4" w:space="0" w:color="auto"/>
              <w:left w:val="single" w:sz="4" w:space="0" w:color="auto"/>
              <w:bottom w:val="single" w:sz="4" w:space="0" w:color="auto"/>
              <w:right w:val="single" w:sz="4" w:space="0" w:color="auto"/>
            </w:tcBorders>
            <w:hideMark/>
          </w:tcPr>
          <w:p w14:paraId="1FA8C4D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Montant en FCFA</w:t>
            </w:r>
          </w:p>
        </w:tc>
      </w:tr>
      <w:tr w:rsidR="008862C7" w14:paraId="7D089DFF" w14:textId="77777777" w:rsidTr="008862C7">
        <w:trPr>
          <w:trHeight w:val="70"/>
        </w:trPr>
        <w:tc>
          <w:tcPr>
            <w:tcW w:w="2734" w:type="pct"/>
            <w:tcBorders>
              <w:top w:val="nil"/>
              <w:left w:val="single" w:sz="4" w:space="0" w:color="auto"/>
              <w:bottom w:val="single" w:sz="4" w:space="0" w:color="auto"/>
              <w:right w:val="nil"/>
            </w:tcBorders>
            <w:hideMark/>
          </w:tcPr>
          <w:p w14:paraId="028A8299"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 xml:space="preserve">Produit Brut (PB) </w:t>
            </w:r>
          </w:p>
        </w:tc>
        <w:tc>
          <w:tcPr>
            <w:tcW w:w="2266" w:type="pct"/>
            <w:tcBorders>
              <w:top w:val="nil"/>
              <w:left w:val="single" w:sz="4" w:space="0" w:color="auto"/>
              <w:bottom w:val="single" w:sz="4" w:space="0" w:color="auto"/>
              <w:right w:val="single" w:sz="4" w:space="0" w:color="auto"/>
            </w:tcBorders>
            <w:hideMark/>
          </w:tcPr>
          <w:p w14:paraId="16C0C9C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75.863</w:t>
            </w:r>
          </w:p>
        </w:tc>
      </w:tr>
      <w:tr w:rsidR="008862C7" w14:paraId="609BB502" w14:textId="77777777" w:rsidTr="008862C7">
        <w:trPr>
          <w:trHeight w:val="265"/>
        </w:trPr>
        <w:tc>
          <w:tcPr>
            <w:tcW w:w="2734" w:type="pct"/>
            <w:tcBorders>
              <w:top w:val="nil"/>
              <w:left w:val="single" w:sz="4" w:space="0" w:color="auto"/>
              <w:bottom w:val="single" w:sz="4" w:space="0" w:color="auto"/>
              <w:right w:val="nil"/>
            </w:tcBorders>
            <w:hideMark/>
          </w:tcPr>
          <w:p w14:paraId="4EA228E9"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 xml:space="preserve">Intrants chimiques </w:t>
            </w:r>
          </w:p>
        </w:tc>
        <w:tc>
          <w:tcPr>
            <w:tcW w:w="2266" w:type="pct"/>
            <w:tcBorders>
              <w:top w:val="nil"/>
              <w:left w:val="single" w:sz="4" w:space="0" w:color="auto"/>
              <w:bottom w:val="single" w:sz="4" w:space="0" w:color="auto"/>
              <w:right w:val="single" w:sz="4" w:space="0" w:color="auto"/>
            </w:tcBorders>
            <w:vAlign w:val="center"/>
            <w:hideMark/>
          </w:tcPr>
          <w:p w14:paraId="3E08546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12.483</w:t>
            </w:r>
          </w:p>
        </w:tc>
      </w:tr>
      <w:tr w:rsidR="008862C7" w14:paraId="47F9D10C" w14:textId="77777777" w:rsidTr="008862C7">
        <w:trPr>
          <w:trHeight w:val="235"/>
        </w:trPr>
        <w:tc>
          <w:tcPr>
            <w:tcW w:w="2734" w:type="pct"/>
            <w:tcBorders>
              <w:top w:val="single" w:sz="4" w:space="0" w:color="auto"/>
              <w:left w:val="single" w:sz="4" w:space="0" w:color="auto"/>
              <w:bottom w:val="nil"/>
              <w:right w:val="nil"/>
            </w:tcBorders>
            <w:hideMark/>
          </w:tcPr>
          <w:p w14:paraId="507BFEA5"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 xml:space="preserve">Main-d’œuvre </w:t>
            </w:r>
          </w:p>
        </w:tc>
        <w:tc>
          <w:tcPr>
            <w:tcW w:w="2266" w:type="pct"/>
            <w:tcBorders>
              <w:top w:val="single" w:sz="4" w:space="0" w:color="auto"/>
              <w:left w:val="single" w:sz="4" w:space="0" w:color="auto"/>
              <w:bottom w:val="nil"/>
              <w:right w:val="single" w:sz="4" w:space="0" w:color="auto"/>
            </w:tcBorders>
            <w:vAlign w:val="center"/>
            <w:hideMark/>
          </w:tcPr>
          <w:p w14:paraId="3FE4CF8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21.773</w:t>
            </w:r>
          </w:p>
        </w:tc>
      </w:tr>
      <w:tr w:rsidR="008862C7" w14:paraId="2EB6516E" w14:textId="77777777" w:rsidTr="008862C7">
        <w:tc>
          <w:tcPr>
            <w:tcW w:w="2734" w:type="pct"/>
            <w:tcBorders>
              <w:top w:val="single" w:sz="4" w:space="0" w:color="auto"/>
              <w:left w:val="single" w:sz="4" w:space="0" w:color="auto"/>
              <w:bottom w:val="single" w:sz="4" w:space="0" w:color="auto"/>
              <w:right w:val="nil"/>
            </w:tcBorders>
            <w:hideMark/>
          </w:tcPr>
          <w:p w14:paraId="55D587E2"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Amortissement matériels agricoles</w:t>
            </w:r>
          </w:p>
        </w:tc>
        <w:tc>
          <w:tcPr>
            <w:tcW w:w="2266" w:type="pct"/>
            <w:tcBorders>
              <w:top w:val="single" w:sz="4" w:space="0" w:color="auto"/>
              <w:left w:val="single" w:sz="4" w:space="0" w:color="auto"/>
              <w:bottom w:val="single" w:sz="4" w:space="0" w:color="auto"/>
              <w:right w:val="single" w:sz="4" w:space="0" w:color="auto"/>
            </w:tcBorders>
            <w:vAlign w:val="center"/>
            <w:hideMark/>
          </w:tcPr>
          <w:p w14:paraId="7BCAD0B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1.513</w:t>
            </w:r>
          </w:p>
        </w:tc>
      </w:tr>
      <w:tr w:rsidR="008862C7" w14:paraId="54140C21" w14:textId="77777777" w:rsidTr="008862C7">
        <w:trPr>
          <w:trHeight w:val="115"/>
        </w:trPr>
        <w:tc>
          <w:tcPr>
            <w:tcW w:w="2734" w:type="pct"/>
            <w:tcBorders>
              <w:top w:val="single" w:sz="4" w:space="0" w:color="auto"/>
              <w:left w:val="single" w:sz="4" w:space="0" w:color="auto"/>
              <w:bottom w:val="single" w:sz="4" w:space="0" w:color="auto"/>
              <w:right w:val="nil"/>
            </w:tcBorders>
            <w:hideMark/>
          </w:tcPr>
          <w:p w14:paraId="235EA521"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Caisse Fédération</w:t>
            </w:r>
          </w:p>
        </w:tc>
        <w:tc>
          <w:tcPr>
            <w:tcW w:w="2266" w:type="pct"/>
            <w:tcBorders>
              <w:top w:val="single" w:sz="4" w:space="0" w:color="auto"/>
              <w:left w:val="single" w:sz="4" w:space="0" w:color="auto"/>
              <w:bottom w:val="single" w:sz="4" w:space="0" w:color="auto"/>
              <w:right w:val="single" w:sz="4" w:space="0" w:color="auto"/>
            </w:tcBorders>
            <w:hideMark/>
          </w:tcPr>
          <w:p w14:paraId="00F1B75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1.248</w:t>
            </w:r>
          </w:p>
        </w:tc>
      </w:tr>
      <w:tr w:rsidR="008862C7" w14:paraId="2B03260E" w14:textId="77777777" w:rsidTr="008862C7">
        <w:tc>
          <w:tcPr>
            <w:tcW w:w="2734" w:type="pct"/>
            <w:tcBorders>
              <w:top w:val="nil"/>
              <w:left w:val="single" w:sz="4" w:space="0" w:color="auto"/>
              <w:bottom w:val="single" w:sz="4" w:space="0" w:color="auto"/>
              <w:right w:val="nil"/>
            </w:tcBorders>
            <w:hideMark/>
          </w:tcPr>
          <w:p w14:paraId="20222150"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Coût total de production (CT)</w:t>
            </w:r>
          </w:p>
        </w:tc>
        <w:tc>
          <w:tcPr>
            <w:tcW w:w="2266" w:type="pct"/>
            <w:tcBorders>
              <w:top w:val="nil"/>
              <w:left w:val="single" w:sz="4" w:space="0" w:color="auto"/>
              <w:bottom w:val="single" w:sz="4" w:space="0" w:color="auto"/>
              <w:right w:val="single" w:sz="4" w:space="0" w:color="auto"/>
            </w:tcBorders>
            <w:vAlign w:val="center"/>
            <w:hideMark/>
          </w:tcPr>
          <w:p w14:paraId="5864B86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37.017</w:t>
            </w:r>
          </w:p>
        </w:tc>
      </w:tr>
      <w:tr w:rsidR="008862C7" w14:paraId="73B27EDD" w14:textId="77777777" w:rsidTr="008862C7">
        <w:tc>
          <w:tcPr>
            <w:tcW w:w="2734" w:type="pct"/>
            <w:tcBorders>
              <w:top w:val="single" w:sz="4" w:space="0" w:color="auto"/>
              <w:left w:val="single" w:sz="4" w:space="0" w:color="auto"/>
              <w:bottom w:val="single" w:sz="4" w:space="0" w:color="auto"/>
              <w:right w:val="nil"/>
            </w:tcBorders>
            <w:hideMark/>
          </w:tcPr>
          <w:p w14:paraId="32D7AA5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Revenu net (RN = PB-CT)</w:t>
            </w:r>
          </w:p>
        </w:tc>
        <w:tc>
          <w:tcPr>
            <w:tcW w:w="2266" w:type="pct"/>
            <w:tcBorders>
              <w:top w:val="single" w:sz="4" w:space="0" w:color="auto"/>
              <w:left w:val="single" w:sz="4" w:space="0" w:color="auto"/>
              <w:bottom w:val="single" w:sz="4" w:space="0" w:color="auto"/>
              <w:right w:val="single" w:sz="4" w:space="0" w:color="auto"/>
            </w:tcBorders>
            <w:hideMark/>
          </w:tcPr>
          <w:p w14:paraId="16AFDCB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38.846</w:t>
            </w:r>
          </w:p>
        </w:tc>
      </w:tr>
    </w:tbl>
    <w:p w14:paraId="21B9DB33" w14:textId="77777777" w:rsidR="008862C7" w:rsidRDefault="008862C7" w:rsidP="008862C7">
      <w:pPr>
        <w:spacing w:before="240" w:after="0" w:line="360" w:lineRule="auto"/>
        <w:jc w:val="both"/>
        <w:rPr>
          <w:rFonts w:ascii="Arial" w:eastAsia="Times New Roman" w:hAnsi="Arial" w:cs="Arial"/>
          <w:sz w:val="24"/>
          <w:szCs w:val="24"/>
        </w:rPr>
      </w:pPr>
      <w:r>
        <w:rPr>
          <w:rFonts w:ascii="Arial" w:hAnsi="Arial" w:cs="Arial"/>
          <w:sz w:val="24"/>
          <w:szCs w:val="24"/>
        </w:rPr>
        <w:t>En somme, le producteur de coton se retrouve avec un revenu moyen disponible de 38.846</w:t>
      </w:r>
      <w:r>
        <w:rPr>
          <w:rFonts w:ascii="Times New Roman" w:hAnsi="Times New Roman"/>
          <w:b/>
          <w:sz w:val="24"/>
          <w:szCs w:val="24"/>
        </w:rPr>
        <w:t xml:space="preserve"> </w:t>
      </w:r>
      <w:r>
        <w:rPr>
          <w:rFonts w:ascii="Arial" w:hAnsi="Arial" w:cs="Arial"/>
          <w:sz w:val="24"/>
          <w:szCs w:val="24"/>
        </w:rPr>
        <w:t xml:space="preserve">FCFA, revenu tant attendu durant une compagne entière. </w:t>
      </w:r>
    </w:p>
    <w:p w14:paraId="721AF13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Nous avons travaillé ici qu’avec des moyennes qui dissimulent des disparités. En effet, dans le Nord-Ouest où les rendements sont relativement plus élevés 680 kg/ha, les producteurs réalisent des revenus disponibles supérieurs à ceux obtenus dans notre cas. Eu égard, au temps consacré à la culture du coton (environ 135 jours) son revenu est relativement faible. De ce fait, les producteurs coton ont tendance à diversifier leurs activités par les cultures vivrières dont les revenus sont parfois plus importants même s’ils sont aléatoires et dilués dans le temps. </w:t>
      </w:r>
    </w:p>
    <w:p w14:paraId="0EA3D173" w14:textId="77777777" w:rsidR="008862C7" w:rsidRDefault="008862C7" w:rsidP="008862C7">
      <w:pPr>
        <w:pStyle w:val="Paragraphedeliste"/>
        <w:numPr>
          <w:ilvl w:val="0"/>
          <w:numId w:val="24"/>
        </w:numPr>
        <w:spacing w:before="240" w:after="0" w:line="360" w:lineRule="auto"/>
        <w:jc w:val="both"/>
        <w:outlineLvl w:val="2"/>
        <w:rPr>
          <w:rFonts w:ascii="Arial" w:hAnsi="Arial" w:cs="Arial"/>
          <w:b/>
          <w:sz w:val="24"/>
          <w:szCs w:val="28"/>
        </w:rPr>
      </w:pPr>
      <w:bookmarkStart w:id="174" w:name="_Toc395107635"/>
      <w:r>
        <w:rPr>
          <w:rFonts w:ascii="Arial" w:hAnsi="Arial" w:cs="Arial"/>
          <w:b/>
          <w:sz w:val="24"/>
          <w:szCs w:val="28"/>
        </w:rPr>
        <w:t xml:space="preserve">ANALYSE DU SYSTEME DE COMMERCIALISATION DU COTON </w:t>
      </w:r>
      <w:bookmarkEnd w:id="174"/>
    </w:p>
    <w:p w14:paraId="3DA6EAF1" w14:textId="77777777" w:rsidR="008862C7" w:rsidRDefault="008862C7" w:rsidP="008862C7">
      <w:pPr>
        <w:spacing w:before="120" w:line="360" w:lineRule="auto"/>
        <w:jc w:val="both"/>
        <w:rPr>
          <w:rFonts w:ascii="Arial" w:hAnsi="Arial" w:cs="Arial"/>
          <w:sz w:val="24"/>
          <w:szCs w:val="28"/>
        </w:rPr>
      </w:pPr>
      <w:r>
        <w:rPr>
          <w:rFonts w:ascii="Arial" w:hAnsi="Arial" w:cs="Arial"/>
          <w:sz w:val="24"/>
          <w:szCs w:val="28"/>
        </w:rPr>
        <w:t>Le système de commercialisation du coton centrafricain est composé de deux sous systèmes qui peuvent à leur tour être considérés comme des systèmes à part entière. Ainsi, on distingue le système de commercialisation interne et le système de commercialisation externe du coton centrafricain.</w:t>
      </w:r>
    </w:p>
    <w:p w14:paraId="478FE1F0" w14:textId="77777777" w:rsidR="005C0325" w:rsidRDefault="005C0325" w:rsidP="008862C7">
      <w:pPr>
        <w:spacing w:before="120" w:line="360" w:lineRule="auto"/>
        <w:jc w:val="both"/>
        <w:rPr>
          <w:rFonts w:ascii="Arial" w:hAnsi="Arial" w:cs="Arial"/>
          <w:sz w:val="24"/>
          <w:szCs w:val="28"/>
        </w:rPr>
      </w:pPr>
    </w:p>
    <w:p w14:paraId="75DB8B7A" w14:textId="77777777" w:rsidR="008862C7" w:rsidRDefault="008862C7" w:rsidP="008862C7">
      <w:pPr>
        <w:pStyle w:val="Paragraphedeliste"/>
        <w:numPr>
          <w:ilvl w:val="1"/>
          <w:numId w:val="39"/>
        </w:numPr>
        <w:spacing w:after="120" w:line="360" w:lineRule="auto"/>
        <w:jc w:val="both"/>
        <w:outlineLvl w:val="3"/>
        <w:rPr>
          <w:rFonts w:ascii="Arial" w:hAnsi="Arial" w:cs="Arial"/>
          <w:b/>
          <w:sz w:val="24"/>
          <w:szCs w:val="28"/>
        </w:rPr>
      </w:pPr>
      <w:bookmarkStart w:id="175" w:name="_Toc395107636"/>
      <w:r>
        <w:rPr>
          <w:rFonts w:ascii="Arial" w:hAnsi="Arial" w:cs="Arial"/>
          <w:b/>
          <w:sz w:val="24"/>
          <w:szCs w:val="24"/>
        </w:rPr>
        <w:lastRenderedPageBreak/>
        <w:t>Organisation et fonctionnement du système de</w:t>
      </w:r>
      <w:r>
        <w:rPr>
          <w:rFonts w:ascii="Arial" w:hAnsi="Arial" w:cs="Arial"/>
          <w:b/>
          <w:sz w:val="24"/>
          <w:szCs w:val="28"/>
        </w:rPr>
        <w:t xml:space="preserve"> commercialisation interne</w:t>
      </w:r>
      <w:bookmarkEnd w:id="175"/>
      <w:r>
        <w:rPr>
          <w:rFonts w:ascii="Arial" w:hAnsi="Arial" w:cs="Arial"/>
          <w:b/>
          <w:sz w:val="24"/>
          <w:szCs w:val="28"/>
        </w:rPr>
        <w:t xml:space="preserve"> </w:t>
      </w:r>
    </w:p>
    <w:p w14:paraId="0282B89E"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Comme tout système économique, le système de commercialisation du coton centrafricain a une finalité propre qui n’est rien d’autre que l’évacuation d’un coton de bonne qualité, la distribution d’un revenu consistant aux producteurs, et le gain d’une certaine quantité de devises dans l’économie nationale. De cette finalité découlent les principales caractéristiques de ce système.</w:t>
      </w:r>
    </w:p>
    <w:p w14:paraId="6BF12B16" w14:textId="77777777" w:rsidR="008862C7" w:rsidRDefault="008862C7" w:rsidP="008862C7">
      <w:pPr>
        <w:pStyle w:val="Paragraphedeliste"/>
        <w:numPr>
          <w:ilvl w:val="0"/>
          <w:numId w:val="35"/>
        </w:numPr>
        <w:spacing w:before="120" w:after="120" w:line="360" w:lineRule="auto"/>
        <w:ind w:left="714" w:hanging="357"/>
        <w:jc w:val="both"/>
        <w:outlineLvl w:val="7"/>
        <w:rPr>
          <w:rFonts w:ascii="Arial" w:hAnsi="Arial" w:cs="Arial"/>
          <w:b/>
          <w:sz w:val="24"/>
          <w:szCs w:val="28"/>
        </w:rPr>
      </w:pPr>
      <w:bookmarkStart w:id="176" w:name="_Toc321251067"/>
      <w:bookmarkStart w:id="177" w:name="_Toc395107638"/>
      <w:r>
        <w:rPr>
          <w:rFonts w:ascii="Arial" w:hAnsi="Arial" w:cs="Arial"/>
          <w:b/>
          <w:sz w:val="24"/>
          <w:szCs w:val="28"/>
        </w:rPr>
        <w:t>Structure monopolistique du marché</w:t>
      </w:r>
      <w:bookmarkEnd w:id="176"/>
      <w:r>
        <w:rPr>
          <w:rFonts w:ascii="Arial" w:hAnsi="Arial" w:cs="Arial"/>
          <w:b/>
          <w:sz w:val="24"/>
          <w:szCs w:val="28"/>
        </w:rPr>
        <w:t xml:space="preserve"> interne</w:t>
      </w:r>
      <w:bookmarkEnd w:id="177"/>
    </w:p>
    <w:p w14:paraId="1E0ED2D9"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transfert du coton centrafricain depuis le producteur jusqu’aux consommateurs finaux, nécessite que le coton change de mains (propriétaires) tout le long du circuit. Cet échange exige qu’il y ait offreurs et demandeurs. Contrairement au marché extérieur qui est un marché concurrentiel, le marché primaire du coton en Centrafrique est basé sur une structure monopolistique, et plus encore un monopole d’Etat où celui-ci finance la production en accordant aux producteurs des crédits d’intrant. En retour, ils ont l’obligation de vendre toute leur production à la société cotonnière à un prix fixé d’avance par l’Etat. Ainsi, on se rapproche du système russe dans lequel le producteur serait un fonctionnaire agricole travaillant pour le compte de l’Etat moyennant un revenu annuel. </w:t>
      </w:r>
    </w:p>
    <w:p w14:paraId="39BB8FF2"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En dépit de la libéralisation amorcée depuis quelques années sous l’impulsion des institutions de Bretton-Wood, l’on note encore aujourd’hui en RCA un système de monopole où l’unique société cotonnière la </w:t>
      </w:r>
      <w:r>
        <w:rPr>
          <w:rFonts w:ascii="Arial" w:hAnsi="Arial" w:cs="Arial"/>
          <w:sz w:val="24"/>
          <w:szCs w:val="24"/>
          <w:shd w:val="clear" w:color="auto" w:fill="FFFFFF"/>
        </w:rPr>
        <w:t>State Development and Investment Corporation</w:t>
      </w:r>
      <w:r>
        <w:rPr>
          <w:rFonts w:ascii="Arial" w:hAnsi="Arial" w:cs="Arial"/>
          <w:sz w:val="24"/>
          <w:szCs w:val="24"/>
        </w:rPr>
        <w:t xml:space="preserve"> (SDIC) assure avec l’Etat le rôle central de fonctionnement et de régulation de la filière.</w:t>
      </w:r>
    </w:p>
    <w:p w14:paraId="6B8E0AD5" w14:textId="77777777" w:rsidR="008862C7" w:rsidRDefault="008862C7" w:rsidP="008862C7">
      <w:pPr>
        <w:pStyle w:val="Paragraphedeliste"/>
        <w:numPr>
          <w:ilvl w:val="0"/>
          <w:numId w:val="35"/>
        </w:numPr>
        <w:spacing w:after="120" w:line="360" w:lineRule="auto"/>
        <w:jc w:val="both"/>
        <w:outlineLvl w:val="7"/>
        <w:rPr>
          <w:rFonts w:ascii="Arial" w:hAnsi="Arial" w:cs="Arial"/>
          <w:b/>
          <w:sz w:val="24"/>
          <w:szCs w:val="28"/>
        </w:rPr>
      </w:pPr>
      <w:bookmarkStart w:id="178" w:name="_Toc395107639"/>
      <w:bookmarkStart w:id="179" w:name="_Toc321251069"/>
      <w:r>
        <w:rPr>
          <w:rFonts w:ascii="Arial" w:hAnsi="Arial" w:cs="Arial"/>
          <w:b/>
          <w:sz w:val="24"/>
          <w:szCs w:val="28"/>
        </w:rPr>
        <w:t>Position dominante de l’Etat</w:t>
      </w:r>
      <w:bookmarkEnd w:id="178"/>
      <w:bookmarkEnd w:id="179"/>
    </w:p>
    <w:p w14:paraId="43427801"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L’histoire des sociétés cotonnières installées en RCA est relativement courte et mouvementée. Elle est marquée par une position dominante de l’Etat. L’indépendance jouant son ménagement, l’on a assisté à la nationalisation de l’Union Cotonnière Centrafricaine (UCCA) et à la création de la Société Centrafricaine de Développement Agricole (SOCADA), une société d’Etat tenant en main le monopole du marché cotonnier centrafricain. </w:t>
      </w:r>
    </w:p>
    <w:p w14:paraId="6802841F"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La puissance commerciale d’une société s’évalue facilement en calculant sa part dans la collecte et l’exportation d’un produit et sa place dans la revente des marchandises importées. Or, tout comme dans le passé avec la SOCADA, l’Etat assurait encore jusqu’en 2012 non seulement toutes les fonctions commerciales du circuit par l’entremise de la Cellule coton, mais encore aujourd’hui l’encadrement techniques des producteurs, la recherche agronomique et la fourniture des intrants agricoles.</w:t>
      </w:r>
    </w:p>
    <w:p w14:paraId="43937739" w14:textId="77777777" w:rsidR="008862C7" w:rsidRDefault="008862C7" w:rsidP="008862C7">
      <w:pPr>
        <w:pStyle w:val="Paragraphedeliste"/>
        <w:numPr>
          <w:ilvl w:val="0"/>
          <w:numId w:val="35"/>
        </w:numPr>
        <w:spacing w:after="120" w:line="360" w:lineRule="auto"/>
        <w:jc w:val="both"/>
        <w:outlineLvl w:val="7"/>
        <w:rPr>
          <w:rFonts w:ascii="Arial" w:hAnsi="Arial" w:cs="Arial"/>
          <w:b/>
          <w:sz w:val="24"/>
          <w:szCs w:val="28"/>
        </w:rPr>
      </w:pPr>
      <w:bookmarkStart w:id="180" w:name="_Toc395107640"/>
      <w:bookmarkStart w:id="181" w:name="_Toc321251068"/>
      <w:r>
        <w:rPr>
          <w:rFonts w:ascii="Arial" w:hAnsi="Arial" w:cs="Arial"/>
          <w:b/>
          <w:sz w:val="24"/>
          <w:szCs w:val="28"/>
        </w:rPr>
        <w:lastRenderedPageBreak/>
        <w:t>Développement du mouvement coopératif</w:t>
      </w:r>
      <w:bookmarkEnd w:id="180"/>
      <w:bookmarkEnd w:id="181"/>
    </w:p>
    <w:p w14:paraId="0B519702"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système interne de commercialisation qui s’est imposé dans la filière cotonnière en Centrafrique a facilité le développement de mouvements coopératifs enracinés dans le pays et tournés vers le développement local des zones de production cotonnière. Dans le dynamisme de la restructuration de la filière, diverses mesures favorisant la libéralisation de la filière furent prises. </w:t>
      </w:r>
    </w:p>
    <w:p w14:paraId="541ADE4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C’est dans ce dynamisme que les GIR furent créés afin de promouvoir un commerce nationalisé et restructuré car un commerce de rapine et d’usure appauvrit le producteur et risque de le repousser dans une économie de subsistance. Ainsi, la création des GIR est vue comme une source de compétitivité prix car ils permettent de réduire considérablement le coût de collecte du coton graine par la société cotonnière.</w:t>
      </w:r>
    </w:p>
    <w:p w14:paraId="25CE0643" w14:textId="77777777" w:rsidR="008862C7" w:rsidRDefault="008862C7" w:rsidP="008862C7">
      <w:pPr>
        <w:spacing w:after="120" w:line="360" w:lineRule="auto"/>
        <w:jc w:val="both"/>
        <w:rPr>
          <w:rFonts w:ascii="Arial" w:hAnsi="Arial" w:cs="Arial"/>
          <w:sz w:val="24"/>
          <w:szCs w:val="28"/>
        </w:rPr>
      </w:pPr>
      <w:r>
        <w:rPr>
          <w:rFonts w:ascii="Arial" w:hAnsi="Arial" w:cs="Arial"/>
          <w:sz w:val="24"/>
          <w:szCs w:val="28"/>
        </w:rPr>
        <w:t>L’organisation et le fonctionnement de tout le système commercial du coton centrafricain sont construits de manière à satisfaire aux exigences du marché mondial. De ce fait, l’efficacité et la rentabilité de ce système dépend en grande partie de l’évolution des tendances sur le marché mondial. Depuis l’amont de la filière (intrants chimiques) en passant par les débouchés de la production tant du coton graine que du coton fibre, le système est organisé de manière à satisfaire les exigences du marché mondial vers lequel il reçoit les moyens de productions et y écoule toute sa production.</w:t>
      </w:r>
    </w:p>
    <w:p w14:paraId="6BD30237" w14:textId="77777777" w:rsidR="008862C7" w:rsidRDefault="008862C7" w:rsidP="008862C7">
      <w:pPr>
        <w:pStyle w:val="Paragraphedeliste"/>
        <w:numPr>
          <w:ilvl w:val="2"/>
          <w:numId w:val="39"/>
        </w:numPr>
        <w:spacing w:after="120" w:line="360" w:lineRule="auto"/>
        <w:jc w:val="both"/>
        <w:outlineLvl w:val="4"/>
        <w:rPr>
          <w:rFonts w:ascii="Arial" w:hAnsi="Arial" w:cs="Arial"/>
          <w:b/>
          <w:sz w:val="24"/>
          <w:szCs w:val="28"/>
        </w:rPr>
      </w:pPr>
      <w:bookmarkStart w:id="182" w:name="_Toc395107642"/>
      <w:r>
        <w:rPr>
          <w:rFonts w:ascii="Arial" w:hAnsi="Arial" w:cs="Arial"/>
          <w:b/>
          <w:sz w:val="24"/>
          <w:szCs w:val="28"/>
        </w:rPr>
        <w:t>Principaux acteurs du système</w:t>
      </w:r>
      <w:bookmarkEnd w:id="182"/>
      <w:r>
        <w:rPr>
          <w:rFonts w:ascii="Arial" w:hAnsi="Arial" w:cs="Arial"/>
          <w:b/>
          <w:sz w:val="24"/>
          <w:szCs w:val="28"/>
        </w:rPr>
        <w:t xml:space="preserve"> de commercialisation interne</w:t>
      </w:r>
    </w:p>
    <w:p w14:paraId="1908FBEF" w14:textId="77777777" w:rsidR="008862C7" w:rsidRDefault="008862C7" w:rsidP="008862C7">
      <w:pPr>
        <w:spacing w:after="120" w:line="360" w:lineRule="auto"/>
        <w:jc w:val="both"/>
        <w:rPr>
          <w:rFonts w:ascii="Arial" w:hAnsi="Arial" w:cs="Arial"/>
          <w:sz w:val="24"/>
          <w:szCs w:val="28"/>
        </w:rPr>
      </w:pPr>
      <w:r>
        <w:rPr>
          <w:rFonts w:ascii="Arial" w:hAnsi="Arial" w:cs="Arial"/>
          <w:sz w:val="24"/>
          <w:szCs w:val="28"/>
        </w:rPr>
        <w:t>L’organisation et le fonctionnement du système de commercialisation interne du coton centrafricain font appel à trois acteurs principaux que sont les producteurs (réunis en faitière)</w:t>
      </w:r>
      <w:r>
        <w:rPr>
          <w:rStyle w:val="Appelnotedebasdep"/>
          <w:rFonts w:ascii="Arial" w:hAnsi="Arial" w:cs="Arial"/>
          <w:sz w:val="24"/>
          <w:szCs w:val="28"/>
        </w:rPr>
        <w:footnoteReference w:id="36"/>
      </w:r>
      <w:r>
        <w:rPr>
          <w:rFonts w:ascii="Arial" w:hAnsi="Arial" w:cs="Arial"/>
          <w:sz w:val="24"/>
          <w:szCs w:val="28"/>
        </w:rPr>
        <w:t>, la société cotonnière et l’Etat</w:t>
      </w:r>
      <w:r>
        <w:rPr>
          <w:rStyle w:val="Appelnotedebasdep"/>
          <w:rFonts w:ascii="Arial" w:hAnsi="Arial" w:cs="Arial"/>
          <w:sz w:val="24"/>
          <w:szCs w:val="28"/>
        </w:rPr>
        <w:footnoteReference w:id="37"/>
      </w:r>
      <w:r>
        <w:rPr>
          <w:rFonts w:ascii="Arial" w:hAnsi="Arial" w:cs="Arial"/>
          <w:sz w:val="24"/>
          <w:szCs w:val="28"/>
        </w:rPr>
        <w:t xml:space="preserve"> dont le rôle et l’importance ne cesse de varier au fil des ans. A ces acteurs principaux, il faut ajouter les intermédiaires que sont les transporteurs de coton graine dont le rôle dans le système n’est pas des moindres. </w:t>
      </w:r>
    </w:p>
    <w:p w14:paraId="08B5AE5C" w14:textId="77777777" w:rsidR="008862C7" w:rsidRDefault="008862C7" w:rsidP="008862C7">
      <w:pPr>
        <w:pStyle w:val="Paragraphedeliste"/>
        <w:numPr>
          <w:ilvl w:val="0"/>
          <w:numId w:val="35"/>
        </w:numPr>
        <w:spacing w:after="120" w:line="360" w:lineRule="auto"/>
        <w:jc w:val="both"/>
        <w:outlineLvl w:val="7"/>
        <w:rPr>
          <w:rFonts w:ascii="Arial" w:hAnsi="Arial" w:cs="Arial"/>
          <w:b/>
          <w:sz w:val="24"/>
          <w:szCs w:val="24"/>
        </w:rPr>
      </w:pPr>
      <w:bookmarkStart w:id="183" w:name="_Toc395107643"/>
      <w:commentRangeStart w:id="184"/>
      <w:r>
        <w:rPr>
          <w:rFonts w:ascii="Arial" w:hAnsi="Arial" w:cs="Arial"/>
          <w:b/>
          <w:sz w:val="24"/>
          <w:szCs w:val="24"/>
        </w:rPr>
        <w:t>Producteurs</w:t>
      </w:r>
      <w:commentRangeEnd w:id="184"/>
      <w:r>
        <w:rPr>
          <w:rStyle w:val="Marquedecommentaire"/>
        </w:rPr>
        <w:commentReference w:id="184"/>
      </w:r>
      <w:bookmarkEnd w:id="183"/>
    </w:p>
    <w:p w14:paraId="3CEEAB2E"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A l’origine, les transactions se font directement entre la société cotonnière et les producteurs, ce qui nécessitait que les camions passent de village en village pour la collecte du coton graine. Avec la restructuration de la filière, il était question d’impliquer les producteurs dans le circuit, </w:t>
      </w:r>
      <w:r>
        <w:rPr>
          <w:rFonts w:ascii="Arial" w:hAnsi="Arial" w:cs="Arial"/>
          <w:sz w:val="24"/>
          <w:szCs w:val="24"/>
        </w:rPr>
        <w:lastRenderedPageBreak/>
        <w:t>c’est ainsi que les GIR furent créés. Les GIR ne sont pas de simples structures de commercialisation qui prennent fin après chaque marché du coton, mais prennent aussi des initiatives de développement socio-économique de leur région</w:t>
      </w:r>
      <w:r>
        <w:rPr>
          <w:rStyle w:val="Appelnotedebasdep"/>
          <w:rFonts w:ascii="Arial" w:hAnsi="Arial" w:cs="Arial"/>
          <w:sz w:val="24"/>
          <w:szCs w:val="24"/>
        </w:rPr>
        <w:footnoteReference w:id="38"/>
      </w:r>
      <w:r>
        <w:rPr>
          <w:rFonts w:ascii="Arial" w:hAnsi="Arial" w:cs="Arial"/>
          <w:sz w:val="24"/>
          <w:szCs w:val="24"/>
        </w:rPr>
        <w:t xml:space="preserve">. De ce fait, ils sont dotés d’une structure administrative composée d’un comité de gestion et de l’équipe d’organisation du marché autogéré (MAG). Ce comité est composé d’un président qui veille au bon fonctionnement du GIR, un secrétaire général chargé des affaires administratives, un Trésorier qui tient la caisse, un délégué technique chargé de suivi et d’entretien de la production du coton graine au sein du GIR. Celui-ci bénéficie d’une ristourne de 1 FCFA/kg de coton graine produit dans son GIR. </w:t>
      </w:r>
    </w:p>
    <w:p w14:paraId="2B29E08C"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En fonction de la taille des villages, un GIR peut regrouper à lui seul deux à quatre villages. Le comité de gestion du GIR est élu pour un mandat qui varie de 3 à 5 ans selon les régions.</w:t>
      </w:r>
    </w:p>
    <w:p w14:paraId="009836BA"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L’équipe du MAG est chargée de l’organisation et de la tenue effective des marchés du coton dans les zones de production ; à cet effet elle est composée d’un quittancier qui établit non seulement le tonnage pour chaque producteur, mais aussi le poids total pour le GIR, un ticketteur qui délivre à chaque producteur après pesée un ticket indiquant le tonnage, le montant brut, le montant du crédit et le revenu disponible du producteur; un peseur chargé de la pesée du coton graine, un agent de conditionnement qui s’assure de la qualité du coton graine avant la pesée. </w:t>
      </w:r>
    </w:p>
    <w:p w14:paraId="6A782535" w14:textId="77777777" w:rsidR="008862C7" w:rsidRDefault="008862C7" w:rsidP="008862C7">
      <w:pPr>
        <w:spacing w:after="120" w:line="360" w:lineRule="auto"/>
        <w:jc w:val="both"/>
        <w:rPr>
          <w:rFonts w:ascii="Arial" w:hAnsi="Arial" w:cs="Arial"/>
          <w:b/>
          <w:sz w:val="28"/>
          <w:szCs w:val="28"/>
        </w:rPr>
      </w:pPr>
      <w:r>
        <w:rPr>
          <w:rFonts w:ascii="Arial" w:hAnsi="Arial" w:cs="Arial"/>
          <w:sz w:val="24"/>
          <w:szCs w:val="24"/>
        </w:rPr>
        <w:t xml:space="preserve">Pour rendre efficace leur action, les GIR de l’Ouham et de l’Ouham-Pendé sont réunis au sein d’une organisation faitière dénommée Fédération des Producteurs de Coton de l’Ouham et l’Ouham-Pendé (FPCO). L’importance des GIR dans la filière cotonnière en RCA n’est pas des moindres. La commercialisation par les GIR a permis non seulement à la société cotonnière de réduire ses coûts de transport, mais a aussi permis aux collectivités locales de percevoir des ristournes et d’éliminer les suspections qui pesaient sur la société cotonnière en ce qui concerne le poids du coton. </w:t>
      </w:r>
      <w:r>
        <w:rPr>
          <w:rFonts w:ascii="Arial" w:hAnsi="Arial" w:cs="Arial"/>
          <w:b/>
          <w:sz w:val="28"/>
          <w:szCs w:val="28"/>
        </w:rPr>
        <w:t xml:space="preserve"> </w:t>
      </w:r>
    </w:p>
    <w:p w14:paraId="1E383F78" w14:textId="77777777" w:rsidR="008862C7" w:rsidRDefault="008862C7" w:rsidP="008862C7">
      <w:pPr>
        <w:pStyle w:val="Paragraphedeliste"/>
        <w:numPr>
          <w:ilvl w:val="0"/>
          <w:numId w:val="35"/>
        </w:numPr>
        <w:spacing w:after="120" w:line="360" w:lineRule="auto"/>
        <w:jc w:val="both"/>
        <w:outlineLvl w:val="7"/>
        <w:rPr>
          <w:rFonts w:ascii="Arial" w:hAnsi="Arial" w:cs="Arial"/>
          <w:b/>
          <w:sz w:val="24"/>
          <w:szCs w:val="28"/>
        </w:rPr>
      </w:pPr>
      <w:bookmarkStart w:id="185" w:name="_Toc395107644"/>
      <w:r>
        <w:rPr>
          <w:rFonts w:ascii="Arial" w:hAnsi="Arial" w:cs="Arial"/>
          <w:b/>
          <w:sz w:val="24"/>
          <w:szCs w:val="28"/>
        </w:rPr>
        <w:t>Société cotonnière</w:t>
      </w:r>
      <w:bookmarkEnd w:id="185"/>
      <w:r>
        <w:rPr>
          <w:rFonts w:ascii="Arial" w:hAnsi="Arial" w:cs="Arial"/>
          <w:b/>
          <w:sz w:val="24"/>
          <w:szCs w:val="28"/>
        </w:rPr>
        <w:t xml:space="preserve"> </w:t>
      </w:r>
    </w:p>
    <w:p w14:paraId="6EE79C08"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Au cœur du circuit de commercialisation du coton centrafricain se trouve la société cotonnière. Elle assure la liaison entre le marché domestique et le marché international. La société nationale monopolistique assure les fonctions de fourniture du crédit, de semences, d'engrais et </w:t>
      </w:r>
      <w:r>
        <w:rPr>
          <w:rFonts w:ascii="Arial" w:hAnsi="Arial" w:cs="Arial"/>
          <w:sz w:val="24"/>
          <w:szCs w:val="24"/>
        </w:rPr>
        <w:lastRenderedPageBreak/>
        <w:t xml:space="preserve">d'insecticides, de collecte des récoltes, d'égrainage et d'exportation. De part sa position, elle a été et sera encore la principale cible des restructurations de la filière. </w:t>
      </w:r>
    </w:p>
    <w:p w14:paraId="4659DD03" w14:textId="77777777" w:rsidR="008862C7" w:rsidRDefault="008862C7" w:rsidP="008862C7">
      <w:pPr>
        <w:pStyle w:val="Titre6"/>
        <w:spacing w:line="360" w:lineRule="auto"/>
        <w:rPr>
          <w:rFonts w:ascii="Arial" w:hAnsi="Arial" w:cs="Arial"/>
          <w:b/>
          <w:i w:val="0"/>
          <w:color w:val="auto"/>
        </w:rPr>
      </w:pPr>
      <w:bookmarkStart w:id="186" w:name="_Toc395107645"/>
      <w:bookmarkStart w:id="187" w:name="_Toc394954780"/>
      <w:bookmarkStart w:id="188" w:name="_Toc321250999"/>
      <w:bookmarkStart w:id="189" w:name="_Toc321218617"/>
      <w:r>
        <w:rPr>
          <w:rFonts w:ascii="Arial" w:hAnsi="Arial" w:cs="Arial"/>
          <w:b/>
          <w:i w:val="0"/>
          <w:color w:val="auto"/>
        </w:rPr>
        <w:t>2.1.1.2. Fonctionnement du système</w:t>
      </w:r>
      <w:bookmarkEnd w:id="186"/>
      <w:bookmarkEnd w:id="187"/>
      <w:bookmarkEnd w:id="188"/>
      <w:bookmarkEnd w:id="189"/>
      <w:r>
        <w:rPr>
          <w:rFonts w:ascii="Arial" w:hAnsi="Arial" w:cs="Arial"/>
          <w:b/>
          <w:i w:val="0"/>
          <w:color w:val="auto"/>
        </w:rPr>
        <w:t xml:space="preserve"> </w:t>
      </w:r>
    </w:p>
    <w:p w14:paraId="00808A8B"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Situées essentiellement dans le Nord-Ouest et le Centre-Est du pays, la production et la commercialisation du coton graine en Centrafrique échappent aux circuits traditionnels de commercialisation des produits agricoles, et se trouvent entre les mains de quelques opérateurs directs que sont les GIR et la société cotonnière. Dans les principales zones de production cotonnière, les accords et les transactions se font essentiellement entre les bureaux des GIR et la société cotonnière d’une part et d’autre part entre la société cotonnière et les transporteurs privés. De ces relations, découle tout le fonctionnement du système de commercialisation interne du coton centrafricain.</w:t>
      </w:r>
    </w:p>
    <w:p w14:paraId="5E4FB0CA" w14:textId="77777777" w:rsidR="008862C7" w:rsidRDefault="008862C7" w:rsidP="008862C7">
      <w:pPr>
        <w:pStyle w:val="Paragraphedeliste"/>
        <w:numPr>
          <w:ilvl w:val="0"/>
          <w:numId w:val="35"/>
        </w:numPr>
        <w:spacing w:after="0" w:line="360" w:lineRule="auto"/>
        <w:jc w:val="both"/>
        <w:outlineLvl w:val="7"/>
        <w:rPr>
          <w:rFonts w:ascii="Arial" w:hAnsi="Arial" w:cs="Arial"/>
          <w:b/>
          <w:sz w:val="24"/>
          <w:szCs w:val="28"/>
        </w:rPr>
      </w:pPr>
      <w:bookmarkStart w:id="190" w:name="_Toc395107646"/>
      <w:bookmarkStart w:id="191" w:name="_Toc321251000"/>
      <w:r>
        <w:rPr>
          <w:rFonts w:ascii="Arial" w:hAnsi="Arial" w:cs="Arial"/>
          <w:b/>
          <w:sz w:val="24"/>
          <w:szCs w:val="28"/>
        </w:rPr>
        <w:t>Marché autogéré (MAG)</w:t>
      </w:r>
      <w:bookmarkEnd w:id="190"/>
      <w:bookmarkEnd w:id="191"/>
      <w:r>
        <w:rPr>
          <w:rFonts w:ascii="Arial" w:hAnsi="Arial" w:cs="Arial"/>
          <w:b/>
          <w:sz w:val="24"/>
          <w:szCs w:val="28"/>
        </w:rPr>
        <w:t xml:space="preserve"> </w:t>
      </w:r>
    </w:p>
    <w:p w14:paraId="323E1B5D"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Pour la tenue et l’organisation du marché cotonnier dans les différentes localités, une nette répartition des tâches entre les GIR et la société cotonnière s’impose. </w:t>
      </w:r>
    </w:p>
    <w:p w14:paraId="13AC85E5"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rôle des GIR est décisif dans l’organisation du MAG et la gestion des ristournes et litiges liés à la commercialisation primaire du coton dans leur localité. Chaque GIR est responsable auprès des producteurs de sa localité de la commercialisation primaire du coton. Avant la date fixée par la société cotonnière, le président de chaque groupement convoque une réunion de mise au point où toutes les directives et les conduites relatives à la tenue du marché sont données. C’est aussi l’occasion de répartir les tâches et les contributions entre les producteurs pour l’organisation du marché. A la date fixée par la société cotonnière en fonction des informations reçues et de ces prévisions, les producteurs sont conviés à la place du marché où chacun y apporte sa production. </w:t>
      </w:r>
    </w:p>
    <w:p w14:paraId="5C996420"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Muni d’un peson, d’une bâche, d’un livret de quittance, et d’un ticket d’achat, l’équipe du MAG procède à la pesée du coton en commençant par les personnalités du village puis les membres du bureau du GIR et enfin le reste du village. Un bordereau de paiement individuel et de remboursement de crédit de campagne est établi pour chaque producteur. </w:t>
      </w:r>
    </w:p>
    <w:p w14:paraId="03A319D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Après la pesée, le coton est directement chargé dans des camions puis le délégué technique du GIR accompagne le coton jusqu’au pont bascule de l’usine. Il vérifie et compare le poids marché du poids pont bascule qui sera celui payé par la société cotonnière au GIR. Celle-ci paie non seulement aux GIR la valeur du coton graine livré mais lui verse aussi des primes et ristournes. Chaque producteur reçoit son argent dans son village en moyenne un à trois mois après le </w:t>
      </w:r>
      <w:r>
        <w:rPr>
          <w:rFonts w:ascii="Arial" w:hAnsi="Arial" w:cs="Arial"/>
          <w:sz w:val="24"/>
          <w:szCs w:val="24"/>
        </w:rPr>
        <w:lastRenderedPageBreak/>
        <w:t>marché</w:t>
      </w:r>
      <w:r>
        <w:rPr>
          <w:rStyle w:val="Appelnotedebasdep"/>
          <w:rFonts w:ascii="Arial" w:hAnsi="Arial" w:cs="Arial"/>
          <w:sz w:val="24"/>
          <w:szCs w:val="24"/>
        </w:rPr>
        <w:footnoteReference w:id="39"/>
      </w:r>
      <w:r>
        <w:rPr>
          <w:rFonts w:ascii="Arial" w:hAnsi="Arial" w:cs="Arial"/>
          <w:sz w:val="24"/>
          <w:szCs w:val="24"/>
        </w:rPr>
        <w:t>. Chaque GIR effectue le paiement des producteurs de sa localité déduction faite des crédits de compagne et de la contribution à la caisse de la fédération (3F/kg).</w:t>
      </w:r>
    </w:p>
    <w:p w14:paraId="2322E409"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La commercialisation du coton par les GIR a permis à ces derniers de générer des ristournes et des primes liées à l’organisation du marché. Il s’agit des ristournes d’encadrement, fixé à 1F/kg, et revient de droit au délégué technique pour son appui technique aux producteurs de sa localité ; des ristournes de commercialisation fixées à 4,27 FCFA/kg représentent les frais de prestation de service effectué par le GIR lors du MAG ; du primes de chargement fixé à 500F/t et représente les frais de manutention. </w:t>
      </w:r>
    </w:p>
    <w:p w14:paraId="0C92F714"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Le montant des primes et ristournes sont fonctions de la production de chaque GIR, ainsi, ceux-ci constituent de véritable levier pouvant motiver chaque GIR à accroître sa production et donc la compétitivité volume de la filière. Ces ristournes ont permis la construction et l’entretien des forages, la construction des pharmacies villageoises et de magasins d’intrants et des subventions accordées aux maîtres-parents, aux confessions religieuses et à la municipalité.</w:t>
      </w:r>
    </w:p>
    <w:p w14:paraId="7D1D6A84"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Le gestionnaire nommé par la société cotonnière est la personne ressource dont le rôle est crucial dans l’organisation du marché autogéré. Il assure en fait le flux d’information entre les GIR et la société. Cette dernière détermine la quantité des outils et matériels de commercialisation à octroyer aux GIR et fixe le calendrier des pesées et d’évacuation du coton graine. Enfin, elle planifie et gère la rotation des camions en fonction de l’évolution des pesées. Seulement, il est fréquent que les conducteurs raquettent les villageois exigeant d’eux de pots de vin et parfois de charger les véhicules même la nuit. </w:t>
      </w:r>
    </w:p>
    <w:p w14:paraId="6C8C4941"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L’évacuation du coton graine vers les usines a été réalisée de deux manières au cours des dernières décennies. A l’époque de la SOCOCA (1991-2002), l’évacuation et le transport étaient assurés par la société cotonnière elle-même avec son propre parc automobile composé de camions à caisse fixe et de camions porte conteneur. A partir de 1997, la SOCOCA associait à son parc des transporteurs privés jusqu’en 2003. Suite aux évènements militaro-politiques de 2003 le segment de transport de coton graine est libéralisé.</w:t>
      </w:r>
    </w:p>
    <w:p w14:paraId="5CE333D4"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Chacun de ces deux modes de transport présente des avantages et inconvénients notables qu’il convient de signaler. D’abord, avec son propre parc automobile le personnel est contrôlé, il y a donc obligation de résultat et une gestion plus rigoureuse du carburant. Néanmoins, la SOCOCA devrait supporter des coûts salariaux et d’entretien des automobiles. Cependant, avec la </w:t>
      </w:r>
      <w:r>
        <w:rPr>
          <w:rFonts w:ascii="Arial" w:hAnsi="Arial" w:cs="Arial"/>
          <w:sz w:val="24"/>
          <w:szCs w:val="24"/>
        </w:rPr>
        <w:lastRenderedPageBreak/>
        <w:t xml:space="preserve">libéralisation, la société cotonnière se voit décharger de ces coûts, mais devrait alors faire face à des cas de détournement du carburant par les conducteurs et au manque d’obligation de résultat  qui a pour conséquence la lenteur dans la collecte et l’évacuation du coton graine comme en témoigne le tableau suivant. </w:t>
      </w:r>
    </w:p>
    <w:p w14:paraId="1348378A"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Tableau 3.8</w:t>
      </w:r>
      <w:r>
        <w:rPr>
          <w:rFonts w:ascii="Arial" w:hAnsi="Arial" w:cs="Arial"/>
          <w:sz w:val="24"/>
          <w:szCs w:val="24"/>
        </w:rPr>
        <w:t> : Durée moyenne de collecte et d’évacuation du coton graine vers les</w:t>
      </w:r>
    </w:p>
    <w:p w14:paraId="548775B5"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                       usines en jours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127"/>
        <w:gridCol w:w="1294"/>
        <w:gridCol w:w="1292"/>
        <w:gridCol w:w="1288"/>
        <w:gridCol w:w="1288"/>
        <w:gridCol w:w="970"/>
        <w:gridCol w:w="964"/>
      </w:tblGrid>
      <w:tr w:rsidR="008862C7" w14:paraId="6B87C01C" w14:textId="77777777" w:rsidTr="008862C7">
        <w:tc>
          <w:tcPr>
            <w:tcW w:w="1016" w:type="pct"/>
            <w:tcBorders>
              <w:top w:val="single" w:sz="4" w:space="0" w:color="auto"/>
              <w:left w:val="single" w:sz="4" w:space="0" w:color="auto"/>
              <w:bottom w:val="single" w:sz="4" w:space="0" w:color="auto"/>
              <w:right w:val="single" w:sz="4" w:space="0" w:color="auto"/>
            </w:tcBorders>
            <w:hideMark/>
          </w:tcPr>
          <w:p w14:paraId="6BBB9304"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Zones</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0400BC"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02/03</w:t>
            </w:r>
          </w:p>
        </w:tc>
        <w:tc>
          <w:tcPr>
            <w:tcW w:w="627" w:type="pct"/>
            <w:tcBorders>
              <w:top w:val="single" w:sz="4" w:space="0" w:color="auto"/>
              <w:left w:val="single" w:sz="4" w:space="0" w:color="auto"/>
              <w:bottom w:val="single" w:sz="4" w:space="0" w:color="auto"/>
              <w:right w:val="single" w:sz="4" w:space="0" w:color="auto"/>
            </w:tcBorders>
            <w:vAlign w:val="center"/>
            <w:hideMark/>
          </w:tcPr>
          <w:p w14:paraId="329CDE9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03/04</w:t>
            </w:r>
          </w:p>
        </w:tc>
        <w:tc>
          <w:tcPr>
            <w:tcW w:w="626" w:type="pct"/>
            <w:tcBorders>
              <w:top w:val="single" w:sz="4" w:space="0" w:color="auto"/>
              <w:left w:val="single" w:sz="4" w:space="0" w:color="auto"/>
              <w:bottom w:val="single" w:sz="4" w:space="0" w:color="auto"/>
              <w:right w:val="single" w:sz="4" w:space="0" w:color="auto"/>
            </w:tcBorders>
            <w:vAlign w:val="center"/>
            <w:hideMark/>
          </w:tcPr>
          <w:p w14:paraId="471382AC"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04/05</w:t>
            </w:r>
          </w:p>
        </w:tc>
        <w:tc>
          <w:tcPr>
            <w:tcW w:w="624" w:type="pct"/>
            <w:tcBorders>
              <w:top w:val="single" w:sz="4" w:space="0" w:color="auto"/>
              <w:left w:val="single" w:sz="4" w:space="0" w:color="auto"/>
              <w:bottom w:val="single" w:sz="4" w:space="0" w:color="auto"/>
              <w:right w:val="single" w:sz="4" w:space="0" w:color="auto"/>
            </w:tcBorders>
            <w:vAlign w:val="center"/>
            <w:hideMark/>
          </w:tcPr>
          <w:p w14:paraId="5288CF1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06/07</w:t>
            </w:r>
          </w:p>
        </w:tc>
        <w:tc>
          <w:tcPr>
            <w:tcW w:w="624" w:type="pct"/>
            <w:tcBorders>
              <w:top w:val="single" w:sz="4" w:space="0" w:color="auto"/>
              <w:left w:val="single" w:sz="4" w:space="0" w:color="auto"/>
              <w:bottom w:val="single" w:sz="4" w:space="0" w:color="auto"/>
              <w:right w:val="single" w:sz="4" w:space="0" w:color="auto"/>
            </w:tcBorders>
            <w:vAlign w:val="center"/>
            <w:hideMark/>
          </w:tcPr>
          <w:p w14:paraId="657D473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 xml:space="preserve"> 08/09</w:t>
            </w:r>
          </w:p>
        </w:tc>
        <w:tc>
          <w:tcPr>
            <w:tcW w:w="470" w:type="pct"/>
            <w:tcBorders>
              <w:top w:val="single" w:sz="4" w:space="0" w:color="auto"/>
              <w:left w:val="single" w:sz="4" w:space="0" w:color="auto"/>
              <w:bottom w:val="single" w:sz="4" w:space="0" w:color="auto"/>
              <w:right w:val="single" w:sz="4" w:space="0" w:color="auto"/>
            </w:tcBorders>
            <w:vAlign w:val="center"/>
            <w:hideMark/>
          </w:tcPr>
          <w:p w14:paraId="12223372"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09/10</w:t>
            </w:r>
          </w:p>
        </w:tc>
        <w:tc>
          <w:tcPr>
            <w:tcW w:w="467" w:type="pct"/>
            <w:tcBorders>
              <w:top w:val="single" w:sz="4" w:space="0" w:color="auto"/>
              <w:left w:val="single" w:sz="4" w:space="0" w:color="auto"/>
              <w:bottom w:val="single" w:sz="4" w:space="0" w:color="auto"/>
              <w:right w:val="single" w:sz="4" w:space="0" w:color="auto"/>
            </w:tcBorders>
            <w:vAlign w:val="center"/>
            <w:hideMark/>
          </w:tcPr>
          <w:p w14:paraId="451C58CE"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10/11</w:t>
            </w:r>
          </w:p>
        </w:tc>
      </w:tr>
      <w:tr w:rsidR="008862C7" w14:paraId="3953DB29" w14:textId="77777777" w:rsidTr="008862C7">
        <w:tc>
          <w:tcPr>
            <w:tcW w:w="1016" w:type="pct"/>
            <w:tcBorders>
              <w:top w:val="single" w:sz="4" w:space="0" w:color="auto"/>
              <w:left w:val="single" w:sz="4" w:space="0" w:color="auto"/>
              <w:bottom w:val="single" w:sz="4" w:space="0" w:color="auto"/>
              <w:right w:val="single" w:sz="4" w:space="0" w:color="auto"/>
            </w:tcBorders>
            <w:vAlign w:val="center"/>
            <w:hideMark/>
          </w:tcPr>
          <w:p w14:paraId="51E1D3E1"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Nord-Ouest</w:t>
            </w:r>
          </w:p>
        </w:tc>
        <w:tc>
          <w:tcPr>
            <w:tcW w:w="546" w:type="pct"/>
            <w:tcBorders>
              <w:top w:val="single" w:sz="4" w:space="0" w:color="auto"/>
              <w:left w:val="single" w:sz="4" w:space="0" w:color="auto"/>
              <w:bottom w:val="single" w:sz="4" w:space="0" w:color="auto"/>
              <w:right w:val="single" w:sz="4" w:space="0" w:color="auto"/>
            </w:tcBorders>
            <w:vAlign w:val="center"/>
            <w:hideMark/>
          </w:tcPr>
          <w:p w14:paraId="5F8A332E"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149</w:t>
            </w:r>
          </w:p>
        </w:tc>
        <w:tc>
          <w:tcPr>
            <w:tcW w:w="627" w:type="pct"/>
            <w:tcBorders>
              <w:top w:val="single" w:sz="4" w:space="0" w:color="auto"/>
              <w:left w:val="single" w:sz="4" w:space="0" w:color="auto"/>
              <w:bottom w:val="single" w:sz="4" w:space="0" w:color="auto"/>
              <w:right w:val="single" w:sz="4" w:space="0" w:color="auto"/>
            </w:tcBorders>
            <w:vAlign w:val="center"/>
            <w:hideMark/>
          </w:tcPr>
          <w:p w14:paraId="53DA60BF"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w:t>
            </w:r>
          </w:p>
        </w:tc>
        <w:tc>
          <w:tcPr>
            <w:tcW w:w="626" w:type="pct"/>
            <w:tcBorders>
              <w:top w:val="single" w:sz="4" w:space="0" w:color="auto"/>
              <w:left w:val="single" w:sz="4" w:space="0" w:color="auto"/>
              <w:bottom w:val="single" w:sz="4" w:space="0" w:color="auto"/>
              <w:right w:val="single" w:sz="4" w:space="0" w:color="auto"/>
            </w:tcBorders>
            <w:vAlign w:val="center"/>
            <w:hideMark/>
          </w:tcPr>
          <w:p w14:paraId="7BBE74F2"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154</w:t>
            </w:r>
          </w:p>
        </w:tc>
        <w:tc>
          <w:tcPr>
            <w:tcW w:w="624" w:type="pct"/>
            <w:tcBorders>
              <w:top w:val="single" w:sz="4" w:space="0" w:color="auto"/>
              <w:left w:val="single" w:sz="4" w:space="0" w:color="auto"/>
              <w:bottom w:val="single" w:sz="4" w:space="0" w:color="auto"/>
              <w:right w:val="single" w:sz="4" w:space="0" w:color="auto"/>
            </w:tcBorders>
            <w:vAlign w:val="center"/>
            <w:hideMark/>
          </w:tcPr>
          <w:p w14:paraId="549967E4"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143</w:t>
            </w:r>
          </w:p>
        </w:tc>
        <w:tc>
          <w:tcPr>
            <w:tcW w:w="624" w:type="pct"/>
            <w:tcBorders>
              <w:top w:val="single" w:sz="4" w:space="0" w:color="auto"/>
              <w:left w:val="single" w:sz="4" w:space="0" w:color="auto"/>
              <w:bottom w:val="single" w:sz="4" w:space="0" w:color="auto"/>
              <w:right w:val="single" w:sz="4" w:space="0" w:color="auto"/>
            </w:tcBorders>
            <w:vAlign w:val="center"/>
            <w:hideMark/>
          </w:tcPr>
          <w:p w14:paraId="1C3378F6"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417</w:t>
            </w:r>
          </w:p>
        </w:tc>
        <w:tc>
          <w:tcPr>
            <w:tcW w:w="470" w:type="pct"/>
            <w:tcBorders>
              <w:top w:val="single" w:sz="4" w:space="0" w:color="auto"/>
              <w:left w:val="single" w:sz="4" w:space="0" w:color="auto"/>
              <w:bottom w:val="single" w:sz="4" w:space="0" w:color="auto"/>
              <w:right w:val="single" w:sz="4" w:space="0" w:color="auto"/>
            </w:tcBorders>
            <w:vAlign w:val="center"/>
            <w:hideMark/>
          </w:tcPr>
          <w:p w14:paraId="7DB434C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224</w:t>
            </w:r>
          </w:p>
        </w:tc>
        <w:tc>
          <w:tcPr>
            <w:tcW w:w="467" w:type="pct"/>
            <w:tcBorders>
              <w:top w:val="single" w:sz="4" w:space="0" w:color="auto"/>
              <w:left w:val="single" w:sz="4" w:space="0" w:color="auto"/>
              <w:bottom w:val="single" w:sz="4" w:space="0" w:color="auto"/>
              <w:right w:val="single" w:sz="4" w:space="0" w:color="auto"/>
            </w:tcBorders>
            <w:vAlign w:val="center"/>
            <w:hideMark/>
          </w:tcPr>
          <w:p w14:paraId="0558C39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ND</w:t>
            </w:r>
          </w:p>
        </w:tc>
      </w:tr>
      <w:tr w:rsidR="008862C7" w14:paraId="0EAE103C" w14:textId="77777777" w:rsidTr="008862C7">
        <w:tc>
          <w:tcPr>
            <w:tcW w:w="1016" w:type="pct"/>
            <w:tcBorders>
              <w:top w:val="single" w:sz="4" w:space="0" w:color="auto"/>
              <w:left w:val="single" w:sz="4" w:space="0" w:color="auto"/>
              <w:bottom w:val="single" w:sz="4" w:space="0" w:color="auto"/>
              <w:right w:val="single" w:sz="4" w:space="0" w:color="auto"/>
            </w:tcBorders>
            <w:vAlign w:val="center"/>
            <w:hideMark/>
          </w:tcPr>
          <w:p w14:paraId="610B77ED"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Centre. Est</w:t>
            </w:r>
          </w:p>
        </w:tc>
        <w:tc>
          <w:tcPr>
            <w:tcW w:w="546" w:type="pct"/>
            <w:tcBorders>
              <w:top w:val="single" w:sz="4" w:space="0" w:color="auto"/>
              <w:left w:val="single" w:sz="4" w:space="0" w:color="auto"/>
              <w:bottom w:val="single" w:sz="4" w:space="0" w:color="auto"/>
              <w:right w:val="single" w:sz="4" w:space="0" w:color="auto"/>
            </w:tcBorders>
            <w:vAlign w:val="center"/>
            <w:hideMark/>
          </w:tcPr>
          <w:p w14:paraId="1004BC9B"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65</w:t>
            </w:r>
          </w:p>
        </w:tc>
        <w:tc>
          <w:tcPr>
            <w:tcW w:w="627" w:type="pct"/>
            <w:tcBorders>
              <w:top w:val="single" w:sz="4" w:space="0" w:color="auto"/>
              <w:left w:val="single" w:sz="4" w:space="0" w:color="auto"/>
              <w:bottom w:val="single" w:sz="4" w:space="0" w:color="auto"/>
              <w:right w:val="single" w:sz="4" w:space="0" w:color="auto"/>
            </w:tcBorders>
            <w:vAlign w:val="center"/>
            <w:hideMark/>
          </w:tcPr>
          <w:p w14:paraId="20C4434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105</w:t>
            </w:r>
          </w:p>
        </w:tc>
        <w:tc>
          <w:tcPr>
            <w:tcW w:w="626" w:type="pct"/>
            <w:tcBorders>
              <w:top w:val="single" w:sz="4" w:space="0" w:color="auto"/>
              <w:left w:val="single" w:sz="4" w:space="0" w:color="auto"/>
              <w:bottom w:val="single" w:sz="4" w:space="0" w:color="auto"/>
              <w:right w:val="single" w:sz="4" w:space="0" w:color="auto"/>
            </w:tcBorders>
            <w:vAlign w:val="center"/>
            <w:hideMark/>
          </w:tcPr>
          <w:p w14:paraId="2456B54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117</w:t>
            </w:r>
          </w:p>
        </w:tc>
        <w:tc>
          <w:tcPr>
            <w:tcW w:w="624" w:type="pct"/>
            <w:tcBorders>
              <w:top w:val="single" w:sz="4" w:space="0" w:color="auto"/>
              <w:left w:val="single" w:sz="4" w:space="0" w:color="auto"/>
              <w:bottom w:val="single" w:sz="4" w:space="0" w:color="auto"/>
              <w:right w:val="single" w:sz="4" w:space="0" w:color="auto"/>
            </w:tcBorders>
            <w:vAlign w:val="center"/>
            <w:hideMark/>
          </w:tcPr>
          <w:p w14:paraId="2D74D8CE"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122</w:t>
            </w:r>
          </w:p>
        </w:tc>
        <w:tc>
          <w:tcPr>
            <w:tcW w:w="624" w:type="pct"/>
            <w:tcBorders>
              <w:top w:val="single" w:sz="4" w:space="0" w:color="auto"/>
              <w:left w:val="single" w:sz="4" w:space="0" w:color="auto"/>
              <w:bottom w:val="single" w:sz="4" w:space="0" w:color="auto"/>
              <w:right w:val="single" w:sz="4" w:space="0" w:color="auto"/>
            </w:tcBorders>
            <w:vAlign w:val="center"/>
            <w:hideMark/>
          </w:tcPr>
          <w:p w14:paraId="76AE2E46"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427</w:t>
            </w:r>
          </w:p>
        </w:tc>
        <w:tc>
          <w:tcPr>
            <w:tcW w:w="470" w:type="pct"/>
            <w:tcBorders>
              <w:top w:val="single" w:sz="4" w:space="0" w:color="auto"/>
              <w:left w:val="single" w:sz="4" w:space="0" w:color="auto"/>
              <w:bottom w:val="single" w:sz="4" w:space="0" w:color="auto"/>
              <w:right w:val="single" w:sz="4" w:space="0" w:color="auto"/>
            </w:tcBorders>
            <w:vAlign w:val="center"/>
            <w:hideMark/>
          </w:tcPr>
          <w:p w14:paraId="133232A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136</w:t>
            </w:r>
          </w:p>
        </w:tc>
        <w:tc>
          <w:tcPr>
            <w:tcW w:w="467" w:type="pct"/>
            <w:tcBorders>
              <w:top w:val="single" w:sz="4" w:space="0" w:color="auto"/>
              <w:left w:val="single" w:sz="4" w:space="0" w:color="auto"/>
              <w:bottom w:val="single" w:sz="4" w:space="0" w:color="auto"/>
              <w:right w:val="single" w:sz="4" w:space="0" w:color="auto"/>
            </w:tcBorders>
            <w:vAlign w:val="center"/>
            <w:hideMark/>
          </w:tcPr>
          <w:p w14:paraId="07CE415C"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182</w:t>
            </w:r>
          </w:p>
        </w:tc>
      </w:tr>
      <w:tr w:rsidR="008862C7" w14:paraId="662180A7" w14:textId="77777777" w:rsidTr="008862C7">
        <w:tc>
          <w:tcPr>
            <w:tcW w:w="1016" w:type="pct"/>
            <w:tcBorders>
              <w:top w:val="single" w:sz="4" w:space="0" w:color="auto"/>
              <w:left w:val="single" w:sz="4" w:space="0" w:color="auto"/>
              <w:bottom w:val="single" w:sz="4" w:space="0" w:color="auto"/>
              <w:right w:val="single" w:sz="4" w:space="0" w:color="auto"/>
            </w:tcBorders>
            <w:vAlign w:val="center"/>
            <w:hideMark/>
          </w:tcPr>
          <w:p w14:paraId="46B18EE9"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Moyenne RCA</w:t>
            </w:r>
          </w:p>
        </w:tc>
        <w:tc>
          <w:tcPr>
            <w:tcW w:w="546" w:type="pct"/>
            <w:tcBorders>
              <w:top w:val="single" w:sz="4" w:space="0" w:color="auto"/>
              <w:left w:val="single" w:sz="4" w:space="0" w:color="auto"/>
              <w:bottom w:val="single" w:sz="4" w:space="0" w:color="auto"/>
              <w:right w:val="single" w:sz="4" w:space="0" w:color="auto"/>
            </w:tcBorders>
            <w:vAlign w:val="center"/>
            <w:hideMark/>
          </w:tcPr>
          <w:p w14:paraId="24C4549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107</w:t>
            </w:r>
          </w:p>
        </w:tc>
        <w:tc>
          <w:tcPr>
            <w:tcW w:w="627" w:type="pct"/>
            <w:tcBorders>
              <w:top w:val="single" w:sz="4" w:space="0" w:color="auto"/>
              <w:left w:val="single" w:sz="4" w:space="0" w:color="auto"/>
              <w:bottom w:val="single" w:sz="4" w:space="0" w:color="auto"/>
              <w:right w:val="single" w:sz="4" w:space="0" w:color="auto"/>
            </w:tcBorders>
            <w:vAlign w:val="center"/>
            <w:hideMark/>
          </w:tcPr>
          <w:p w14:paraId="1AED02F0"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105</w:t>
            </w:r>
          </w:p>
        </w:tc>
        <w:tc>
          <w:tcPr>
            <w:tcW w:w="626" w:type="pct"/>
            <w:tcBorders>
              <w:top w:val="single" w:sz="4" w:space="0" w:color="auto"/>
              <w:left w:val="single" w:sz="4" w:space="0" w:color="auto"/>
              <w:bottom w:val="single" w:sz="4" w:space="0" w:color="auto"/>
              <w:right w:val="single" w:sz="4" w:space="0" w:color="auto"/>
            </w:tcBorders>
            <w:vAlign w:val="center"/>
            <w:hideMark/>
          </w:tcPr>
          <w:p w14:paraId="119676E0"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136</w:t>
            </w:r>
          </w:p>
        </w:tc>
        <w:tc>
          <w:tcPr>
            <w:tcW w:w="624" w:type="pct"/>
            <w:tcBorders>
              <w:top w:val="single" w:sz="4" w:space="0" w:color="auto"/>
              <w:left w:val="single" w:sz="4" w:space="0" w:color="auto"/>
              <w:bottom w:val="single" w:sz="4" w:space="0" w:color="auto"/>
              <w:right w:val="single" w:sz="4" w:space="0" w:color="auto"/>
            </w:tcBorders>
            <w:vAlign w:val="center"/>
            <w:hideMark/>
          </w:tcPr>
          <w:p w14:paraId="545B200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133</w:t>
            </w:r>
          </w:p>
        </w:tc>
        <w:tc>
          <w:tcPr>
            <w:tcW w:w="624" w:type="pct"/>
            <w:tcBorders>
              <w:top w:val="single" w:sz="4" w:space="0" w:color="auto"/>
              <w:left w:val="single" w:sz="4" w:space="0" w:color="auto"/>
              <w:bottom w:val="single" w:sz="4" w:space="0" w:color="auto"/>
              <w:right w:val="single" w:sz="4" w:space="0" w:color="auto"/>
            </w:tcBorders>
            <w:vAlign w:val="center"/>
            <w:hideMark/>
          </w:tcPr>
          <w:p w14:paraId="46E79BC8"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422</w:t>
            </w:r>
          </w:p>
        </w:tc>
        <w:tc>
          <w:tcPr>
            <w:tcW w:w="470" w:type="pct"/>
            <w:tcBorders>
              <w:top w:val="single" w:sz="4" w:space="0" w:color="auto"/>
              <w:left w:val="single" w:sz="4" w:space="0" w:color="auto"/>
              <w:bottom w:val="single" w:sz="4" w:space="0" w:color="auto"/>
              <w:right w:val="single" w:sz="4" w:space="0" w:color="auto"/>
            </w:tcBorders>
            <w:vAlign w:val="center"/>
            <w:hideMark/>
          </w:tcPr>
          <w:p w14:paraId="3E502431"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180</w:t>
            </w:r>
          </w:p>
        </w:tc>
        <w:tc>
          <w:tcPr>
            <w:tcW w:w="467" w:type="pct"/>
            <w:tcBorders>
              <w:top w:val="single" w:sz="4" w:space="0" w:color="auto"/>
              <w:left w:val="single" w:sz="4" w:space="0" w:color="auto"/>
              <w:bottom w:val="single" w:sz="4" w:space="0" w:color="auto"/>
              <w:right w:val="single" w:sz="4" w:space="0" w:color="auto"/>
            </w:tcBorders>
            <w:vAlign w:val="center"/>
          </w:tcPr>
          <w:p w14:paraId="23895228" w14:textId="77777777" w:rsidR="008862C7" w:rsidRDefault="008862C7">
            <w:pPr>
              <w:tabs>
                <w:tab w:val="left" w:pos="708"/>
              </w:tabs>
              <w:spacing w:before="120" w:after="0" w:line="240" w:lineRule="auto"/>
              <w:jc w:val="center"/>
              <w:rPr>
                <w:rFonts w:ascii="Arial" w:eastAsia="Times New Roman" w:hAnsi="Arial" w:cs="Arial"/>
              </w:rPr>
            </w:pPr>
          </w:p>
        </w:tc>
      </w:tr>
    </w:tbl>
    <w:p w14:paraId="2E516262" w14:textId="77777777" w:rsidR="008862C7" w:rsidRDefault="008862C7" w:rsidP="008862C7">
      <w:pPr>
        <w:spacing w:before="120" w:after="120" w:line="360" w:lineRule="auto"/>
        <w:jc w:val="both"/>
        <w:rPr>
          <w:rFonts w:ascii="Arial" w:eastAsia="Times New Roman" w:hAnsi="Arial" w:cs="Arial"/>
          <w:sz w:val="20"/>
          <w:szCs w:val="24"/>
        </w:rPr>
      </w:pPr>
      <w:r>
        <w:rPr>
          <w:rFonts w:ascii="Arial" w:hAnsi="Arial" w:cs="Arial"/>
          <w:sz w:val="20"/>
          <w:szCs w:val="24"/>
        </w:rPr>
        <w:t xml:space="preserve">Source : Cellule coton, 2012  </w:t>
      </w:r>
    </w:p>
    <w:p w14:paraId="033809AB"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La collecte de coton graine dure en moyen 5 à 6 mois et surtout qu’elle démarre entre janvier – février. Il arrive souvent que la collecte se poursuit jusqu’à l’arrivée de la saison pluvieuse, ce qui endommage sérieusement la qualité et la longueur de la fibre. Cette situation est plus grave au Nord-Ouest où pendant la compagne 09/10 l’évacuation a duré 224 jours soit sept mois et demi. Pendant cette année, seule l’usine de Bossangoa était opérationnelle. La collecte des compagnes 2007/2008 et 2008/2009 ont durées plus de 13 mois (417 et 427 jours) du fait des arriérés non soldés des transporteurs privés qui ont assurés la collecte de la compagne précédente</w:t>
      </w:r>
    </w:p>
    <w:p w14:paraId="17D7A437" w14:textId="77777777" w:rsidR="008862C7" w:rsidRDefault="008862C7" w:rsidP="008862C7">
      <w:pPr>
        <w:pStyle w:val="Paragraphedeliste"/>
        <w:numPr>
          <w:ilvl w:val="0"/>
          <w:numId w:val="35"/>
        </w:numPr>
        <w:spacing w:after="120" w:line="360" w:lineRule="auto"/>
        <w:jc w:val="both"/>
        <w:outlineLvl w:val="7"/>
        <w:rPr>
          <w:rFonts w:ascii="Arial" w:hAnsi="Arial" w:cs="Arial"/>
          <w:b/>
          <w:sz w:val="24"/>
          <w:szCs w:val="28"/>
        </w:rPr>
      </w:pPr>
      <w:bookmarkStart w:id="192" w:name="_Toc395107647"/>
      <w:bookmarkStart w:id="193" w:name="_Toc321251014"/>
      <w:r>
        <w:rPr>
          <w:rFonts w:ascii="Arial" w:hAnsi="Arial" w:cs="Arial"/>
          <w:b/>
          <w:sz w:val="24"/>
          <w:szCs w:val="28"/>
        </w:rPr>
        <w:t>Fonctionnement des usines</w:t>
      </w:r>
      <w:bookmarkEnd w:id="192"/>
      <w:bookmarkEnd w:id="193"/>
      <w:r>
        <w:rPr>
          <w:rFonts w:ascii="Arial" w:hAnsi="Arial" w:cs="Arial"/>
          <w:b/>
          <w:sz w:val="24"/>
          <w:szCs w:val="28"/>
        </w:rPr>
        <w:t xml:space="preserve"> </w:t>
      </w:r>
    </w:p>
    <w:p w14:paraId="46C3833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Excepté l’usine de Bossangoa qui vient d’être réhabilitée par la SDIC avec une capacité d’égrenage de coton fibre de plus de 30.000 tonnes par compagne agricole, les équipements des autres usines notamment celles de Guiffa et de Bambari sont caractérisés par leur vétusté et leur capacité de production très réduite. La société cotonnière ne peut envisager de campagne à grande production sans entrevoir de sérieux travaux aux niveaux des usines de Guiffa et de Bambari. Quant à la nouvelle installation de la SDIC à Bossangoa, elle n’a pas encore été testée afin de mesurer son efficacité à cause des derniers événements militaro-politiques qui ont secoué le pays empêchant ainsi la réalisation des campagnes cotonnières depuis deux ans.</w:t>
      </w:r>
    </w:p>
    <w:p w14:paraId="558D860F"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Pendant la campagne d’égrenage, l’usine tourne sans arrêt, sauf en cas de panne. Ce système nécessite une planification du personnel. Ainsi, chaque jour est divisé en quatre, tranches de huit heures chacune. Chaque quart est confié à une équipe sous la direction d’un chef de quart. Cette </w:t>
      </w:r>
      <w:r>
        <w:rPr>
          <w:rFonts w:ascii="Arial" w:hAnsi="Arial" w:cs="Arial"/>
          <w:sz w:val="24"/>
          <w:szCs w:val="24"/>
        </w:rPr>
        <w:lastRenderedPageBreak/>
        <w:t xml:space="preserve">organisation a l’avantage d’éliminer les coûts liés aux heures supplémentaires et de permettre à chaque équipe de reprendre son quart de jour après 24 heures de repos. </w:t>
      </w:r>
    </w:p>
    <w:p w14:paraId="315CC651"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Apres l’entrée en poste, le coton graine, sauf stockage en silo, est directement aspiré au télescope et envoyé en égrenage. L’opération est continue, les transports pneumatiques, le nettoyage, l’égrenage, le damage et la mise en balle s’enchaînent automatiquement jusqu’à la sortie des balles.</w:t>
      </w:r>
    </w:p>
    <w:p w14:paraId="4F30D53C"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Une fois sortie de l’égrenage, les fibres sont automatiquement mises sous emballage, scellées et protégées de possibles infiltrations d’impuretés pouvant altérer la qualité de la fibre, ce qui nécessite un emballage solide et imperméable. Les balles sont ensuite pesées et reçoivent un numéro de fabrication dès leur sortie. Parallèlement, l’usine tient un cahier de fabrication où sont relevés pour chaque balle son jour et son heure de fabrication.</w:t>
      </w:r>
    </w:p>
    <w:p w14:paraId="1F714766"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Après emballage et marquage, un échantillon de la fibre identifié par le numéro est envoyé à la salle de classement. Fait à la main, le classement repose sur deux critères principaux : la longueur de la soie et sa classe (couleur, éclat, préparation, taux d’impureté).</w:t>
      </w:r>
    </w:p>
    <w:p w14:paraId="57CCDD69" w14:textId="77777777" w:rsidR="008862C7" w:rsidRDefault="008862C7" w:rsidP="008862C7">
      <w:pPr>
        <w:pStyle w:val="Paragraphedeliste"/>
        <w:numPr>
          <w:ilvl w:val="2"/>
          <w:numId w:val="39"/>
        </w:numPr>
        <w:spacing w:after="120" w:line="360" w:lineRule="auto"/>
        <w:jc w:val="both"/>
        <w:outlineLvl w:val="4"/>
        <w:rPr>
          <w:rFonts w:ascii="Arial" w:hAnsi="Arial" w:cs="Arial"/>
          <w:b/>
          <w:sz w:val="24"/>
          <w:szCs w:val="24"/>
        </w:rPr>
      </w:pPr>
      <w:bookmarkStart w:id="194" w:name="_Toc395107648"/>
      <w:r>
        <w:rPr>
          <w:rFonts w:ascii="Arial" w:hAnsi="Arial" w:cs="Arial"/>
          <w:b/>
          <w:sz w:val="24"/>
          <w:szCs w:val="28"/>
        </w:rPr>
        <w:t>Structure de coûts et p</w:t>
      </w:r>
      <w:r>
        <w:rPr>
          <w:rFonts w:ascii="Arial" w:hAnsi="Arial" w:cs="Arial"/>
          <w:b/>
          <w:sz w:val="24"/>
          <w:szCs w:val="24"/>
        </w:rPr>
        <w:t>erformances du système commercial</w:t>
      </w:r>
      <w:bookmarkEnd w:id="194"/>
    </w:p>
    <w:p w14:paraId="6956D850" w14:textId="77777777" w:rsidR="008862C7" w:rsidRDefault="008862C7" w:rsidP="008862C7">
      <w:pPr>
        <w:pStyle w:val="Paragraphedeliste"/>
        <w:numPr>
          <w:ilvl w:val="3"/>
          <w:numId w:val="39"/>
        </w:numPr>
        <w:spacing w:before="120" w:after="120" w:line="360" w:lineRule="auto"/>
        <w:ind w:left="1077" w:hanging="1077"/>
        <w:jc w:val="both"/>
        <w:outlineLvl w:val="5"/>
        <w:rPr>
          <w:rFonts w:ascii="Arial" w:hAnsi="Arial" w:cs="Arial"/>
          <w:b/>
          <w:sz w:val="24"/>
          <w:szCs w:val="28"/>
        </w:rPr>
      </w:pPr>
      <w:bookmarkStart w:id="195" w:name="_Toc395107649"/>
      <w:r>
        <w:rPr>
          <w:rFonts w:ascii="Arial" w:hAnsi="Arial" w:cs="Arial"/>
          <w:b/>
          <w:sz w:val="24"/>
          <w:szCs w:val="28"/>
        </w:rPr>
        <w:t>Coûts liés au circuit interne</w:t>
      </w:r>
      <w:bookmarkEnd w:id="195"/>
    </w:p>
    <w:p w14:paraId="43B566BB"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coût total lié au circuit interne se traduit par le coût total du coton graine rendu à l’usine. Il est l’ensemble des dépenses supportées par la société cotonnière pour transférer le produit depuis les GIR jusqu’à l’usine. En prenant comme année de base la campagne 2005-2006, année de la création de la cellule coton, la production était de 3.671 tonnes de coton graine et de 1.746 tonnes de coton fibre. Les dépenses sont consignées dans le tableau qui suit.</w:t>
      </w:r>
    </w:p>
    <w:p w14:paraId="2132DC77"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Tableau 3.9 </w:t>
      </w:r>
      <w:r>
        <w:rPr>
          <w:rFonts w:ascii="Arial" w:hAnsi="Arial" w:cs="Arial"/>
          <w:sz w:val="24"/>
          <w:szCs w:val="24"/>
        </w:rPr>
        <w:t xml:space="preserve">: Coût total coton graine rendu usine et équivalent en coût coton fibre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2576"/>
        <w:gridCol w:w="2320"/>
      </w:tblGrid>
      <w:tr w:rsidR="008862C7" w14:paraId="6930C11B" w14:textId="77777777" w:rsidTr="008862C7">
        <w:trPr>
          <w:trHeight w:val="158"/>
        </w:trPr>
        <w:tc>
          <w:tcPr>
            <w:tcW w:w="2683" w:type="pct"/>
            <w:tcBorders>
              <w:top w:val="single" w:sz="4" w:space="0" w:color="auto"/>
              <w:left w:val="single" w:sz="4" w:space="0" w:color="auto"/>
              <w:bottom w:val="single" w:sz="4" w:space="0" w:color="auto"/>
              <w:right w:val="single" w:sz="4" w:space="0" w:color="auto"/>
            </w:tcBorders>
            <w:vAlign w:val="center"/>
            <w:hideMark/>
          </w:tcPr>
          <w:p w14:paraId="3740947A" w14:textId="77777777" w:rsidR="008862C7" w:rsidRDefault="008862C7">
            <w:pPr>
              <w:pStyle w:val="Paragraphedeliste"/>
              <w:spacing w:before="120" w:after="0" w:line="360" w:lineRule="auto"/>
              <w:ind w:left="0"/>
              <w:rPr>
                <w:rFonts w:ascii="Arial" w:hAnsi="Arial" w:cs="Arial"/>
              </w:rPr>
            </w:pPr>
            <w:r>
              <w:rPr>
                <w:rFonts w:ascii="Arial" w:hAnsi="Arial" w:cs="Arial"/>
              </w:rPr>
              <w:t>Rubrique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438CDE97"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Coût en FCFA/Kg de coton graine produit</w:t>
            </w:r>
          </w:p>
        </w:tc>
        <w:tc>
          <w:tcPr>
            <w:tcW w:w="1098" w:type="pct"/>
            <w:tcBorders>
              <w:top w:val="single" w:sz="4" w:space="0" w:color="auto"/>
              <w:left w:val="single" w:sz="4" w:space="0" w:color="auto"/>
              <w:bottom w:val="single" w:sz="4" w:space="0" w:color="auto"/>
              <w:right w:val="single" w:sz="4" w:space="0" w:color="auto"/>
            </w:tcBorders>
            <w:hideMark/>
          </w:tcPr>
          <w:p w14:paraId="0E4431A2"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Proportion (%)</w:t>
            </w:r>
          </w:p>
        </w:tc>
      </w:tr>
      <w:tr w:rsidR="008862C7" w14:paraId="6FB402A6" w14:textId="77777777" w:rsidTr="008862C7">
        <w:trPr>
          <w:trHeight w:val="174"/>
        </w:trPr>
        <w:tc>
          <w:tcPr>
            <w:tcW w:w="2683" w:type="pct"/>
            <w:tcBorders>
              <w:top w:val="single" w:sz="4" w:space="0" w:color="auto"/>
              <w:left w:val="single" w:sz="4" w:space="0" w:color="auto"/>
              <w:bottom w:val="single" w:sz="4" w:space="0" w:color="auto"/>
              <w:right w:val="single" w:sz="4" w:space="0" w:color="auto"/>
            </w:tcBorders>
            <w:vAlign w:val="center"/>
            <w:hideMark/>
          </w:tcPr>
          <w:p w14:paraId="0E6D1DED" w14:textId="77777777" w:rsidR="008862C7" w:rsidRDefault="008862C7">
            <w:pPr>
              <w:pStyle w:val="Paragraphedeliste"/>
              <w:spacing w:after="0" w:line="360" w:lineRule="auto"/>
              <w:ind w:left="0"/>
              <w:jc w:val="both"/>
              <w:rPr>
                <w:rFonts w:ascii="Arial" w:hAnsi="Arial" w:cs="Arial"/>
              </w:rPr>
            </w:pPr>
            <w:r>
              <w:rPr>
                <w:rFonts w:ascii="Arial" w:hAnsi="Arial" w:cs="Arial"/>
              </w:rPr>
              <w:t>Achat coton graine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0B21BCE8" w14:textId="77777777" w:rsidR="008862C7" w:rsidRDefault="008862C7">
            <w:pPr>
              <w:pStyle w:val="Paragraphedeliste"/>
              <w:spacing w:after="0" w:line="360" w:lineRule="auto"/>
              <w:ind w:left="0"/>
              <w:jc w:val="center"/>
              <w:rPr>
                <w:rFonts w:ascii="Arial" w:hAnsi="Arial" w:cs="Arial"/>
              </w:rPr>
            </w:pPr>
            <w:r>
              <w:rPr>
                <w:rFonts w:ascii="Arial" w:hAnsi="Arial" w:cs="Arial"/>
              </w:rPr>
              <w:t>175</w:t>
            </w:r>
          </w:p>
        </w:tc>
        <w:tc>
          <w:tcPr>
            <w:tcW w:w="1098" w:type="pct"/>
            <w:tcBorders>
              <w:top w:val="single" w:sz="4" w:space="0" w:color="auto"/>
              <w:left w:val="single" w:sz="4" w:space="0" w:color="auto"/>
              <w:bottom w:val="single" w:sz="4" w:space="0" w:color="auto"/>
              <w:right w:val="single" w:sz="4" w:space="0" w:color="auto"/>
            </w:tcBorders>
            <w:hideMark/>
          </w:tcPr>
          <w:p w14:paraId="2858BF6A"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82</w:t>
            </w:r>
          </w:p>
        </w:tc>
      </w:tr>
      <w:tr w:rsidR="008862C7" w14:paraId="3E42E8EC" w14:textId="77777777" w:rsidTr="008862C7">
        <w:trPr>
          <w:trHeight w:val="225"/>
        </w:trPr>
        <w:tc>
          <w:tcPr>
            <w:tcW w:w="2683" w:type="pct"/>
            <w:tcBorders>
              <w:top w:val="single" w:sz="4" w:space="0" w:color="auto"/>
              <w:left w:val="single" w:sz="4" w:space="0" w:color="auto"/>
              <w:bottom w:val="single" w:sz="4" w:space="0" w:color="auto"/>
              <w:right w:val="single" w:sz="4" w:space="0" w:color="auto"/>
            </w:tcBorders>
            <w:vAlign w:val="center"/>
            <w:hideMark/>
          </w:tcPr>
          <w:p w14:paraId="67D67C89" w14:textId="77777777" w:rsidR="008862C7" w:rsidRDefault="008862C7">
            <w:pPr>
              <w:pStyle w:val="Paragraphedeliste"/>
              <w:spacing w:after="0" w:line="360" w:lineRule="auto"/>
              <w:ind w:left="0"/>
              <w:jc w:val="both"/>
              <w:rPr>
                <w:rFonts w:ascii="Arial" w:hAnsi="Arial" w:cs="Arial"/>
              </w:rPr>
            </w:pPr>
            <w:r>
              <w:rPr>
                <w:rFonts w:ascii="Arial" w:hAnsi="Arial" w:cs="Arial"/>
              </w:rPr>
              <w:t>Ristourne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2A7472B5" w14:textId="77777777" w:rsidR="008862C7" w:rsidRDefault="008862C7">
            <w:pPr>
              <w:pStyle w:val="Paragraphedeliste"/>
              <w:spacing w:after="0" w:line="360" w:lineRule="auto"/>
              <w:ind w:left="0"/>
              <w:jc w:val="center"/>
              <w:rPr>
                <w:rFonts w:ascii="Arial" w:hAnsi="Arial" w:cs="Arial"/>
              </w:rPr>
            </w:pPr>
            <w:r>
              <w:rPr>
                <w:rFonts w:ascii="Arial" w:hAnsi="Arial" w:cs="Arial"/>
              </w:rPr>
              <w:t>4</w:t>
            </w:r>
          </w:p>
        </w:tc>
        <w:tc>
          <w:tcPr>
            <w:tcW w:w="1098" w:type="pct"/>
            <w:tcBorders>
              <w:top w:val="single" w:sz="4" w:space="0" w:color="auto"/>
              <w:left w:val="single" w:sz="4" w:space="0" w:color="auto"/>
              <w:bottom w:val="single" w:sz="4" w:space="0" w:color="auto"/>
              <w:right w:val="single" w:sz="4" w:space="0" w:color="auto"/>
            </w:tcBorders>
            <w:hideMark/>
          </w:tcPr>
          <w:p w14:paraId="5061428D"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2</w:t>
            </w:r>
          </w:p>
        </w:tc>
      </w:tr>
      <w:tr w:rsidR="008862C7" w14:paraId="5DCF86FB" w14:textId="77777777" w:rsidTr="008862C7">
        <w:trPr>
          <w:trHeight w:val="240"/>
        </w:trPr>
        <w:tc>
          <w:tcPr>
            <w:tcW w:w="2683" w:type="pct"/>
            <w:tcBorders>
              <w:top w:val="single" w:sz="4" w:space="0" w:color="auto"/>
              <w:left w:val="single" w:sz="4" w:space="0" w:color="auto"/>
              <w:bottom w:val="single" w:sz="4" w:space="0" w:color="auto"/>
              <w:right w:val="single" w:sz="4" w:space="0" w:color="auto"/>
            </w:tcBorders>
            <w:vAlign w:val="center"/>
            <w:hideMark/>
          </w:tcPr>
          <w:p w14:paraId="27EE8D70" w14:textId="77777777" w:rsidR="008862C7" w:rsidRDefault="008862C7">
            <w:pPr>
              <w:pStyle w:val="Paragraphedeliste"/>
              <w:spacing w:after="0" w:line="360" w:lineRule="auto"/>
              <w:ind w:left="0"/>
              <w:jc w:val="both"/>
              <w:rPr>
                <w:rFonts w:ascii="Arial" w:hAnsi="Arial" w:cs="Arial"/>
              </w:rPr>
            </w:pPr>
            <w:r>
              <w:rPr>
                <w:rFonts w:ascii="Arial" w:hAnsi="Arial" w:cs="Arial"/>
              </w:rPr>
              <w:t>Manutention et divers</w:t>
            </w:r>
          </w:p>
        </w:tc>
        <w:tc>
          <w:tcPr>
            <w:tcW w:w="1219" w:type="pct"/>
            <w:tcBorders>
              <w:top w:val="single" w:sz="4" w:space="0" w:color="auto"/>
              <w:left w:val="single" w:sz="4" w:space="0" w:color="auto"/>
              <w:bottom w:val="single" w:sz="4" w:space="0" w:color="auto"/>
              <w:right w:val="single" w:sz="4" w:space="0" w:color="auto"/>
            </w:tcBorders>
            <w:vAlign w:val="center"/>
            <w:hideMark/>
          </w:tcPr>
          <w:p w14:paraId="05B4C427" w14:textId="77777777" w:rsidR="008862C7" w:rsidRDefault="008862C7">
            <w:pPr>
              <w:pStyle w:val="Paragraphedeliste"/>
              <w:spacing w:after="0" w:line="360" w:lineRule="auto"/>
              <w:ind w:left="0"/>
              <w:jc w:val="center"/>
              <w:rPr>
                <w:rFonts w:ascii="Arial" w:hAnsi="Arial" w:cs="Arial"/>
              </w:rPr>
            </w:pPr>
            <w:r>
              <w:rPr>
                <w:rFonts w:ascii="Arial" w:hAnsi="Arial" w:cs="Arial"/>
              </w:rPr>
              <w:t>6</w:t>
            </w:r>
          </w:p>
        </w:tc>
        <w:tc>
          <w:tcPr>
            <w:tcW w:w="1098" w:type="pct"/>
            <w:tcBorders>
              <w:top w:val="single" w:sz="4" w:space="0" w:color="auto"/>
              <w:left w:val="single" w:sz="4" w:space="0" w:color="auto"/>
              <w:bottom w:val="single" w:sz="4" w:space="0" w:color="auto"/>
              <w:right w:val="single" w:sz="4" w:space="0" w:color="auto"/>
            </w:tcBorders>
            <w:hideMark/>
          </w:tcPr>
          <w:p w14:paraId="02D5C412"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3</w:t>
            </w:r>
          </w:p>
        </w:tc>
      </w:tr>
      <w:tr w:rsidR="008862C7" w14:paraId="0B29B46B" w14:textId="77777777" w:rsidTr="008862C7">
        <w:trPr>
          <w:trHeight w:val="285"/>
        </w:trPr>
        <w:tc>
          <w:tcPr>
            <w:tcW w:w="2683" w:type="pct"/>
            <w:tcBorders>
              <w:top w:val="single" w:sz="4" w:space="0" w:color="auto"/>
              <w:left w:val="single" w:sz="4" w:space="0" w:color="auto"/>
              <w:bottom w:val="single" w:sz="4" w:space="0" w:color="auto"/>
              <w:right w:val="single" w:sz="4" w:space="0" w:color="auto"/>
            </w:tcBorders>
            <w:vAlign w:val="center"/>
            <w:hideMark/>
          </w:tcPr>
          <w:p w14:paraId="7D7A3DF9" w14:textId="77777777" w:rsidR="008862C7" w:rsidRDefault="008862C7">
            <w:pPr>
              <w:pStyle w:val="Paragraphedeliste"/>
              <w:spacing w:after="0" w:line="360" w:lineRule="auto"/>
              <w:ind w:left="0"/>
              <w:jc w:val="both"/>
              <w:rPr>
                <w:rFonts w:ascii="Arial" w:hAnsi="Arial" w:cs="Arial"/>
              </w:rPr>
            </w:pPr>
            <w:r>
              <w:rPr>
                <w:rFonts w:ascii="Arial" w:hAnsi="Arial" w:cs="Arial"/>
              </w:rPr>
              <w:t>Transport coton graine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55A874CA" w14:textId="77777777" w:rsidR="008862C7" w:rsidRDefault="008862C7">
            <w:pPr>
              <w:pStyle w:val="Paragraphedeliste"/>
              <w:spacing w:after="0" w:line="360" w:lineRule="auto"/>
              <w:ind w:left="0"/>
              <w:jc w:val="center"/>
              <w:rPr>
                <w:rFonts w:ascii="Arial" w:hAnsi="Arial" w:cs="Arial"/>
              </w:rPr>
            </w:pPr>
            <w:r>
              <w:rPr>
                <w:rFonts w:ascii="Arial" w:hAnsi="Arial" w:cs="Arial"/>
              </w:rPr>
              <w:t>28</w:t>
            </w:r>
          </w:p>
        </w:tc>
        <w:tc>
          <w:tcPr>
            <w:tcW w:w="1098" w:type="pct"/>
            <w:tcBorders>
              <w:top w:val="single" w:sz="4" w:space="0" w:color="auto"/>
              <w:left w:val="single" w:sz="4" w:space="0" w:color="auto"/>
              <w:bottom w:val="single" w:sz="4" w:space="0" w:color="auto"/>
              <w:right w:val="single" w:sz="4" w:space="0" w:color="auto"/>
            </w:tcBorders>
            <w:hideMark/>
          </w:tcPr>
          <w:p w14:paraId="3A9542A0"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13</w:t>
            </w:r>
          </w:p>
        </w:tc>
      </w:tr>
      <w:tr w:rsidR="008862C7" w14:paraId="1D74F586" w14:textId="77777777" w:rsidTr="008862C7">
        <w:trPr>
          <w:trHeight w:val="75"/>
        </w:trPr>
        <w:tc>
          <w:tcPr>
            <w:tcW w:w="2683" w:type="pct"/>
            <w:tcBorders>
              <w:top w:val="single" w:sz="4" w:space="0" w:color="auto"/>
              <w:left w:val="single" w:sz="4" w:space="0" w:color="auto"/>
              <w:bottom w:val="single" w:sz="4" w:space="0" w:color="auto"/>
              <w:right w:val="single" w:sz="4" w:space="0" w:color="auto"/>
            </w:tcBorders>
            <w:vAlign w:val="center"/>
            <w:hideMark/>
          </w:tcPr>
          <w:p w14:paraId="59FB1A80" w14:textId="77777777" w:rsidR="008862C7" w:rsidRDefault="008862C7">
            <w:pPr>
              <w:pStyle w:val="Paragraphedeliste"/>
              <w:spacing w:before="120" w:after="0" w:line="360" w:lineRule="auto"/>
              <w:ind w:left="0"/>
              <w:jc w:val="both"/>
              <w:rPr>
                <w:rFonts w:ascii="Arial" w:hAnsi="Arial" w:cs="Arial"/>
              </w:rPr>
            </w:pPr>
            <w:r>
              <w:rPr>
                <w:rFonts w:ascii="Arial" w:hAnsi="Arial" w:cs="Arial"/>
              </w:rPr>
              <w:t>Coût total de coton-graine rendu à l’usine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1349218"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213</w:t>
            </w:r>
          </w:p>
        </w:tc>
        <w:tc>
          <w:tcPr>
            <w:tcW w:w="1098" w:type="pct"/>
            <w:tcBorders>
              <w:top w:val="single" w:sz="4" w:space="0" w:color="auto"/>
              <w:left w:val="single" w:sz="4" w:space="0" w:color="auto"/>
              <w:bottom w:val="single" w:sz="4" w:space="0" w:color="auto"/>
              <w:right w:val="single" w:sz="4" w:space="0" w:color="auto"/>
            </w:tcBorders>
            <w:hideMark/>
          </w:tcPr>
          <w:p w14:paraId="28D56448" w14:textId="77777777" w:rsidR="008862C7" w:rsidRDefault="008862C7">
            <w:pPr>
              <w:pStyle w:val="Paragraphedeliste"/>
              <w:spacing w:before="120" w:after="0" w:line="360" w:lineRule="auto"/>
              <w:ind w:left="0"/>
              <w:jc w:val="center"/>
              <w:rPr>
                <w:rFonts w:ascii="Arial" w:hAnsi="Arial" w:cs="Arial"/>
              </w:rPr>
            </w:pPr>
            <w:r>
              <w:rPr>
                <w:rFonts w:ascii="Arial" w:hAnsi="Arial" w:cs="Arial"/>
              </w:rPr>
              <w:t>100</w:t>
            </w:r>
          </w:p>
        </w:tc>
      </w:tr>
    </w:tbl>
    <w:p w14:paraId="2AFBE794" w14:textId="77777777" w:rsidR="008862C7" w:rsidRDefault="008862C7" w:rsidP="008862C7">
      <w:pPr>
        <w:spacing w:before="120" w:after="120" w:line="360" w:lineRule="auto"/>
        <w:rPr>
          <w:rFonts w:ascii="Arial" w:eastAsia="Times New Roman" w:hAnsi="Arial" w:cs="Arial"/>
          <w:sz w:val="20"/>
          <w:szCs w:val="24"/>
        </w:rPr>
      </w:pPr>
      <w:r>
        <w:rPr>
          <w:rFonts w:ascii="Arial" w:hAnsi="Arial" w:cs="Arial"/>
          <w:sz w:val="20"/>
          <w:szCs w:val="24"/>
        </w:rPr>
        <w:t>Source : Cellule coton 2006 et notre calcul</w:t>
      </w:r>
    </w:p>
    <w:p w14:paraId="1CEFE0B3" w14:textId="77777777" w:rsidR="008862C7" w:rsidRDefault="008862C7" w:rsidP="008862C7">
      <w:pPr>
        <w:spacing w:after="120" w:line="360" w:lineRule="auto"/>
        <w:jc w:val="both"/>
        <w:rPr>
          <w:rFonts w:ascii="Arial" w:hAnsi="Arial" w:cs="Arial"/>
          <w:sz w:val="24"/>
          <w:szCs w:val="24"/>
        </w:rPr>
      </w:pPr>
      <w:r>
        <w:rPr>
          <w:rFonts w:ascii="Arial" w:hAnsi="Arial" w:cs="Arial"/>
          <w:sz w:val="24"/>
          <w:szCs w:val="24"/>
        </w:rPr>
        <w:t xml:space="preserve">Comme l’indique le tableau, le coût d’un kilogramme de coton graine rendu à l’usine est de </w:t>
      </w:r>
      <w:r>
        <w:rPr>
          <w:rFonts w:ascii="Arial" w:hAnsi="Arial" w:cs="Arial"/>
          <w:sz w:val="24"/>
        </w:rPr>
        <w:t xml:space="preserve">213 </w:t>
      </w:r>
      <w:r>
        <w:rPr>
          <w:rFonts w:ascii="Arial" w:hAnsi="Arial" w:cs="Arial"/>
          <w:sz w:val="24"/>
          <w:szCs w:val="24"/>
        </w:rPr>
        <w:t xml:space="preserve">FCFA, ce qui équivaut à </w:t>
      </w:r>
      <w:r>
        <w:rPr>
          <w:rFonts w:ascii="Arial" w:hAnsi="Arial" w:cs="Arial"/>
          <w:sz w:val="24"/>
        </w:rPr>
        <w:t>532</w:t>
      </w:r>
      <w:r>
        <w:rPr>
          <w:rFonts w:ascii="Arial" w:hAnsi="Arial" w:cs="Arial"/>
          <w:sz w:val="24"/>
          <w:szCs w:val="24"/>
        </w:rPr>
        <w:t xml:space="preserve"> FCFA de coton fibre. L’achat du coton graine est le premier poste </w:t>
      </w:r>
      <w:r>
        <w:rPr>
          <w:rFonts w:ascii="Arial" w:hAnsi="Arial" w:cs="Arial"/>
          <w:sz w:val="24"/>
          <w:szCs w:val="24"/>
        </w:rPr>
        <w:lastRenderedPageBreak/>
        <w:t xml:space="preserve">de dépenses suivi des dépenses liées au transport du coton graine représentant respectivement </w:t>
      </w:r>
      <w:r>
        <w:rPr>
          <w:rFonts w:ascii="Arial" w:hAnsi="Arial" w:cs="Arial"/>
          <w:sz w:val="24"/>
        </w:rPr>
        <w:t xml:space="preserve">175 </w:t>
      </w:r>
      <w:r>
        <w:rPr>
          <w:rFonts w:ascii="Arial" w:hAnsi="Arial" w:cs="Arial"/>
          <w:sz w:val="24"/>
          <w:szCs w:val="24"/>
        </w:rPr>
        <w:t>FCFA et 28 FCFA par kg de coton graine produit. Les ristournes sont fixées à 4,27 FCFA par kg et sont donc invariables. Mais, le montant total est une fonction croissante de la production cotonnière. Le coût élevé des transports est dû en partie aux problèmes de la localisation. En fait la reprise de la production dans les régions de plus en plus éloignée des centres d’égrenage couplée au nombre réduit d’usines font supporter à la société cotonnière des coûts supplémentaires qui viennent alourdir les coûts de production.</w:t>
      </w:r>
    </w:p>
    <w:p w14:paraId="398BF4E4" w14:textId="77777777" w:rsidR="008862C7" w:rsidRDefault="008862C7" w:rsidP="008862C7">
      <w:pPr>
        <w:pStyle w:val="Paragraphedeliste"/>
        <w:numPr>
          <w:ilvl w:val="3"/>
          <w:numId w:val="39"/>
        </w:numPr>
        <w:spacing w:before="120" w:after="0" w:line="360" w:lineRule="auto"/>
        <w:jc w:val="both"/>
        <w:outlineLvl w:val="5"/>
        <w:rPr>
          <w:rFonts w:ascii="Arial" w:hAnsi="Arial" w:cs="Arial"/>
          <w:b/>
          <w:sz w:val="24"/>
          <w:szCs w:val="28"/>
        </w:rPr>
      </w:pPr>
      <w:bookmarkStart w:id="196" w:name="_Toc395107650"/>
      <w:r>
        <w:rPr>
          <w:rFonts w:ascii="Arial" w:hAnsi="Arial" w:cs="Arial"/>
          <w:b/>
          <w:sz w:val="24"/>
          <w:szCs w:val="28"/>
        </w:rPr>
        <w:t>Coûts liés au circuit externe</w:t>
      </w:r>
      <w:bookmarkEnd w:id="196"/>
      <w:r>
        <w:rPr>
          <w:rFonts w:ascii="Arial" w:hAnsi="Arial" w:cs="Arial"/>
          <w:b/>
          <w:sz w:val="24"/>
          <w:szCs w:val="28"/>
        </w:rPr>
        <w:t xml:space="preserve"> </w:t>
      </w:r>
    </w:p>
    <w:p w14:paraId="493E9BB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circuit externe compte trois postes de dépenses. Le coût d’usinage</w:t>
      </w:r>
      <w:r>
        <w:rPr>
          <w:rStyle w:val="Appelnotedebasdep"/>
          <w:rFonts w:ascii="Arial" w:hAnsi="Arial" w:cs="Arial"/>
          <w:sz w:val="24"/>
          <w:szCs w:val="24"/>
        </w:rPr>
        <w:footnoteReference w:id="40"/>
      </w:r>
      <w:r>
        <w:rPr>
          <w:rFonts w:ascii="Arial" w:hAnsi="Arial" w:cs="Arial"/>
          <w:sz w:val="24"/>
          <w:szCs w:val="24"/>
        </w:rPr>
        <w:t xml:space="preserve"> (transformation du coton graine en coton fibre), les frais de structure (dépenses de fonctionnement, peu variable) et le coût de la mise à FOB</w:t>
      </w:r>
      <w:r>
        <w:rPr>
          <w:rStyle w:val="Appelnotedebasdep"/>
          <w:rFonts w:ascii="Arial" w:hAnsi="Arial" w:cs="Arial"/>
          <w:sz w:val="24"/>
          <w:szCs w:val="24"/>
        </w:rPr>
        <w:footnoteReference w:id="41"/>
      </w:r>
      <w:r>
        <w:rPr>
          <w:rFonts w:ascii="Arial" w:hAnsi="Arial" w:cs="Arial"/>
          <w:sz w:val="24"/>
          <w:szCs w:val="24"/>
        </w:rPr>
        <w:t xml:space="preserve"> (placement du coton sur le marché mondial notamment au port de Douala).</w:t>
      </w:r>
    </w:p>
    <w:p w14:paraId="01E8302C"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Tableau 3.10 :</w:t>
      </w:r>
      <w:r>
        <w:rPr>
          <w:rFonts w:ascii="Arial" w:hAnsi="Arial" w:cs="Arial"/>
          <w:sz w:val="24"/>
          <w:szCs w:val="24"/>
        </w:rPr>
        <w:t xml:space="preserve"> Coûts liés au circuit externe</w:t>
      </w:r>
      <w:r>
        <w:rPr>
          <w:rFonts w:ascii="Arial" w:hAnsi="Arial" w:cs="Arial"/>
        </w:rPr>
        <w:t xml:space="preserve"> en FCFA/Kg</w:t>
      </w:r>
      <w:r>
        <w:rPr>
          <w:rFonts w:ascii="Arial" w:hAnsi="Arial" w:cs="Arial"/>
          <w:sz w:val="24"/>
          <w:szCs w:val="24"/>
        </w:rPr>
        <w:t xml:space="preserve">. </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588"/>
        <w:gridCol w:w="4159"/>
        <w:gridCol w:w="267"/>
        <w:gridCol w:w="2354"/>
      </w:tblGrid>
      <w:tr w:rsidR="008862C7" w14:paraId="323E92A9" w14:textId="77777777" w:rsidTr="008862C7">
        <w:tc>
          <w:tcPr>
            <w:tcW w:w="1730" w:type="pct"/>
            <w:tcBorders>
              <w:top w:val="single" w:sz="4" w:space="0" w:color="auto"/>
              <w:left w:val="single" w:sz="4" w:space="0" w:color="auto"/>
              <w:bottom w:val="single" w:sz="4" w:space="0" w:color="auto"/>
              <w:right w:val="single" w:sz="4" w:space="0" w:color="auto"/>
            </w:tcBorders>
            <w:vAlign w:val="center"/>
            <w:hideMark/>
          </w:tcPr>
          <w:p w14:paraId="438CAB0D"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Libelle</w:t>
            </w:r>
          </w:p>
        </w:tc>
        <w:tc>
          <w:tcPr>
            <w:tcW w:w="2005" w:type="pct"/>
            <w:tcBorders>
              <w:top w:val="single" w:sz="4" w:space="0" w:color="auto"/>
              <w:left w:val="single" w:sz="4" w:space="0" w:color="auto"/>
              <w:bottom w:val="single" w:sz="4" w:space="0" w:color="auto"/>
              <w:right w:val="nil"/>
            </w:tcBorders>
            <w:hideMark/>
          </w:tcPr>
          <w:p w14:paraId="068AEBD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Coût de coton fibre</w:t>
            </w:r>
          </w:p>
        </w:tc>
        <w:tc>
          <w:tcPr>
            <w:tcW w:w="129" w:type="pct"/>
            <w:tcBorders>
              <w:top w:val="single" w:sz="4" w:space="0" w:color="auto"/>
              <w:left w:val="single" w:sz="4" w:space="0" w:color="auto"/>
              <w:bottom w:val="single" w:sz="4" w:space="0" w:color="auto"/>
              <w:right w:val="nil"/>
            </w:tcBorders>
          </w:tcPr>
          <w:p w14:paraId="1A875B79" w14:textId="77777777" w:rsidR="008862C7" w:rsidRDefault="008862C7">
            <w:pPr>
              <w:tabs>
                <w:tab w:val="left" w:pos="708"/>
              </w:tabs>
              <w:spacing w:before="120" w:after="0" w:line="276" w:lineRule="auto"/>
              <w:jc w:val="center"/>
              <w:rPr>
                <w:rFonts w:ascii="Arial" w:eastAsia="Times New Roman" w:hAnsi="Arial" w:cs="Arial"/>
              </w:rPr>
            </w:pPr>
          </w:p>
        </w:tc>
        <w:tc>
          <w:tcPr>
            <w:tcW w:w="1135" w:type="pct"/>
            <w:tcBorders>
              <w:top w:val="single" w:sz="4" w:space="0" w:color="auto"/>
              <w:left w:val="nil"/>
              <w:bottom w:val="single" w:sz="4" w:space="0" w:color="auto"/>
              <w:right w:val="single" w:sz="4" w:space="0" w:color="auto"/>
            </w:tcBorders>
            <w:vAlign w:val="center"/>
            <w:hideMark/>
          </w:tcPr>
          <w:p w14:paraId="55CCF0C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Proportion (%)</w:t>
            </w:r>
          </w:p>
        </w:tc>
      </w:tr>
      <w:tr w:rsidR="008862C7" w14:paraId="7C7A6091" w14:textId="77777777" w:rsidTr="008862C7">
        <w:trPr>
          <w:trHeight w:val="154"/>
        </w:trPr>
        <w:tc>
          <w:tcPr>
            <w:tcW w:w="1730" w:type="pct"/>
            <w:tcBorders>
              <w:top w:val="single" w:sz="4" w:space="0" w:color="auto"/>
              <w:left w:val="single" w:sz="4" w:space="0" w:color="auto"/>
              <w:bottom w:val="single" w:sz="4" w:space="0" w:color="auto"/>
              <w:right w:val="single" w:sz="4" w:space="0" w:color="auto"/>
            </w:tcBorders>
            <w:vAlign w:val="center"/>
            <w:hideMark/>
          </w:tcPr>
          <w:p w14:paraId="258D1AFD"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Coût d’usinage</w:t>
            </w:r>
          </w:p>
        </w:tc>
        <w:tc>
          <w:tcPr>
            <w:tcW w:w="2005" w:type="pct"/>
            <w:tcBorders>
              <w:top w:val="single" w:sz="4" w:space="0" w:color="auto"/>
              <w:left w:val="single" w:sz="4" w:space="0" w:color="auto"/>
              <w:bottom w:val="single" w:sz="4" w:space="0" w:color="auto"/>
              <w:right w:val="nil"/>
            </w:tcBorders>
            <w:vAlign w:val="center"/>
            <w:hideMark/>
          </w:tcPr>
          <w:p w14:paraId="31511B3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91</w:t>
            </w:r>
          </w:p>
        </w:tc>
        <w:tc>
          <w:tcPr>
            <w:tcW w:w="129" w:type="pct"/>
            <w:tcBorders>
              <w:top w:val="single" w:sz="4" w:space="0" w:color="auto"/>
              <w:left w:val="single" w:sz="4" w:space="0" w:color="auto"/>
              <w:bottom w:val="single" w:sz="4" w:space="0" w:color="auto"/>
              <w:right w:val="nil"/>
            </w:tcBorders>
            <w:vAlign w:val="center"/>
          </w:tcPr>
          <w:p w14:paraId="0F8E4635" w14:textId="77777777" w:rsidR="008862C7" w:rsidRDefault="008862C7">
            <w:pPr>
              <w:tabs>
                <w:tab w:val="left" w:pos="708"/>
              </w:tabs>
              <w:spacing w:before="120" w:after="0" w:line="276" w:lineRule="auto"/>
              <w:jc w:val="center"/>
              <w:rPr>
                <w:rFonts w:ascii="Arial" w:eastAsia="Times New Roman" w:hAnsi="Arial" w:cs="Arial"/>
              </w:rPr>
            </w:pPr>
          </w:p>
        </w:tc>
        <w:tc>
          <w:tcPr>
            <w:tcW w:w="1135" w:type="pct"/>
            <w:tcBorders>
              <w:top w:val="single" w:sz="4" w:space="0" w:color="auto"/>
              <w:left w:val="nil"/>
              <w:bottom w:val="single" w:sz="4" w:space="0" w:color="auto"/>
              <w:right w:val="single" w:sz="4" w:space="0" w:color="auto"/>
            </w:tcBorders>
            <w:vAlign w:val="center"/>
            <w:hideMark/>
          </w:tcPr>
          <w:p w14:paraId="6028135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27</w:t>
            </w:r>
          </w:p>
        </w:tc>
      </w:tr>
      <w:tr w:rsidR="008862C7" w14:paraId="285487D7" w14:textId="77777777" w:rsidTr="008862C7">
        <w:trPr>
          <w:trHeight w:val="174"/>
        </w:trPr>
        <w:tc>
          <w:tcPr>
            <w:tcW w:w="1730" w:type="pct"/>
            <w:tcBorders>
              <w:top w:val="single" w:sz="4" w:space="0" w:color="auto"/>
              <w:left w:val="single" w:sz="4" w:space="0" w:color="auto"/>
              <w:bottom w:val="single" w:sz="4" w:space="0" w:color="auto"/>
              <w:right w:val="single" w:sz="4" w:space="0" w:color="auto"/>
            </w:tcBorders>
            <w:vAlign w:val="center"/>
            <w:hideMark/>
          </w:tcPr>
          <w:p w14:paraId="7DD79FD2"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Frais de structure</w:t>
            </w:r>
          </w:p>
        </w:tc>
        <w:tc>
          <w:tcPr>
            <w:tcW w:w="2005" w:type="pct"/>
            <w:tcBorders>
              <w:top w:val="single" w:sz="4" w:space="0" w:color="auto"/>
              <w:left w:val="single" w:sz="4" w:space="0" w:color="auto"/>
              <w:bottom w:val="single" w:sz="4" w:space="0" w:color="auto"/>
              <w:right w:val="nil"/>
            </w:tcBorders>
            <w:vAlign w:val="center"/>
            <w:hideMark/>
          </w:tcPr>
          <w:p w14:paraId="541B32F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114</w:t>
            </w:r>
          </w:p>
        </w:tc>
        <w:tc>
          <w:tcPr>
            <w:tcW w:w="129" w:type="pct"/>
            <w:tcBorders>
              <w:top w:val="single" w:sz="4" w:space="0" w:color="auto"/>
              <w:left w:val="single" w:sz="4" w:space="0" w:color="auto"/>
              <w:bottom w:val="single" w:sz="4" w:space="0" w:color="auto"/>
              <w:right w:val="nil"/>
            </w:tcBorders>
            <w:vAlign w:val="center"/>
          </w:tcPr>
          <w:p w14:paraId="327E7144" w14:textId="77777777" w:rsidR="008862C7" w:rsidRDefault="008862C7">
            <w:pPr>
              <w:tabs>
                <w:tab w:val="left" w:pos="708"/>
              </w:tabs>
              <w:spacing w:before="120" w:after="0" w:line="276" w:lineRule="auto"/>
              <w:jc w:val="center"/>
              <w:rPr>
                <w:rFonts w:ascii="Arial" w:eastAsia="Times New Roman" w:hAnsi="Arial" w:cs="Arial"/>
              </w:rPr>
            </w:pPr>
          </w:p>
        </w:tc>
        <w:tc>
          <w:tcPr>
            <w:tcW w:w="1135" w:type="pct"/>
            <w:tcBorders>
              <w:top w:val="single" w:sz="4" w:space="0" w:color="auto"/>
              <w:left w:val="nil"/>
              <w:bottom w:val="single" w:sz="4" w:space="0" w:color="auto"/>
              <w:right w:val="single" w:sz="4" w:space="0" w:color="auto"/>
            </w:tcBorders>
            <w:vAlign w:val="center"/>
            <w:hideMark/>
          </w:tcPr>
          <w:p w14:paraId="37CC012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34</w:t>
            </w:r>
          </w:p>
        </w:tc>
      </w:tr>
      <w:tr w:rsidR="008862C7" w14:paraId="2FDCD6A3" w14:textId="77777777" w:rsidTr="008862C7">
        <w:trPr>
          <w:trHeight w:val="162"/>
        </w:trPr>
        <w:tc>
          <w:tcPr>
            <w:tcW w:w="1730" w:type="pct"/>
            <w:tcBorders>
              <w:top w:val="single" w:sz="4" w:space="0" w:color="auto"/>
              <w:left w:val="single" w:sz="4" w:space="0" w:color="auto"/>
              <w:bottom w:val="single" w:sz="4" w:space="0" w:color="auto"/>
              <w:right w:val="single" w:sz="4" w:space="0" w:color="auto"/>
            </w:tcBorders>
            <w:vAlign w:val="center"/>
            <w:hideMark/>
          </w:tcPr>
          <w:p w14:paraId="4DEBFAB4"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Coût de la mise à FOB</w:t>
            </w:r>
          </w:p>
        </w:tc>
        <w:tc>
          <w:tcPr>
            <w:tcW w:w="2005" w:type="pct"/>
            <w:tcBorders>
              <w:top w:val="single" w:sz="4" w:space="0" w:color="auto"/>
              <w:left w:val="single" w:sz="4" w:space="0" w:color="auto"/>
              <w:bottom w:val="single" w:sz="4" w:space="0" w:color="auto"/>
              <w:right w:val="nil"/>
            </w:tcBorders>
            <w:vAlign w:val="center"/>
            <w:hideMark/>
          </w:tcPr>
          <w:p w14:paraId="70FD9CA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131</w:t>
            </w:r>
          </w:p>
        </w:tc>
        <w:tc>
          <w:tcPr>
            <w:tcW w:w="129" w:type="pct"/>
            <w:tcBorders>
              <w:top w:val="single" w:sz="4" w:space="0" w:color="auto"/>
              <w:left w:val="single" w:sz="4" w:space="0" w:color="auto"/>
              <w:bottom w:val="single" w:sz="4" w:space="0" w:color="auto"/>
              <w:right w:val="nil"/>
            </w:tcBorders>
            <w:vAlign w:val="center"/>
          </w:tcPr>
          <w:p w14:paraId="4C70E8D9" w14:textId="77777777" w:rsidR="008862C7" w:rsidRDefault="008862C7">
            <w:pPr>
              <w:tabs>
                <w:tab w:val="left" w:pos="708"/>
              </w:tabs>
              <w:spacing w:before="120" w:after="0" w:line="276" w:lineRule="auto"/>
              <w:jc w:val="center"/>
              <w:rPr>
                <w:rFonts w:ascii="Arial" w:eastAsia="Times New Roman" w:hAnsi="Arial" w:cs="Arial"/>
              </w:rPr>
            </w:pPr>
          </w:p>
        </w:tc>
        <w:tc>
          <w:tcPr>
            <w:tcW w:w="1135" w:type="pct"/>
            <w:tcBorders>
              <w:top w:val="single" w:sz="4" w:space="0" w:color="auto"/>
              <w:left w:val="nil"/>
              <w:bottom w:val="single" w:sz="4" w:space="0" w:color="auto"/>
              <w:right w:val="single" w:sz="4" w:space="0" w:color="auto"/>
            </w:tcBorders>
            <w:vAlign w:val="center"/>
            <w:hideMark/>
          </w:tcPr>
          <w:p w14:paraId="22A1AFA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39</w:t>
            </w:r>
          </w:p>
        </w:tc>
      </w:tr>
      <w:tr w:rsidR="008862C7" w14:paraId="3E1E2194" w14:textId="77777777" w:rsidTr="008862C7">
        <w:tc>
          <w:tcPr>
            <w:tcW w:w="1730" w:type="pct"/>
            <w:tcBorders>
              <w:top w:val="single" w:sz="4" w:space="0" w:color="auto"/>
              <w:left w:val="single" w:sz="4" w:space="0" w:color="auto"/>
              <w:bottom w:val="single" w:sz="4" w:space="0" w:color="auto"/>
              <w:right w:val="single" w:sz="4" w:space="0" w:color="auto"/>
            </w:tcBorders>
            <w:vAlign w:val="center"/>
            <w:hideMark/>
          </w:tcPr>
          <w:p w14:paraId="462308CD"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 xml:space="preserve">Total </w:t>
            </w:r>
          </w:p>
        </w:tc>
        <w:tc>
          <w:tcPr>
            <w:tcW w:w="2005" w:type="pct"/>
            <w:tcBorders>
              <w:top w:val="single" w:sz="4" w:space="0" w:color="auto"/>
              <w:left w:val="single" w:sz="4" w:space="0" w:color="auto"/>
              <w:bottom w:val="single" w:sz="4" w:space="0" w:color="auto"/>
              <w:right w:val="nil"/>
            </w:tcBorders>
            <w:vAlign w:val="center"/>
            <w:hideMark/>
          </w:tcPr>
          <w:p w14:paraId="4915754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336</w:t>
            </w:r>
          </w:p>
        </w:tc>
        <w:tc>
          <w:tcPr>
            <w:tcW w:w="129" w:type="pct"/>
            <w:tcBorders>
              <w:top w:val="single" w:sz="4" w:space="0" w:color="auto"/>
              <w:left w:val="single" w:sz="4" w:space="0" w:color="auto"/>
              <w:bottom w:val="single" w:sz="4" w:space="0" w:color="auto"/>
              <w:right w:val="nil"/>
            </w:tcBorders>
            <w:vAlign w:val="center"/>
          </w:tcPr>
          <w:p w14:paraId="57418966" w14:textId="77777777" w:rsidR="008862C7" w:rsidRDefault="008862C7">
            <w:pPr>
              <w:tabs>
                <w:tab w:val="left" w:pos="708"/>
              </w:tabs>
              <w:spacing w:before="120" w:after="0" w:line="276" w:lineRule="auto"/>
              <w:jc w:val="center"/>
              <w:rPr>
                <w:rFonts w:ascii="Arial" w:eastAsia="Times New Roman" w:hAnsi="Arial" w:cs="Arial"/>
              </w:rPr>
            </w:pPr>
          </w:p>
        </w:tc>
        <w:tc>
          <w:tcPr>
            <w:tcW w:w="1135" w:type="pct"/>
            <w:tcBorders>
              <w:top w:val="single" w:sz="4" w:space="0" w:color="auto"/>
              <w:left w:val="nil"/>
              <w:bottom w:val="single" w:sz="4" w:space="0" w:color="auto"/>
              <w:right w:val="single" w:sz="4" w:space="0" w:color="auto"/>
            </w:tcBorders>
            <w:vAlign w:val="center"/>
            <w:hideMark/>
          </w:tcPr>
          <w:p w14:paraId="0840EF0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100</w:t>
            </w:r>
          </w:p>
        </w:tc>
      </w:tr>
    </w:tbl>
    <w:p w14:paraId="24FAFC4A"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 xml:space="preserve">Source : Données Cellule coton, 2006 </w:t>
      </w:r>
    </w:p>
    <w:p w14:paraId="4BAD6E56" w14:textId="77777777" w:rsidR="008862C7" w:rsidRDefault="008862C7" w:rsidP="008862C7">
      <w:pPr>
        <w:spacing w:before="240" w:after="0" w:line="360" w:lineRule="auto"/>
        <w:jc w:val="both"/>
        <w:rPr>
          <w:rFonts w:ascii="Arial" w:hAnsi="Arial" w:cs="Arial"/>
          <w:sz w:val="24"/>
          <w:szCs w:val="24"/>
        </w:rPr>
      </w:pPr>
      <w:r>
        <w:rPr>
          <w:rFonts w:ascii="Arial" w:hAnsi="Arial" w:cs="Arial"/>
          <w:sz w:val="24"/>
          <w:szCs w:val="24"/>
        </w:rPr>
        <w:t>Composé de trois postes de dépenses, le frais de la mise à FOB du coton fibre (131 FCFA/kg) constitue le principal poste de dépense du circuit externe. Il est suivi des frais de structure</w:t>
      </w:r>
      <w:r>
        <w:rPr>
          <w:rStyle w:val="Appelnotedebasdep"/>
          <w:rFonts w:ascii="Arial" w:hAnsi="Arial" w:cs="Arial"/>
          <w:szCs w:val="24"/>
        </w:rPr>
        <w:footnoteReference w:id="42"/>
      </w:r>
      <w:r>
        <w:rPr>
          <w:rFonts w:ascii="Arial" w:hAnsi="Arial" w:cs="Arial"/>
          <w:sz w:val="24"/>
          <w:szCs w:val="24"/>
        </w:rPr>
        <w:t xml:space="preserve"> estimé à 114 FCFA/kg de coton fibre et enfin le coût d’usinage qui s’élève à 91 FCFA/kg de coton fibre produit.</w:t>
      </w:r>
    </w:p>
    <w:p w14:paraId="576EAFB5" w14:textId="77777777" w:rsidR="005C0325" w:rsidRDefault="005C0325" w:rsidP="008862C7">
      <w:pPr>
        <w:spacing w:before="240" w:after="0" w:line="360" w:lineRule="auto"/>
        <w:jc w:val="both"/>
        <w:rPr>
          <w:rFonts w:ascii="Arial" w:hAnsi="Arial" w:cs="Arial"/>
          <w:sz w:val="24"/>
          <w:szCs w:val="24"/>
        </w:rPr>
      </w:pPr>
    </w:p>
    <w:p w14:paraId="4C57A41F" w14:textId="77777777" w:rsidR="005C0325" w:rsidRDefault="005C0325" w:rsidP="008862C7">
      <w:pPr>
        <w:spacing w:before="240" w:after="0" w:line="360" w:lineRule="auto"/>
        <w:jc w:val="both"/>
        <w:rPr>
          <w:rFonts w:ascii="Arial" w:hAnsi="Arial" w:cs="Arial"/>
          <w:sz w:val="24"/>
          <w:szCs w:val="24"/>
        </w:rPr>
      </w:pPr>
    </w:p>
    <w:p w14:paraId="59400C48"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lastRenderedPageBreak/>
        <w:t>Tableau 3.11 :</w:t>
      </w:r>
      <w:r>
        <w:rPr>
          <w:rFonts w:ascii="Arial" w:hAnsi="Arial" w:cs="Arial"/>
          <w:sz w:val="24"/>
          <w:szCs w:val="24"/>
        </w:rPr>
        <w:t xml:space="preserve"> Coût de commercialisation du coton en FCFA en 2005/2006</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759"/>
        <w:gridCol w:w="2334"/>
        <w:gridCol w:w="3226"/>
      </w:tblGrid>
      <w:tr w:rsidR="008862C7" w14:paraId="4A66CE58" w14:textId="77777777" w:rsidTr="008862C7">
        <w:tc>
          <w:tcPr>
            <w:tcW w:w="2306" w:type="pct"/>
            <w:tcBorders>
              <w:top w:val="single" w:sz="4" w:space="0" w:color="auto"/>
              <w:left w:val="single" w:sz="4" w:space="0" w:color="auto"/>
              <w:bottom w:val="single" w:sz="4" w:space="0" w:color="auto"/>
              <w:right w:val="single" w:sz="4" w:space="0" w:color="auto"/>
            </w:tcBorders>
            <w:vAlign w:val="center"/>
            <w:hideMark/>
          </w:tcPr>
          <w:p w14:paraId="092409E4"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Libelle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469C1A3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Coût (FCFA par kg de coton fibre)</w:t>
            </w:r>
          </w:p>
        </w:tc>
        <w:tc>
          <w:tcPr>
            <w:tcW w:w="1563" w:type="pct"/>
            <w:tcBorders>
              <w:top w:val="single" w:sz="4" w:space="0" w:color="auto"/>
              <w:left w:val="single" w:sz="4" w:space="0" w:color="auto"/>
              <w:bottom w:val="single" w:sz="4" w:space="0" w:color="auto"/>
              <w:right w:val="single" w:sz="4" w:space="0" w:color="auto"/>
            </w:tcBorders>
            <w:hideMark/>
          </w:tcPr>
          <w:p w14:paraId="6DA768A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Proportion (%)</w:t>
            </w:r>
          </w:p>
        </w:tc>
      </w:tr>
      <w:tr w:rsidR="008862C7" w14:paraId="4079082C" w14:textId="77777777" w:rsidTr="008862C7">
        <w:trPr>
          <w:trHeight w:val="212"/>
        </w:trPr>
        <w:tc>
          <w:tcPr>
            <w:tcW w:w="2306" w:type="pct"/>
            <w:tcBorders>
              <w:top w:val="single" w:sz="4" w:space="0" w:color="auto"/>
              <w:left w:val="single" w:sz="4" w:space="0" w:color="auto"/>
              <w:bottom w:val="single" w:sz="4" w:space="0" w:color="auto"/>
              <w:right w:val="single" w:sz="4" w:space="0" w:color="auto"/>
            </w:tcBorders>
            <w:vAlign w:val="center"/>
            <w:hideMark/>
          </w:tcPr>
          <w:p w14:paraId="6506F396"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 xml:space="preserve">Total coûts circuit interne </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6BBB7B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532</w:t>
            </w:r>
          </w:p>
        </w:tc>
        <w:tc>
          <w:tcPr>
            <w:tcW w:w="1563" w:type="pct"/>
            <w:tcBorders>
              <w:top w:val="single" w:sz="4" w:space="0" w:color="auto"/>
              <w:left w:val="single" w:sz="4" w:space="0" w:color="auto"/>
              <w:bottom w:val="single" w:sz="4" w:space="0" w:color="auto"/>
              <w:right w:val="single" w:sz="4" w:space="0" w:color="auto"/>
            </w:tcBorders>
            <w:vAlign w:val="center"/>
            <w:hideMark/>
          </w:tcPr>
          <w:p w14:paraId="7A844C8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56</w:t>
            </w:r>
          </w:p>
        </w:tc>
      </w:tr>
      <w:tr w:rsidR="008862C7" w14:paraId="39417DD4" w14:textId="77777777" w:rsidTr="008862C7">
        <w:trPr>
          <w:trHeight w:val="230"/>
        </w:trPr>
        <w:tc>
          <w:tcPr>
            <w:tcW w:w="2306" w:type="pct"/>
            <w:tcBorders>
              <w:top w:val="single" w:sz="4" w:space="0" w:color="auto"/>
              <w:left w:val="single" w:sz="4" w:space="0" w:color="auto"/>
              <w:bottom w:val="single" w:sz="4" w:space="0" w:color="auto"/>
              <w:right w:val="single" w:sz="4" w:space="0" w:color="auto"/>
            </w:tcBorders>
            <w:vAlign w:val="center"/>
            <w:hideMark/>
          </w:tcPr>
          <w:p w14:paraId="7E3B691B"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 xml:space="preserve">Total coût circuit externe </w:t>
            </w:r>
          </w:p>
        </w:tc>
        <w:tc>
          <w:tcPr>
            <w:tcW w:w="1131" w:type="pct"/>
            <w:tcBorders>
              <w:top w:val="single" w:sz="4" w:space="0" w:color="auto"/>
              <w:left w:val="single" w:sz="4" w:space="0" w:color="auto"/>
              <w:bottom w:val="single" w:sz="4" w:space="0" w:color="auto"/>
              <w:right w:val="single" w:sz="4" w:space="0" w:color="auto"/>
            </w:tcBorders>
            <w:vAlign w:val="center"/>
            <w:hideMark/>
          </w:tcPr>
          <w:p w14:paraId="483C2AF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336</w:t>
            </w:r>
          </w:p>
        </w:tc>
        <w:tc>
          <w:tcPr>
            <w:tcW w:w="1563" w:type="pct"/>
            <w:tcBorders>
              <w:top w:val="single" w:sz="4" w:space="0" w:color="auto"/>
              <w:left w:val="single" w:sz="4" w:space="0" w:color="auto"/>
              <w:bottom w:val="single" w:sz="4" w:space="0" w:color="auto"/>
              <w:right w:val="single" w:sz="4" w:space="0" w:color="auto"/>
            </w:tcBorders>
            <w:vAlign w:val="center"/>
            <w:hideMark/>
          </w:tcPr>
          <w:p w14:paraId="47483C6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44</w:t>
            </w:r>
          </w:p>
        </w:tc>
      </w:tr>
      <w:tr w:rsidR="008862C7" w14:paraId="1B50FAD8" w14:textId="77777777" w:rsidTr="008862C7">
        <w:tc>
          <w:tcPr>
            <w:tcW w:w="2306" w:type="pct"/>
            <w:tcBorders>
              <w:top w:val="single" w:sz="4" w:space="0" w:color="auto"/>
              <w:left w:val="single" w:sz="4" w:space="0" w:color="auto"/>
              <w:bottom w:val="single" w:sz="4" w:space="0" w:color="auto"/>
              <w:right w:val="single" w:sz="4" w:space="0" w:color="auto"/>
            </w:tcBorders>
            <w:vAlign w:val="center"/>
            <w:hideMark/>
          </w:tcPr>
          <w:p w14:paraId="2084FC05" w14:textId="77777777" w:rsidR="008862C7" w:rsidRDefault="008862C7">
            <w:pPr>
              <w:tabs>
                <w:tab w:val="left" w:pos="708"/>
              </w:tabs>
              <w:spacing w:before="120" w:after="0" w:line="276" w:lineRule="auto"/>
              <w:rPr>
                <w:rFonts w:ascii="Arial" w:eastAsia="Times New Roman" w:hAnsi="Arial" w:cs="Arial"/>
              </w:rPr>
            </w:pPr>
            <w:r>
              <w:rPr>
                <w:rFonts w:ascii="Arial" w:hAnsi="Arial" w:cs="Arial"/>
              </w:rPr>
              <w:t xml:space="preserve">Total </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8C502A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868</w:t>
            </w:r>
          </w:p>
        </w:tc>
        <w:tc>
          <w:tcPr>
            <w:tcW w:w="1563" w:type="pct"/>
            <w:tcBorders>
              <w:top w:val="single" w:sz="4" w:space="0" w:color="auto"/>
              <w:left w:val="single" w:sz="4" w:space="0" w:color="auto"/>
              <w:bottom w:val="single" w:sz="4" w:space="0" w:color="auto"/>
              <w:right w:val="single" w:sz="4" w:space="0" w:color="auto"/>
            </w:tcBorders>
            <w:vAlign w:val="center"/>
            <w:hideMark/>
          </w:tcPr>
          <w:p w14:paraId="29040C1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100</w:t>
            </w:r>
          </w:p>
        </w:tc>
      </w:tr>
    </w:tbl>
    <w:p w14:paraId="0CB3E931" w14:textId="77777777" w:rsidR="008862C7" w:rsidRDefault="008862C7" w:rsidP="008862C7">
      <w:pPr>
        <w:spacing w:before="120" w:after="0"/>
        <w:jc w:val="both"/>
        <w:rPr>
          <w:rFonts w:ascii="Arial" w:eastAsia="Times New Roman" w:hAnsi="Arial" w:cs="Arial"/>
          <w:sz w:val="20"/>
          <w:szCs w:val="24"/>
        </w:rPr>
      </w:pPr>
      <w:r>
        <w:rPr>
          <w:rFonts w:ascii="Arial" w:hAnsi="Arial" w:cs="Arial"/>
          <w:sz w:val="20"/>
          <w:szCs w:val="24"/>
        </w:rPr>
        <w:t xml:space="preserve">Source : Données cellule coton, 2006 </w:t>
      </w:r>
    </w:p>
    <w:p w14:paraId="6D05C388" w14:textId="77777777" w:rsidR="008862C7" w:rsidRDefault="008862C7" w:rsidP="008862C7">
      <w:pPr>
        <w:spacing w:before="240" w:after="0" w:line="360" w:lineRule="auto"/>
        <w:jc w:val="both"/>
        <w:rPr>
          <w:rFonts w:ascii="Arial" w:hAnsi="Arial" w:cs="Arial"/>
          <w:sz w:val="24"/>
          <w:szCs w:val="24"/>
        </w:rPr>
      </w:pPr>
      <w:r>
        <w:rPr>
          <w:rFonts w:ascii="Arial" w:hAnsi="Arial" w:cs="Arial"/>
          <w:sz w:val="24"/>
          <w:szCs w:val="24"/>
        </w:rPr>
        <w:t xml:space="preserve">Avec 56% des dépenses, le circuit interne est le plus grand poste de dépenses du circuit suivi des coûts liés au circuit externe qui représente 44% des dépenses totales pour un montant total moyen de 868 FCFA/kg de coton fibre produit en Centrafrique. Il est à noter que selon les informations recueillies auprès des personnes ressources, ce montant est de 766 FCFA/ Kg de coton fibre produit pour la compagne 2005/06 et ne varie pas sensiblement d’une année à l’autre avec une moyenne sur la décennie qui se situe 744 FCFA/Kg.  </w:t>
      </w:r>
    </w:p>
    <w:p w14:paraId="112B243B" w14:textId="77777777" w:rsidR="008862C7" w:rsidRDefault="008862C7" w:rsidP="008862C7">
      <w:pPr>
        <w:spacing w:before="120" w:after="0" w:line="360" w:lineRule="auto"/>
        <w:rPr>
          <w:rFonts w:ascii="Arial" w:hAnsi="Arial" w:cs="Arial"/>
          <w:b/>
          <w:sz w:val="24"/>
          <w:szCs w:val="24"/>
        </w:rPr>
      </w:pPr>
      <w:r>
        <w:rPr>
          <w:rFonts w:ascii="Arial" w:hAnsi="Arial" w:cs="Arial"/>
          <w:b/>
          <w:sz w:val="24"/>
          <w:szCs w:val="24"/>
        </w:rPr>
        <w:t xml:space="preserve">Tableau 3.12 : </w:t>
      </w:r>
      <w:r>
        <w:rPr>
          <w:rFonts w:ascii="Arial" w:hAnsi="Arial" w:cs="Arial"/>
          <w:sz w:val="24"/>
          <w:szCs w:val="24"/>
        </w:rPr>
        <w:t>Importance des coûts dans le circuit en 2005-2006.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502"/>
        <w:gridCol w:w="2658"/>
        <w:gridCol w:w="2675"/>
      </w:tblGrid>
      <w:tr w:rsidR="008862C7" w14:paraId="2FF3AE3F" w14:textId="77777777" w:rsidTr="005C0325">
        <w:trPr>
          <w:trHeight w:val="203"/>
          <w:jc w:val="center"/>
        </w:trPr>
        <w:tc>
          <w:tcPr>
            <w:tcW w:w="1292" w:type="pct"/>
            <w:tcBorders>
              <w:top w:val="single" w:sz="4" w:space="0" w:color="auto"/>
              <w:left w:val="single" w:sz="4" w:space="0" w:color="auto"/>
              <w:bottom w:val="single" w:sz="4" w:space="0" w:color="auto"/>
              <w:right w:val="single" w:sz="4" w:space="0" w:color="auto"/>
            </w:tcBorders>
            <w:hideMark/>
          </w:tcPr>
          <w:p w14:paraId="3F19AD98"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Libelle</w:t>
            </w:r>
          </w:p>
        </w:tc>
        <w:tc>
          <w:tcPr>
            <w:tcW w:w="1184" w:type="pct"/>
            <w:tcBorders>
              <w:top w:val="single" w:sz="4" w:space="0" w:color="auto"/>
              <w:left w:val="single" w:sz="4" w:space="0" w:color="auto"/>
              <w:bottom w:val="single" w:sz="4" w:space="0" w:color="auto"/>
              <w:right w:val="single" w:sz="4" w:space="0" w:color="auto"/>
            </w:tcBorders>
            <w:hideMark/>
          </w:tcPr>
          <w:p w14:paraId="572588F8"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Coût (FCFA/kg de coton-graine)</w:t>
            </w:r>
          </w:p>
        </w:tc>
        <w:tc>
          <w:tcPr>
            <w:tcW w:w="1258" w:type="pct"/>
            <w:tcBorders>
              <w:top w:val="single" w:sz="4" w:space="0" w:color="auto"/>
              <w:left w:val="single" w:sz="4" w:space="0" w:color="auto"/>
              <w:bottom w:val="single" w:sz="4" w:space="0" w:color="auto"/>
              <w:right w:val="single" w:sz="4" w:space="0" w:color="auto"/>
            </w:tcBorders>
            <w:hideMark/>
          </w:tcPr>
          <w:p w14:paraId="5604696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Coût (FCFA/Kg de coton-fibre)</w:t>
            </w:r>
          </w:p>
        </w:tc>
        <w:tc>
          <w:tcPr>
            <w:tcW w:w="1266" w:type="pct"/>
            <w:tcBorders>
              <w:top w:val="single" w:sz="4" w:space="0" w:color="auto"/>
              <w:left w:val="single" w:sz="4" w:space="0" w:color="auto"/>
              <w:bottom w:val="single" w:sz="4" w:space="0" w:color="auto"/>
              <w:right w:val="single" w:sz="4" w:space="0" w:color="auto"/>
            </w:tcBorders>
            <w:hideMark/>
          </w:tcPr>
          <w:p w14:paraId="024BC5E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Proportion (%)</w:t>
            </w:r>
          </w:p>
        </w:tc>
      </w:tr>
      <w:tr w:rsidR="008862C7" w14:paraId="008AFFE1" w14:textId="77777777" w:rsidTr="005C0325">
        <w:trPr>
          <w:trHeight w:val="200"/>
          <w:jc w:val="center"/>
        </w:trPr>
        <w:tc>
          <w:tcPr>
            <w:tcW w:w="1292" w:type="pct"/>
            <w:tcBorders>
              <w:top w:val="single" w:sz="4" w:space="0" w:color="auto"/>
              <w:left w:val="single" w:sz="4" w:space="0" w:color="auto"/>
              <w:bottom w:val="single" w:sz="4" w:space="0" w:color="auto"/>
              <w:right w:val="single" w:sz="4" w:space="0" w:color="auto"/>
            </w:tcBorders>
            <w:hideMark/>
          </w:tcPr>
          <w:p w14:paraId="32706861"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Achat coton graine</w:t>
            </w:r>
          </w:p>
        </w:tc>
        <w:tc>
          <w:tcPr>
            <w:tcW w:w="1184" w:type="pct"/>
            <w:tcBorders>
              <w:top w:val="single" w:sz="4" w:space="0" w:color="auto"/>
              <w:left w:val="single" w:sz="4" w:space="0" w:color="auto"/>
              <w:bottom w:val="single" w:sz="4" w:space="0" w:color="auto"/>
              <w:right w:val="single" w:sz="4" w:space="0" w:color="auto"/>
            </w:tcBorders>
            <w:hideMark/>
          </w:tcPr>
          <w:p w14:paraId="1D61124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175</w:t>
            </w:r>
          </w:p>
        </w:tc>
        <w:tc>
          <w:tcPr>
            <w:tcW w:w="1258" w:type="pct"/>
            <w:tcBorders>
              <w:top w:val="single" w:sz="4" w:space="0" w:color="auto"/>
              <w:left w:val="single" w:sz="4" w:space="0" w:color="auto"/>
              <w:bottom w:val="single" w:sz="4" w:space="0" w:color="auto"/>
              <w:right w:val="single" w:sz="4" w:space="0" w:color="auto"/>
            </w:tcBorders>
            <w:hideMark/>
          </w:tcPr>
          <w:p w14:paraId="3006FAB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437,5</w:t>
            </w:r>
          </w:p>
        </w:tc>
        <w:tc>
          <w:tcPr>
            <w:tcW w:w="1266" w:type="pct"/>
            <w:tcBorders>
              <w:top w:val="single" w:sz="4" w:space="0" w:color="auto"/>
              <w:left w:val="single" w:sz="4" w:space="0" w:color="auto"/>
              <w:bottom w:val="single" w:sz="4" w:space="0" w:color="auto"/>
              <w:right w:val="single" w:sz="4" w:space="0" w:color="auto"/>
            </w:tcBorders>
            <w:hideMark/>
          </w:tcPr>
          <w:p w14:paraId="16CE39C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54</w:t>
            </w:r>
          </w:p>
        </w:tc>
      </w:tr>
      <w:tr w:rsidR="008862C7" w14:paraId="0EF8B9FA" w14:textId="77777777" w:rsidTr="005C0325">
        <w:trPr>
          <w:trHeight w:val="275"/>
          <w:jc w:val="center"/>
        </w:trPr>
        <w:tc>
          <w:tcPr>
            <w:tcW w:w="1292" w:type="pct"/>
            <w:tcBorders>
              <w:top w:val="single" w:sz="4" w:space="0" w:color="auto"/>
              <w:left w:val="single" w:sz="4" w:space="0" w:color="auto"/>
              <w:bottom w:val="single" w:sz="4" w:space="0" w:color="auto"/>
              <w:right w:val="single" w:sz="4" w:space="0" w:color="auto"/>
            </w:tcBorders>
            <w:hideMark/>
          </w:tcPr>
          <w:p w14:paraId="6F870EE3"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Transport</w:t>
            </w:r>
          </w:p>
        </w:tc>
        <w:tc>
          <w:tcPr>
            <w:tcW w:w="1184" w:type="pct"/>
            <w:tcBorders>
              <w:top w:val="single" w:sz="4" w:space="0" w:color="auto"/>
              <w:left w:val="single" w:sz="4" w:space="0" w:color="auto"/>
              <w:bottom w:val="single" w:sz="4" w:space="0" w:color="auto"/>
              <w:right w:val="single" w:sz="4" w:space="0" w:color="auto"/>
            </w:tcBorders>
          </w:tcPr>
          <w:p w14:paraId="2B53047E" w14:textId="77777777" w:rsidR="008862C7" w:rsidRDefault="008862C7">
            <w:pPr>
              <w:tabs>
                <w:tab w:val="left" w:pos="708"/>
              </w:tabs>
              <w:spacing w:before="120" w:after="0" w:line="276" w:lineRule="auto"/>
              <w:jc w:val="center"/>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2AE015B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121</w:t>
            </w:r>
          </w:p>
        </w:tc>
        <w:tc>
          <w:tcPr>
            <w:tcW w:w="1266" w:type="pct"/>
            <w:tcBorders>
              <w:top w:val="single" w:sz="4" w:space="0" w:color="auto"/>
              <w:left w:val="single" w:sz="4" w:space="0" w:color="auto"/>
              <w:bottom w:val="single" w:sz="4" w:space="0" w:color="auto"/>
              <w:right w:val="single" w:sz="4" w:space="0" w:color="auto"/>
            </w:tcBorders>
            <w:hideMark/>
          </w:tcPr>
          <w:p w14:paraId="71ACD87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r>
      <w:tr w:rsidR="008862C7" w14:paraId="70837C30" w14:textId="77777777" w:rsidTr="005C0325">
        <w:trPr>
          <w:trHeight w:val="275"/>
          <w:jc w:val="center"/>
        </w:trPr>
        <w:tc>
          <w:tcPr>
            <w:tcW w:w="1292" w:type="pct"/>
            <w:tcBorders>
              <w:top w:val="single" w:sz="4" w:space="0" w:color="auto"/>
              <w:left w:val="single" w:sz="4" w:space="0" w:color="auto"/>
              <w:bottom w:val="single" w:sz="4" w:space="0" w:color="auto"/>
              <w:right w:val="single" w:sz="4" w:space="0" w:color="auto"/>
            </w:tcBorders>
            <w:hideMark/>
          </w:tcPr>
          <w:p w14:paraId="77036B95"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Mains d’œuvre</w:t>
            </w:r>
          </w:p>
        </w:tc>
        <w:tc>
          <w:tcPr>
            <w:tcW w:w="1184" w:type="pct"/>
            <w:tcBorders>
              <w:top w:val="single" w:sz="4" w:space="0" w:color="auto"/>
              <w:left w:val="single" w:sz="4" w:space="0" w:color="auto"/>
              <w:bottom w:val="single" w:sz="4" w:space="0" w:color="auto"/>
              <w:right w:val="single" w:sz="4" w:space="0" w:color="auto"/>
            </w:tcBorders>
          </w:tcPr>
          <w:p w14:paraId="59432312" w14:textId="77777777" w:rsidR="008862C7" w:rsidRDefault="008862C7">
            <w:pPr>
              <w:tabs>
                <w:tab w:val="left" w:pos="708"/>
              </w:tabs>
              <w:spacing w:before="120" w:after="0" w:line="276" w:lineRule="auto"/>
              <w:jc w:val="center"/>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7FA551C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58</w:t>
            </w:r>
          </w:p>
        </w:tc>
        <w:tc>
          <w:tcPr>
            <w:tcW w:w="1266" w:type="pct"/>
            <w:tcBorders>
              <w:top w:val="single" w:sz="4" w:space="0" w:color="auto"/>
              <w:left w:val="single" w:sz="4" w:space="0" w:color="auto"/>
              <w:bottom w:val="single" w:sz="4" w:space="0" w:color="auto"/>
              <w:right w:val="single" w:sz="4" w:space="0" w:color="auto"/>
            </w:tcBorders>
            <w:hideMark/>
          </w:tcPr>
          <w:p w14:paraId="043E991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w:t>
            </w:r>
          </w:p>
        </w:tc>
      </w:tr>
      <w:tr w:rsidR="008862C7" w14:paraId="5D36E4B5" w14:textId="77777777" w:rsidTr="005C0325">
        <w:trPr>
          <w:trHeight w:val="225"/>
          <w:jc w:val="center"/>
        </w:trPr>
        <w:tc>
          <w:tcPr>
            <w:tcW w:w="1292" w:type="pct"/>
            <w:tcBorders>
              <w:top w:val="single" w:sz="4" w:space="0" w:color="auto"/>
              <w:left w:val="single" w:sz="4" w:space="0" w:color="auto"/>
              <w:bottom w:val="single" w:sz="4" w:space="0" w:color="auto"/>
              <w:right w:val="single" w:sz="4" w:space="0" w:color="auto"/>
            </w:tcBorders>
            <w:hideMark/>
          </w:tcPr>
          <w:p w14:paraId="7F403B2A"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Energie</w:t>
            </w:r>
          </w:p>
        </w:tc>
        <w:tc>
          <w:tcPr>
            <w:tcW w:w="1184" w:type="pct"/>
            <w:tcBorders>
              <w:top w:val="single" w:sz="4" w:space="0" w:color="auto"/>
              <w:left w:val="single" w:sz="4" w:space="0" w:color="auto"/>
              <w:bottom w:val="single" w:sz="4" w:space="0" w:color="auto"/>
              <w:right w:val="single" w:sz="4" w:space="0" w:color="auto"/>
            </w:tcBorders>
          </w:tcPr>
          <w:p w14:paraId="5E2AB2AB" w14:textId="77777777" w:rsidR="008862C7" w:rsidRDefault="008862C7">
            <w:pPr>
              <w:tabs>
                <w:tab w:val="left" w:pos="708"/>
              </w:tabs>
              <w:spacing w:before="120" w:after="0" w:line="276" w:lineRule="auto"/>
              <w:jc w:val="center"/>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2715201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40</w:t>
            </w:r>
          </w:p>
        </w:tc>
        <w:tc>
          <w:tcPr>
            <w:tcW w:w="1266" w:type="pct"/>
            <w:tcBorders>
              <w:top w:val="single" w:sz="4" w:space="0" w:color="auto"/>
              <w:left w:val="single" w:sz="4" w:space="0" w:color="auto"/>
              <w:bottom w:val="single" w:sz="4" w:space="0" w:color="auto"/>
              <w:right w:val="single" w:sz="4" w:space="0" w:color="auto"/>
            </w:tcBorders>
            <w:hideMark/>
          </w:tcPr>
          <w:p w14:paraId="707BECC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w:t>
            </w:r>
          </w:p>
        </w:tc>
      </w:tr>
      <w:tr w:rsidR="008862C7" w14:paraId="3D36C1F4" w14:textId="77777777" w:rsidTr="005C0325">
        <w:trPr>
          <w:trHeight w:val="300"/>
          <w:jc w:val="center"/>
        </w:trPr>
        <w:tc>
          <w:tcPr>
            <w:tcW w:w="1292" w:type="pct"/>
            <w:tcBorders>
              <w:top w:val="single" w:sz="4" w:space="0" w:color="auto"/>
              <w:left w:val="single" w:sz="4" w:space="0" w:color="auto"/>
              <w:bottom w:val="single" w:sz="4" w:space="0" w:color="auto"/>
              <w:right w:val="single" w:sz="4" w:space="0" w:color="auto"/>
            </w:tcBorders>
            <w:hideMark/>
          </w:tcPr>
          <w:p w14:paraId="1DF0D4F0"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Stockage</w:t>
            </w:r>
          </w:p>
        </w:tc>
        <w:tc>
          <w:tcPr>
            <w:tcW w:w="1184" w:type="pct"/>
            <w:tcBorders>
              <w:top w:val="single" w:sz="4" w:space="0" w:color="auto"/>
              <w:left w:val="single" w:sz="4" w:space="0" w:color="auto"/>
              <w:bottom w:val="single" w:sz="4" w:space="0" w:color="auto"/>
              <w:right w:val="single" w:sz="4" w:space="0" w:color="auto"/>
            </w:tcBorders>
          </w:tcPr>
          <w:p w14:paraId="3B25C538" w14:textId="77777777" w:rsidR="008862C7" w:rsidRDefault="008862C7">
            <w:pPr>
              <w:tabs>
                <w:tab w:val="left" w:pos="708"/>
              </w:tabs>
              <w:spacing w:before="120" w:after="0" w:line="276" w:lineRule="auto"/>
              <w:jc w:val="center"/>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330BBA8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33</w:t>
            </w:r>
          </w:p>
        </w:tc>
        <w:tc>
          <w:tcPr>
            <w:tcW w:w="1266" w:type="pct"/>
            <w:tcBorders>
              <w:top w:val="single" w:sz="4" w:space="0" w:color="auto"/>
              <w:left w:val="single" w:sz="4" w:space="0" w:color="auto"/>
              <w:bottom w:val="single" w:sz="4" w:space="0" w:color="auto"/>
              <w:right w:val="single" w:sz="4" w:space="0" w:color="auto"/>
            </w:tcBorders>
            <w:hideMark/>
          </w:tcPr>
          <w:p w14:paraId="63FEB37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w:t>
            </w:r>
          </w:p>
        </w:tc>
      </w:tr>
      <w:tr w:rsidR="008862C7" w14:paraId="4EB7A886" w14:textId="77777777" w:rsidTr="005C0325">
        <w:trPr>
          <w:trHeight w:val="250"/>
          <w:jc w:val="center"/>
        </w:trPr>
        <w:tc>
          <w:tcPr>
            <w:tcW w:w="1292" w:type="pct"/>
            <w:tcBorders>
              <w:top w:val="single" w:sz="4" w:space="0" w:color="auto"/>
              <w:left w:val="single" w:sz="4" w:space="0" w:color="auto"/>
              <w:bottom w:val="single" w:sz="4" w:space="0" w:color="auto"/>
              <w:right w:val="single" w:sz="4" w:space="0" w:color="auto"/>
            </w:tcBorders>
            <w:hideMark/>
          </w:tcPr>
          <w:p w14:paraId="78BB878D"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Autres</w:t>
            </w:r>
          </w:p>
        </w:tc>
        <w:tc>
          <w:tcPr>
            <w:tcW w:w="1184" w:type="pct"/>
            <w:tcBorders>
              <w:top w:val="single" w:sz="4" w:space="0" w:color="auto"/>
              <w:left w:val="single" w:sz="4" w:space="0" w:color="auto"/>
              <w:bottom w:val="single" w:sz="4" w:space="0" w:color="auto"/>
              <w:right w:val="single" w:sz="4" w:space="0" w:color="auto"/>
            </w:tcBorders>
          </w:tcPr>
          <w:p w14:paraId="4D4C2B3A" w14:textId="77777777" w:rsidR="008862C7" w:rsidRDefault="008862C7">
            <w:pPr>
              <w:tabs>
                <w:tab w:val="left" w:pos="708"/>
              </w:tabs>
              <w:spacing w:before="120" w:after="0" w:line="276" w:lineRule="auto"/>
              <w:jc w:val="center"/>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7E23256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119</w:t>
            </w:r>
          </w:p>
        </w:tc>
        <w:tc>
          <w:tcPr>
            <w:tcW w:w="1266" w:type="pct"/>
            <w:tcBorders>
              <w:top w:val="single" w:sz="4" w:space="0" w:color="auto"/>
              <w:left w:val="single" w:sz="4" w:space="0" w:color="auto"/>
              <w:bottom w:val="single" w:sz="4" w:space="0" w:color="auto"/>
              <w:right w:val="single" w:sz="4" w:space="0" w:color="auto"/>
            </w:tcBorders>
            <w:hideMark/>
          </w:tcPr>
          <w:p w14:paraId="255F291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r>
      <w:tr w:rsidR="008862C7" w14:paraId="39A7ECD6" w14:textId="77777777" w:rsidTr="005C0325">
        <w:trPr>
          <w:trHeight w:val="85"/>
          <w:jc w:val="center"/>
        </w:trPr>
        <w:tc>
          <w:tcPr>
            <w:tcW w:w="1292" w:type="pct"/>
            <w:tcBorders>
              <w:top w:val="single" w:sz="4" w:space="0" w:color="auto"/>
              <w:left w:val="single" w:sz="4" w:space="0" w:color="auto"/>
              <w:bottom w:val="single" w:sz="4" w:space="0" w:color="auto"/>
              <w:right w:val="single" w:sz="4" w:space="0" w:color="auto"/>
            </w:tcBorders>
            <w:hideMark/>
          </w:tcPr>
          <w:p w14:paraId="76C908B9"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Total</w:t>
            </w:r>
          </w:p>
        </w:tc>
        <w:tc>
          <w:tcPr>
            <w:tcW w:w="1184" w:type="pct"/>
            <w:tcBorders>
              <w:top w:val="single" w:sz="4" w:space="0" w:color="auto"/>
              <w:left w:val="single" w:sz="4" w:space="0" w:color="auto"/>
              <w:bottom w:val="single" w:sz="4" w:space="0" w:color="auto"/>
              <w:right w:val="single" w:sz="4" w:space="0" w:color="auto"/>
            </w:tcBorders>
          </w:tcPr>
          <w:p w14:paraId="19609E91" w14:textId="77777777" w:rsidR="008862C7" w:rsidRDefault="008862C7">
            <w:pPr>
              <w:tabs>
                <w:tab w:val="left" w:pos="708"/>
              </w:tabs>
              <w:spacing w:before="120" w:after="0" w:line="276" w:lineRule="auto"/>
              <w:jc w:val="both"/>
              <w:rPr>
                <w:rFonts w:ascii="Arial" w:eastAsia="Times New Roman" w:hAnsi="Arial" w:cs="Arial"/>
              </w:rPr>
            </w:pPr>
          </w:p>
        </w:tc>
        <w:tc>
          <w:tcPr>
            <w:tcW w:w="1258" w:type="pct"/>
            <w:tcBorders>
              <w:top w:val="single" w:sz="4" w:space="0" w:color="auto"/>
              <w:left w:val="single" w:sz="4" w:space="0" w:color="auto"/>
              <w:bottom w:val="single" w:sz="4" w:space="0" w:color="auto"/>
              <w:right w:val="single" w:sz="4" w:space="0" w:color="auto"/>
            </w:tcBorders>
            <w:hideMark/>
          </w:tcPr>
          <w:p w14:paraId="2AAFCFC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808,5</w:t>
            </w:r>
          </w:p>
        </w:tc>
        <w:tc>
          <w:tcPr>
            <w:tcW w:w="1266" w:type="pct"/>
            <w:tcBorders>
              <w:top w:val="single" w:sz="4" w:space="0" w:color="auto"/>
              <w:left w:val="single" w:sz="4" w:space="0" w:color="auto"/>
              <w:bottom w:val="single" w:sz="4" w:space="0" w:color="auto"/>
              <w:right w:val="single" w:sz="4" w:space="0" w:color="auto"/>
            </w:tcBorders>
            <w:hideMark/>
          </w:tcPr>
          <w:p w14:paraId="35C3F55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100</w:t>
            </w:r>
          </w:p>
        </w:tc>
      </w:tr>
    </w:tbl>
    <w:p w14:paraId="7A35AC99"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Source : Cellule coton, 2006</w:t>
      </w:r>
    </w:p>
    <w:p w14:paraId="782B6822" w14:textId="77777777" w:rsidR="008862C7" w:rsidRDefault="008862C7" w:rsidP="008862C7">
      <w:pPr>
        <w:spacing w:before="240" w:after="0" w:line="360" w:lineRule="auto"/>
        <w:jc w:val="both"/>
        <w:rPr>
          <w:rFonts w:ascii="Arial" w:hAnsi="Arial" w:cs="Arial"/>
          <w:sz w:val="24"/>
          <w:szCs w:val="24"/>
        </w:rPr>
      </w:pPr>
      <w:r>
        <w:rPr>
          <w:rFonts w:ascii="Arial" w:hAnsi="Arial" w:cs="Arial"/>
          <w:sz w:val="24"/>
          <w:szCs w:val="24"/>
        </w:rPr>
        <w:t xml:space="preserve">Ce tableau nous laisse entrevoir qu’en 2005/06, année de la création de la cellule coton, après les dépenses d’achat du coton graine, le transport est l’autre poste de dépense le plus considérable soit 15% des coûts totaux pour cette année. Si le prix d’achat du coton graine est resté presque le même pendant presque dix ans, c’est en 2010 et 2011 que les prix ont légèrement augmenté passant de 150 FCFA/Kg à 160 FCFA/Kg en 2010 puis 175 FCFA/Kg en 2011. Contrairement au prix d’achat du coton graine, le prix à la pompe du carburant à Bangui n’est pas stable. Passant de 260 FCFA/L en septembre 2000 à 800 FCFA/L en 2011 soit une augmentation de 35% par rapport à sa valeur de 2000. L’augmentation du prix à la pompe du carburant n’est pas sans conséquence sur les coûts de transport. C’est pourquoi en 2009/10 le </w:t>
      </w:r>
      <w:r>
        <w:rPr>
          <w:rFonts w:ascii="Arial" w:hAnsi="Arial" w:cs="Arial"/>
          <w:sz w:val="24"/>
          <w:szCs w:val="24"/>
        </w:rPr>
        <w:lastRenderedPageBreak/>
        <w:t xml:space="preserve">transport représente 15,51% des dépenses. Valeur supérieure à celle de 2005/06, année de référence. Le coût de la main-d’œuvre représente quant à lui 7% des coûts et de faite, est le troisième poste de dépense laissant derrière lui le coût d’énergie et le coût de stockage qui représentent respectivement 5% et 4% des coûts. Tout comme le coût de transport est soumis aux variations des prix à la pompe du carburant, le coût de l’énergie aussi est fortement corrélé aux variations des prix du carburant. Ceci du simple fait que les usines d’égrenage sont alimentées par des générateurs de courant électrique consommant du carburant. </w:t>
      </w:r>
    </w:p>
    <w:p w14:paraId="3446D89D" w14:textId="77777777" w:rsidR="008862C7" w:rsidRDefault="008862C7" w:rsidP="008862C7">
      <w:pPr>
        <w:spacing w:before="120" w:after="120" w:line="360" w:lineRule="auto"/>
        <w:jc w:val="both"/>
        <w:rPr>
          <w:rFonts w:ascii="Arial" w:hAnsi="Arial" w:cs="Arial"/>
          <w:sz w:val="24"/>
          <w:szCs w:val="24"/>
        </w:rPr>
      </w:pPr>
      <w:r>
        <w:rPr>
          <w:rFonts w:ascii="Arial" w:hAnsi="Arial" w:cs="Arial"/>
          <w:sz w:val="24"/>
          <w:szCs w:val="24"/>
        </w:rPr>
        <w:t>En somme ce tableau nous permet de mettre en évidence l’importance de chaque poste de dépenses dans la structure des coûts du circuit. Ainsi après l’achat du coton graine, le transport est le principal poste de dépense. C’est pourquoi il doit être pris en compte dans l’élaboration des politiques et stratégies commerciales pour la réduction des coûts et l’accroissement de la compétitivité du coton centrafricain sur le marché mondial.</w:t>
      </w:r>
    </w:p>
    <w:p w14:paraId="1CF0C70B" w14:textId="77777777" w:rsidR="008862C7" w:rsidRDefault="008862C7" w:rsidP="008862C7">
      <w:pPr>
        <w:pStyle w:val="Textebrut"/>
        <w:spacing w:after="120" w:line="360" w:lineRule="auto"/>
        <w:jc w:val="both"/>
        <w:outlineLvl w:val="3"/>
        <w:rPr>
          <w:rFonts w:ascii="Arial" w:hAnsi="Arial" w:cs="Arial"/>
          <w:szCs w:val="24"/>
        </w:rPr>
      </w:pPr>
      <w:bookmarkStart w:id="197" w:name="_Toc395107651"/>
      <w:bookmarkStart w:id="198" w:name="_Toc394954781"/>
      <w:bookmarkStart w:id="199" w:name="_Toc321251021"/>
      <w:bookmarkStart w:id="200" w:name="_Toc321218618"/>
      <w:r>
        <w:rPr>
          <w:rFonts w:ascii="Arial" w:hAnsi="Arial" w:cs="Arial"/>
          <w:b/>
          <w:sz w:val="24"/>
          <w:szCs w:val="32"/>
        </w:rPr>
        <w:t>2.2. Organisation et fonctionnement du marché international</w:t>
      </w:r>
      <w:bookmarkEnd w:id="197"/>
      <w:bookmarkEnd w:id="198"/>
      <w:bookmarkEnd w:id="199"/>
      <w:bookmarkEnd w:id="200"/>
    </w:p>
    <w:p w14:paraId="5C10B9D3" w14:textId="77777777" w:rsidR="008862C7" w:rsidRDefault="008862C7" w:rsidP="008862C7">
      <w:pPr>
        <w:pStyle w:val="Textebrut"/>
        <w:spacing w:after="120" w:line="360" w:lineRule="auto"/>
        <w:jc w:val="both"/>
        <w:rPr>
          <w:rFonts w:ascii="Arial" w:hAnsi="Arial" w:cs="Arial"/>
          <w:sz w:val="24"/>
          <w:szCs w:val="24"/>
        </w:rPr>
      </w:pPr>
      <w:bookmarkStart w:id="201" w:name="_Toc395018929"/>
      <w:bookmarkStart w:id="202" w:name="_Toc395015488"/>
      <w:bookmarkStart w:id="203" w:name="_Toc395013156"/>
      <w:bookmarkStart w:id="204" w:name="_Toc394954782"/>
      <w:bookmarkStart w:id="205" w:name="_Toc394954668"/>
      <w:r>
        <w:rPr>
          <w:rFonts w:ascii="Arial" w:hAnsi="Arial" w:cs="Arial"/>
          <w:sz w:val="24"/>
          <w:szCs w:val="24"/>
        </w:rPr>
        <w:t>On traitera ici de la partie avale de la filière, c’est-à-dire de la sortie de l’usine aux consommateurs finaux. Néanmoins, faute de donnés disponibles sur la partie post FOB et mise à CAF, nous nous limiterons ici qu’à la partie mise à FOB du marché.</w:t>
      </w:r>
      <w:bookmarkEnd w:id="201"/>
      <w:bookmarkEnd w:id="202"/>
      <w:bookmarkEnd w:id="203"/>
      <w:bookmarkEnd w:id="204"/>
      <w:bookmarkEnd w:id="205"/>
    </w:p>
    <w:p w14:paraId="08B5C2C6" w14:textId="77777777" w:rsidR="008862C7" w:rsidRDefault="008862C7" w:rsidP="008862C7">
      <w:pPr>
        <w:pStyle w:val="Textebrut"/>
        <w:spacing w:after="120" w:line="360" w:lineRule="auto"/>
        <w:jc w:val="both"/>
        <w:outlineLvl w:val="4"/>
        <w:rPr>
          <w:rFonts w:ascii="Arial" w:hAnsi="Arial" w:cs="Arial"/>
          <w:b/>
          <w:sz w:val="24"/>
          <w:szCs w:val="28"/>
        </w:rPr>
      </w:pPr>
      <w:bookmarkStart w:id="206" w:name="_Toc395107652"/>
      <w:bookmarkStart w:id="207" w:name="_Toc321251024"/>
      <w:r>
        <w:rPr>
          <w:rFonts w:ascii="Arial" w:hAnsi="Arial" w:cs="Arial"/>
          <w:b/>
          <w:sz w:val="24"/>
          <w:szCs w:val="28"/>
        </w:rPr>
        <w:t>2.2.1. Organisation du marché international</w:t>
      </w:r>
      <w:bookmarkEnd w:id="206"/>
    </w:p>
    <w:p w14:paraId="3FFDE7B8" w14:textId="77777777" w:rsidR="008862C7" w:rsidRDefault="008862C7" w:rsidP="008862C7">
      <w:pPr>
        <w:pStyle w:val="Textebrut"/>
        <w:spacing w:after="120" w:line="360" w:lineRule="auto"/>
        <w:jc w:val="both"/>
        <w:outlineLvl w:val="5"/>
        <w:rPr>
          <w:rFonts w:ascii="Arial" w:hAnsi="Arial" w:cs="Arial"/>
          <w:b/>
          <w:sz w:val="24"/>
          <w:szCs w:val="28"/>
        </w:rPr>
      </w:pPr>
      <w:bookmarkStart w:id="208" w:name="_Toc395107653"/>
      <w:r>
        <w:rPr>
          <w:rFonts w:ascii="Arial" w:hAnsi="Arial" w:cs="Arial"/>
          <w:b/>
          <w:sz w:val="24"/>
          <w:szCs w:val="28"/>
        </w:rPr>
        <w:t>2.2.1.1. Offreurs</w:t>
      </w:r>
      <w:bookmarkEnd w:id="208"/>
      <w:r>
        <w:rPr>
          <w:rFonts w:ascii="Arial" w:hAnsi="Arial" w:cs="Arial"/>
          <w:b/>
          <w:sz w:val="24"/>
          <w:szCs w:val="28"/>
        </w:rPr>
        <w:t> </w:t>
      </w:r>
      <w:bookmarkEnd w:id="207"/>
      <w:r>
        <w:rPr>
          <w:rFonts w:ascii="Arial" w:hAnsi="Arial" w:cs="Arial"/>
          <w:b/>
          <w:sz w:val="24"/>
          <w:szCs w:val="28"/>
        </w:rPr>
        <w:t xml:space="preserve"> </w:t>
      </w:r>
    </w:p>
    <w:p w14:paraId="0AAF43C1" w14:textId="77777777" w:rsidR="008862C7" w:rsidRDefault="008862C7" w:rsidP="008862C7">
      <w:pPr>
        <w:pStyle w:val="Textebrut"/>
        <w:spacing w:after="120" w:line="360" w:lineRule="auto"/>
        <w:jc w:val="both"/>
        <w:rPr>
          <w:rFonts w:ascii="Arial" w:hAnsi="Arial" w:cs="Arial"/>
          <w:sz w:val="24"/>
          <w:szCs w:val="24"/>
        </w:rPr>
      </w:pPr>
      <w:r>
        <w:rPr>
          <w:rFonts w:ascii="Arial" w:hAnsi="Arial" w:cs="Arial"/>
          <w:sz w:val="24"/>
          <w:szCs w:val="24"/>
        </w:rPr>
        <w:t xml:space="preserve">Ce sont des organismes qui en Afrique sont généralement des organismes publics ou parapublics chargés de la commercialisation interne et externe du coton. Celles-ci prennent généralement en charge l’usinage, la commercialisation de la fibre et dans une certaine mesure le rôle de la régulation et du contrôle de la filière. </w:t>
      </w:r>
    </w:p>
    <w:p w14:paraId="00C708A7" w14:textId="77777777" w:rsidR="008862C7" w:rsidRDefault="008862C7" w:rsidP="008862C7">
      <w:pPr>
        <w:pStyle w:val="Textebrut"/>
        <w:spacing w:after="120" w:line="360" w:lineRule="auto"/>
        <w:jc w:val="both"/>
        <w:rPr>
          <w:rFonts w:ascii="Arial" w:hAnsi="Arial" w:cs="Arial"/>
          <w:sz w:val="24"/>
          <w:szCs w:val="24"/>
        </w:rPr>
      </w:pPr>
      <w:r>
        <w:rPr>
          <w:rFonts w:ascii="Arial" w:hAnsi="Arial" w:cs="Arial"/>
          <w:sz w:val="24"/>
          <w:szCs w:val="24"/>
        </w:rPr>
        <w:t xml:space="preserve">En République Centrafricaine, l’achat du coton graine, sa transformation et l’offre du coton fibre sont assurés par la société cotonnière dont la dernière en date est la SDIC, une compagnie chinoise des textiles. Celle-ci prend non seulement en compte le circuit de commercialisation, mais elle contrôle aussi le segment d’approvisionnement en intrant, l’encadrement technique des producteurs et sous-traite le segment transport et transit avec des transporteurs et transitaires privés. </w:t>
      </w:r>
    </w:p>
    <w:p w14:paraId="6EA3915B" w14:textId="77777777" w:rsidR="005C0325" w:rsidRDefault="005C0325" w:rsidP="008862C7">
      <w:pPr>
        <w:pStyle w:val="Textebrut"/>
        <w:spacing w:after="120" w:line="360" w:lineRule="auto"/>
        <w:jc w:val="both"/>
        <w:rPr>
          <w:rFonts w:ascii="Arial" w:hAnsi="Arial" w:cs="Arial"/>
          <w:sz w:val="24"/>
          <w:szCs w:val="24"/>
        </w:rPr>
      </w:pPr>
    </w:p>
    <w:p w14:paraId="140C5416" w14:textId="77777777" w:rsidR="005C0325" w:rsidRDefault="005C0325" w:rsidP="008862C7">
      <w:pPr>
        <w:pStyle w:val="Textebrut"/>
        <w:spacing w:after="120" w:line="360" w:lineRule="auto"/>
        <w:jc w:val="both"/>
        <w:rPr>
          <w:rFonts w:ascii="Arial" w:hAnsi="Arial" w:cs="Arial"/>
          <w:sz w:val="24"/>
          <w:szCs w:val="24"/>
        </w:rPr>
      </w:pPr>
    </w:p>
    <w:p w14:paraId="380290F5" w14:textId="77777777" w:rsidR="005C0325" w:rsidRDefault="005C0325" w:rsidP="008862C7">
      <w:pPr>
        <w:pStyle w:val="Textebrut"/>
        <w:spacing w:after="120" w:line="360" w:lineRule="auto"/>
        <w:jc w:val="both"/>
        <w:rPr>
          <w:rFonts w:ascii="Arial" w:hAnsi="Arial" w:cs="Arial"/>
          <w:sz w:val="24"/>
          <w:szCs w:val="24"/>
        </w:rPr>
      </w:pPr>
    </w:p>
    <w:p w14:paraId="557FCCFC" w14:textId="77777777" w:rsidR="008862C7" w:rsidRDefault="008862C7" w:rsidP="008862C7">
      <w:pPr>
        <w:pStyle w:val="Paragraphedeliste"/>
        <w:numPr>
          <w:ilvl w:val="3"/>
          <w:numId w:val="40"/>
        </w:numPr>
        <w:spacing w:after="120" w:line="360" w:lineRule="auto"/>
        <w:outlineLvl w:val="5"/>
        <w:rPr>
          <w:rFonts w:ascii="Arial" w:hAnsi="Arial" w:cs="Arial"/>
          <w:b/>
          <w:sz w:val="24"/>
          <w:szCs w:val="28"/>
        </w:rPr>
      </w:pPr>
      <w:bookmarkStart w:id="209" w:name="_Toc321251025"/>
      <w:bookmarkStart w:id="210" w:name="_Toc395107654"/>
      <w:r>
        <w:rPr>
          <w:rFonts w:ascii="Arial" w:hAnsi="Arial" w:cs="Arial"/>
          <w:b/>
          <w:sz w:val="24"/>
          <w:szCs w:val="28"/>
        </w:rPr>
        <w:lastRenderedPageBreak/>
        <w:t>Intermédiaires</w:t>
      </w:r>
      <w:bookmarkEnd w:id="209"/>
      <w:r>
        <w:rPr>
          <w:rFonts w:ascii="Arial" w:hAnsi="Arial" w:cs="Arial"/>
          <w:b/>
          <w:sz w:val="24"/>
          <w:szCs w:val="28"/>
        </w:rPr>
        <w:t xml:space="preserve"> </w:t>
      </w:r>
      <w:bookmarkStart w:id="211" w:name="_Toc321251026"/>
      <w:r>
        <w:rPr>
          <w:rFonts w:ascii="Arial" w:hAnsi="Arial" w:cs="Arial"/>
          <w:b/>
          <w:sz w:val="24"/>
          <w:szCs w:val="28"/>
        </w:rPr>
        <w:t>et places internationales</w:t>
      </w:r>
      <w:bookmarkEnd w:id="210"/>
    </w:p>
    <w:p w14:paraId="22E7D26A" w14:textId="77777777" w:rsidR="008862C7" w:rsidRDefault="008862C7" w:rsidP="008862C7">
      <w:pPr>
        <w:pStyle w:val="Paragraphedeliste"/>
        <w:numPr>
          <w:ilvl w:val="0"/>
          <w:numId w:val="41"/>
        </w:numPr>
        <w:spacing w:after="120" w:line="360" w:lineRule="auto"/>
        <w:outlineLvl w:val="7"/>
        <w:rPr>
          <w:rFonts w:ascii="Arial" w:hAnsi="Arial" w:cs="Arial"/>
          <w:b/>
          <w:sz w:val="24"/>
          <w:szCs w:val="28"/>
        </w:rPr>
      </w:pPr>
      <w:bookmarkStart w:id="212" w:name="_Toc395107655"/>
      <w:r>
        <w:rPr>
          <w:rFonts w:ascii="Arial" w:hAnsi="Arial" w:cs="Arial"/>
          <w:b/>
          <w:sz w:val="24"/>
          <w:szCs w:val="28"/>
        </w:rPr>
        <w:t>Agents de vente</w:t>
      </w:r>
      <w:bookmarkEnd w:id="211"/>
      <w:r>
        <w:rPr>
          <w:rFonts w:ascii="Arial" w:hAnsi="Arial" w:cs="Arial"/>
          <w:b/>
          <w:sz w:val="24"/>
          <w:szCs w:val="28"/>
        </w:rPr>
        <w:t xml:space="preserve">, </w:t>
      </w:r>
      <w:bookmarkStart w:id="213" w:name="_Toc321251028"/>
      <w:r>
        <w:rPr>
          <w:rFonts w:ascii="Arial" w:hAnsi="Arial" w:cs="Arial"/>
          <w:b/>
          <w:sz w:val="24"/>
          <w:szCs w:val="28"/>
        </w:rPr>
        <w:t>négociants</w:t>
      </w:r>
      <w:bookmarkEnd w:id="213"/>
      <w:r>
        <w:rPr>
          <w:rFonts w:ascii="Arial" w:hAnsi="Arial" w:cs="Arial"/>
          <w:b/>
          <w:sz w:val="24"/>
          <w:szCs w:val="28"/>
        </w:rPr>
        <w:t xml:space="preserve"> et </w:t>
      </w:r>
      <w:bookmarkStart w:id="214" w:name="_Toc321251027"/>
      <w:r>
        <w:rPr>
          <w:rFonts w:ascii="Arial" w:hAnsi="Arial" w:cs="Arial"/>
          <w:b/>
          <w:sz w:val="24"/>
          <w:szCs w:val="28"/>
        </w:rPr>
        <w:t>courtiers</w:t>
      </w:r>
      <w:bookmarkEnd w:id="212"/>
      <w:bookmarkEnd w:id="214"/>
      <w:r>
        <w:rPr>
          <w:rFonts w:ascii="Arial" w:hAnsi="Arial" w:cs="Arial"/>
          <w:b/>
          <w:sz w:val="24"/>
          <w:szCs w:val="28"/>
        </w:rPr>
        <w:t xml:space="preserve"> </w:t>
      </w:r>
    </w:p>
    <w:p w14:paraId="327FF171"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L’essentiel des échanges commerciaux sur le marché international passent par une tierce (un agent) ou un intermédiaire qui agit pour le compte de l’acheteur. Les mandataires et les agents de vente possèdent une connaissance approfondie du marché ; ce qui fait que le choix de celui-ci peut être la clé de réussite dans l’exécution d’un contrat de vente. Dans l’exercice de leurs fonctions, les agents de vente peuvent être exclusifs c'est-à-dire agir pour le compte d’un seul organisme ou non. Ils peuvent aussi recourir à des sous-agents.</w:t>
      </w:r>
    </w:p>
    <w:p w14:paraId="715E5A15"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Les négociants opèrent dans une zone géographique donnée, mettant en présence acheteurs et vendeurs. A l’instar des mandataires (agents de vente), ils déclarent le nom de l’acheteur et du vendeur, perçoivent une commission mais ne représentent aucune partie.</w:t>
      </w:r>
    </w:p>
    <w:p w14:paraId="4BB2D642"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Les courtiers constituent l’épine dorsale de la commercialisation du coton, car ils peuvent vendre du coton en leurs propres noms et  pour leur propre compte ce qui implique une spéculation inhérente.</w:t>
      </w:r>
    </w:p>
    <w:p w14:paraId="26D27AEB" w14:textId="77777777" w:rsidR="008862C7" w:rsidRDefault="008862C7" w:rsidP="008862C7">
      <w:pPr>
        <w:pStyle w:val="Textebrut"/>
        <w:numPr>
          <w:ilvl w:val="0"/>
          <w:numId w:val="41"/>
        </w:numPr>
        <w:spacing w:before="120" w:line="360" w:lineRule="auto"/>
        <w:jc w:val="both"/>
        <w:outlineLvl w:val="7"/>
        <w:rPr>
          <w:rFonts w:ascii="Arial" w:hAnsi="Arial" w:cs="Arial"/>
          <w:b/>
          <w:sz w:val="24"/>
          <w:szCs w:val="28"/>
        </w:rPr>
      </w:pPr>
      <w:bookmarkStart w:id="215" w:name="_Toc395107656"/>
      <w:bookmarkStart w:id="216" w:name="_Toc321251029"/>
      <w:r>
        <w:rPr>
          <w:rFonts w:ascii="Arial" w:hAnsi="Arial" w:cs="Arial"/>
          <w:b/>
          <w:sz w:val="24"/>
          <w:szCs w:val="28"/>
        </w:rPr>
        <w:t>Transitaires</w:t>
      </w:r>
      <w:bookmarkEnd w:id="215"/>
      <w:bookmarkEnd w:id="216"/>
    </w:p>
    <w:p w14:paraId="73C25426"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Ce sont des organismes chargés du transport du coton fibre dans le temps et dans l’espace. Ils jouent le rôle d’interface entre la société cotonnière et les intermédiaires de premier rang (négociants, agents de vente, et courtiers).Les transitaires sont généralement chargés de sous-traiter la totalité des dossiers relatifs à l’exportation du coton fibre avec les services de la douane.  </w:t>
      </w:r>
    </w:p>
    <w:p w14:paraId="01231A4A" w14:textId="77777777" w:rsidR="008862C7" w:rsidRDefault="008862C7" w:rsidP="008862C7">
      <w:pPr>
        <w:pStyle w:val="Textebrut"/>
        <w:numPr>
          <w:ilvl w:val="0"/>
          <w:numId w:val="41"/>
        </w:numPr>
        <w:spacing w:before="120" w:line="360" w:lineRule="auto"/>
        <w:jc w:val="both"/>
        <w:outlineLvl w:val="7"/>
        <w:rPr>
          <w:rFonts w:ascii="Arial" w:hAnsi="Arial" w:cs="Arial"/>
          <w:b/>
          <w:sz w:val="24"/>
          <w:szCs w:val="28"/>
        </w:rPr>
      </w:pPr>
      <w:bookmarkStart w:id="217" w:name="_Toc395107657"/>
      <w:bookmarkStart w:id="218" w:name="_Toc321251030"/>
      <w:r>
        <w:rPr>
          <w:rFonts w:ascii="Arial" w:hAnsi="Arial" w:cs="Arial"/>
          <w:b/>
          <w:sz w:val="24"/>
          <w:szCs w:val="28"/>
        </w:rPr>
        <w:t>Places internationales</w:t>
      </w:r>
      <w:bookmarkEnd w:id="217"/>
      <w:bookmarkEnd w:id="218"/>
      <w:r>
        <w:rPr>
          <w:rFonts w:ascii="Arial" w:hAnsi="Arial" w:cs="Arial"/>
          <w:b/>
          <w:sz w:val="24"/>
          <w:szCs w:val="28"/>
        </w:rPr>
        <w:t xml:space="preserve"> </w:t>
      </w:r>
    </w:p>
    <w:p w14:paraId="3AB42C53"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Les places internationales sont soient des bourses ou soient des organismes fournissant des services de réglementation, d’arbitrage, de statistique, d’inspection et d’information.</w:t>
      </w:r>
    </w:p>
    <w:p w14:paraId="2D1542C6" w14:textId="77777777" w:rsidR="008862C7" w:rsidRDefault="008862C7" w:rsidP="008862C7">
      <w:pPr>
        <w:pStyle w:val="Textebrut"/>
        <w:numPr>
          <w:ilvl w:val="0"/>
          <w:numId w:val="41"/>
        </w:numPr>
        <w:spacing w:before="120" w:line="360" w:lineRule="auto"/>
        <w:jc w:val="both"/>
        <w:outlineLvl w:val="7"/>
        <w:rPr>
          <w:rFonts w:ascii="Arial" w:hAnsi="Arial" w:cs="Arial"/>
          <w:b/>
          <w:sz w:val="24"/>
          <w:szCs w:val="28"/>
        </w:rPr>
      </w:pPr>
      <w:bookmarkStart w:id="219" w:name="_Toc395107658"/>
      <w:bookmarkStart w:id="220" w:name="_Toc321251031"/>
      <w:r>
        <w:rPr>
          <w:rFonts w:ascii="Arial" w:hAnsi="Arial" w:cs="Arial"/>
          <w:b/>
          <w:sz w:val="24"/>
          <w:szCs w:val="28"/>
        </w:rPr>
        <w:t>Bourses</w:t>
      </w:r>
      <w:bookmarkEnd w:id="219"/>
      <w:bookmarkEnd w:id="220"/>
    </w:p>
    <w:p w14:paraId="23AF63F9"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On distingue généralement les bourses de valeurs mobilières et les bourses de marchandises. Le coton étant un produit agricole, se négocie sur la bourse des marchandises. Celle-ci permet aux entreprises de passer des contrats boursiers pour l’acquisition de tel ou tel produit avec garantie de prix. Les bourses se donnent ainsi la possibilité de couvrir leurs besoins en matières premières tout en se protégeant des fluctuations du marché mais, elles peuvent tout aussi bien spéculer. </w:t>
      </w:r>
    </w:p>
    <w:p w14:paraId="1A9B0A39"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lastRenderedPageBreak/>
        <w:t>Sur le marché mondial du coton l’ICE futur US Inc. basée à New-York</w:t>
      </w:r>
      <w:r>
        <w:rPr>
          <w:rStyle w:val="Appelnotedebasdep"/>
          <w:rFonts w:ascii="Arial" w:hAnsi="Arial" w:cs="Arial"/>
          <w:sz w:val="24"/>
          <w:szCs w:val="24"/>
        </w:rPr>
        <w:footnoteReference w:id="43"/>
      </w:r>
      <w:r>
        <w:rPr>
          <w:rFonts w:ascii="Arial" w:hAnsi="Arial" w:cs="Arial"/>
          <w:sz w:val="24"/>
          <w:szCs w:val="24"/>
        </w:rPr>
        <w:t xml:space="preserve"> est la référence en matière de bourse. D’où les contrats sur le coton négociés à New-York sont les plus fréquemment utilisés à travers le monde. Celui-ci a pour objectif économique « d’offrir une enceinte pour la découverte des prix et un instrument de gestion du risque des prix » (CCIC, 2007).</w:t>
      </w:r>
    </w:p>
    <w:p w14:paraId="48E3DA1D" w14:textId="77777777" w:rsidR="008862C7" w:rsidRDefault="008862C7" w:rsidP="008862C7">
      <w:pPr>
        <w:pStyle w:val="Textebrut"/>
        <w:numPr>
          <w:ilvl w:val="0"/>
          <w:numId w:val="41"/>
        </w:numPr>
        <w:spacing w:before="120" w:line="360" w:lineRule="auto"/>
        <w:jc w:val="both"/>
        <w:outlineLvl w:val="7"/>
        <w:rPr>
          <w:rFonts w:ascii="Arial" w:hAnsi="Arial" w:cs="Arial"/>
          <w:b/>
          <w:sz w:val="24"/>
          <w:szCs w:val="28"/>
        </w:rPr>
      </w:pPr>
      <w:bookmarkStart w:id="221" w:name="_Toc395107659"/>
      <w:bookmarkStart w:id="222" w:name="_Toc321251032"/>
      <w:r>
        <w:rPr>
          <w:rFonts w:ascii="Arial" w:hAnsi="Arial" w:cs="Arial"/>
          <w:b/>
          <w:sz w:val="24"/>
          <w:szCs w:val="28"/>
        </w:rPr>
        <w:t>Organismes de réglementation et d’arbitrage.</w:t>
      </w:r>
      <w:bookmarkEnd w:id="221"/>
      <w:bookmarkEnd w:id="222"/>
    </w:p>
    <w:p w14:paraId="68336738"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Ces organismes ont pour mission la réglementation du commerce du coton et l’arbitrage sur le marché entre les différents intervenants. Ils se chargent ainsi de régler les différends entre les acteurs du marché, veillant ainsi au respect et à l’établissement d’un marché convivial</w:t>
      </w:r>
      <w:r>
        <w:rPr>
          <w:rStyle w:val="Appelnotedebasdep"/>
          <w:rFonts w:ascii="Arial" w:hAnsi="Arial" w:cs="Arial"/>
          <w:sz w:val="24"/>
          <w:szCs w:val="24"/>
        </w:rPr>
        <w:footnoteReference w:id="44"/>
      </w:r>
      <w:r>
        <w:rPr>
          <w:rFonts w:ascii="Arial" w:hAnsi="Arial" w:cs="Arial"/>
          <w:sz w:val="24"/>
          <w:szCs w:val="24"/>
        </w:rPr>
        <w:t>. Le plus connu est la Liverpool Coton Association fondée il y’a plus de 150 ans et regroupe plus de 300 membres provenant de 60 pays au monde.</w:t>
      </w:r>
    </w:p>
    <w:p w14:paraId="170BC3A3" w14:textId="77777777" w:rsidR="008862C7" w:rsidRDefault="008862C7" w:rsidP="008862C7">
      <w:pPr>
        <w:pStyle w:val="Textebrut"/>
        <w:numPr>
          <w:ilvl w:val="0"/>
          <w:numId w:val="41"/>
        </w:numPr>
        <w:spacing w:before="120" w:line="360" w:lineRule="auto"/>
        <w:jc w:val="both"/>
        <w:outlineLvl w:val="7"/>
        <w:rPr>
          <w:rFonts w:ascii="Arial" w:hAnsi="Arial" w:cs="Arial"/>
          <w:b/>
          <w:sz w:val="24"/>
          <w:szCs w:val="28"/>
        </w:rPr>
      </w:pPr>
      <w:bookmarkStart w:id="223" w:name="_Toc395107660"/>
      <w:bookmarkStart w:id="224" w:name="_Toc321251033"/>
      <w:r>
        <w:rPr>
          <w:rFonts w:ascii="Arial" w:hAnsi="Arial" w:cs="Arial"/>
          <w:b/>
          <w:sz w:val="24"/>
          <w:szCs w:val="28"/>
        </w:rPr>
        <w:t>Services d’inspection et services d’information</w:t>
      </w:r>
      <w:bookmarkEnd w:id="223"/>
      <w:bookmarkEnd w:id="224"/>
    </w:p>
    <w:p w14:paraId="395CF418"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Les services d’inspection ont pour fonction le contrôle de la qualité du coton fibre sur le marché mondial alors que les services d’information sont des organismes chargés d’analyser les marchés et le prix du coton sur ces marchés.</w:t>
      </w:r>
    </w:p>
    <w:p w14:paraId="3E0D192E"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La référence en matière d’analyse du marché est le Cotton Outlook (cotlook) qui est une entreprise privée de Liverpool, recevant des informations sur les prix tant des acheteurs que des vendeurs du coton de différentes origines. Celui-ci calcule à partir des cinq cotations la plus basse livrée en Asie orientale, un indice du niveau des prix : l’indice A de Cotlook. C’est l’indicateur du niveau moyen des prix international le plus cité. </w:t>
      </w:r>
    </w:p>
    <w:p w14:paraId="178BD919" w14:textId="77777777" w:rsidR="008862C7" w:rsidRDefault="008862C7" w:rsidP="008862C7">
      <w:pPr>
        <w:pStyle w:val="Textebrut"/>
        <w:numPr>
          <w:ilvl w:val="2"/>
          <w:numId w:val="42"/>
        </w:numPr>
        <w:spacing w:before="240" w:line="360" w:lineRule="auto"/>
        <w:jc w:val="both"/>
        <w:outlineLvl w:val="4"/>
        <w:rPr>
          <w:rFonts w:ascii="Arial" w:hAnsi="Arial" w:cs="Arial"/>
          <w:b/>
          <w:sz w:val="24"/>
          <w:szCs w:val="24"/>
        </w:rPr>
      </w:pPr>
      <w:bookmarkStart w:id="225" w:name="_Toc395107661"/>
      <w:r>
        <w:rPr>
          <w:rFonts w:ascii="Arial" w:hAnsi="Arial" w:cs="Arial"/>
          <w:b/>
          <w:sz w:val="24"/>
          <w:szCs w:val="24"/>
        </w:rPr>
        <w:t>Fonctionnement du marché</w:t>
      </w:r>
      <w:bookmarkEnd w:id="225"/>
    </w:p>
    <w:p w14:paraId="6B145052" w14:textId="77777777" w:rsidR="008862C7" w:rsidRDefault="008862C7" w:rsidP="008862C7">
      <w:pPr>
        <w:pStyle w:val="Textebrut"/>
        <w:numPr>
          <w:ilvl w:val="3"/>
          <w:numId w:val="42"/>
        </w:numPr>
        <w:spacing w:before="240" w:line="360" w:lineRule="auto"/>
        <w:jc w:val="both"/>
        <w:outlineLvl w:val="5"/>
        <w:rPr>
          <w:rFonts w:ascii="Arial" w:hAnsi="Arial" w:cs="Arial"/>
          <w:b/>
          <w:sz w:val="24"/>
          <w:szCs w:val="28"/>
        </w:rPr>
      </w:pPr>
      <w:bookmarkStart w:id="226" w:name="_Toc321251034"/>
      <w:bookmarkStart w:id="227" w:name="_Toc395107662"/>
      <w:r>
        <w:rPr>
          <w:rFonts w:ascii="Arial" w:hAnsi="Arial" w:cs="Arial"/>
          <w:b/>
          <w:sz w:val="24"/>
          <w:szCs w:val="28"/>
        </w:rPr>
        <w:t>Marchés</w:t>
      </w:r>
      <w:bookmarkEnd w:id="226"/>
      <w:r>
        <w:rPr>
          <w:rFonts w:ascii="Arial" w:hAnsi="Arial" w:cs="Arial"/>
          <w:b/>
          <w:sz w:val="24"/>
          <w:szCs w:val="28"/>
        </w:rPr>
        <w:t> :</w:t>
      </w:r>
      <w:bookmarkStart w:id="228" w:name="_Toc321251036"/>
      <w:r>
        <w:rPr>
          <w:rFonts w:ascii="Arial" w:hAnsi="Arial" w:cs="Arial"/>
          <w:b/>
          <w:sz w:val="24"/>
          <w:szCs w:val="28"/>
        </w:rPr>
        <w:t xml:space="preserve"> formation des cours et causes de leur variation</w:t>
      </w:r>
      <w:bookmarkEnd w:id="227"/>
      <w:bookmarkEnd w:id="228"/>
    </w:p>
    <w:p w14:paraId="055A5B7E"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A l’instar des produits de base, la commercialisation du coton sur le marché international s’effectue sur deux types de marché : les marchés à terme et les marchés physiques.</w:t>
      </w:r>
    </w:p>
    <w:p w14:paraId="7674B46E"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Les marchés à termes sont des marchés spéculatifs sur lesquels s’échangent des promesses de vente contre des promesses d’achat à un prix fixé d’avance le plus souvent entre deux et six mois. Sur ces marchés, offreurs et demandeurs peuvent vendre et acheter, par l’intermédiaire </w:t>
      </w:r>
      <w:r>
        <w:rPr>
          <w:rFonts w:ascii="Arial" w:hAnsi="Arial" w:cs="Arial"/>
          <w:sz w:val="24"/>
          <w:szCs w:val="24"/>
        </w:rPr>
        <w:lastRenderedPageBreak/>
        <w:t>d’un courtier, des quantités de coton dont la livraison est différée dans le temps. Ce marché permet d’éliminer au profit de l’offreur les risques probables de fluctuation du prix des produits.</w:t>
      </w:r>
    </w:p>
    <w:p w14:paraId="763AE0FC"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Sur les marchés physiques, la livraison du coton a lieu directement au terme du contrat d’achat ou de vente et ne nécessite aucune spéculation</w:t>
      </w:r>
      <w:bookmarkStart w:id="229" w:name="_Toc321251035"/>
      <w:r>
        <w:rPr>
          <w:rFonts w:ascii="Arial" w:hAnsi="Arial" w:cs="Arial"/>
          <w:sz w:val="24"/>
          <w:szCs w:val="24"/>
        </w:rPr>
        <w:t>.</w:t>
      </w:r>
    </w:p>
    <w:bookmarkEnd w:id="229"/>
    <w:p w14:paraId="4BD61BA8"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Sur le marché mondial les ventes en bourses d’un produit abouties à la détermination du cours boursier ou de cours international dégagé par des agents de change. Lorsque les intervenants du marché de coton parlent de prix (cours) ils font généralement référence soit à l’indice A du Cotton Outlook (Cotlook) soit au dernier cours d’un contrat a terme sur le marché a terme ICE. </w:t>
      </w:r>
    </w:p>
    <w:p w14:paraId="6FEFDC76"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Même si l’indice A de Cotlook est la référence des cours mondiaux du coton, cela n’empêche que le prix des transactions dans la réalité ne soit inférieur aux cotations de Cotlook. Contrairement à l’indice A de Cotlook qui représente la moyenne de cinq cotations les plus basses, les prix à termes constituent les prix réels de transaction pour du coton américain d’une description très précise, livrée en des endroits très précis, à des dates précises. Ils sont cotés à la criée par enchères publiques informatisées. Le prix ainsi observé n’implique donc aucun jugement.</w:t>
      </w:r>
    </w:p>
    <w:p w14:paraId="5FE9924D"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Si la formation des cours du coton résulte dans une certaine mesure de la loi du marché, il est largement entendu que les variations de ces cours dépendent aussi des paramètres tant endogènes qu’exogènes à ce marché. Il s’agit plus précisément de :</w:t>
      </w:r>
    </w:p>
    <w:p w14:paraId="1E9E827F" w14:textId="77777777" w:rsidR="008862C7" w:rsidRDefault="008862C7" w:rsidP="008862C7">
      <w:pPr>
        <w:pStyle w:val="Textebrut"/>
        <w:numPr>
          <w:ilvl w:val="0"/>
          <w:numId w:val="35"/>
        </w:numPr>
        <w:spacing w:line="360" w:lineRule="auto"/>
        <w:jc w:val="both"/>
        <w:rPr>
          <w:rFonts w:ascii="Arial" w:hAnsi="Arial" w:cs="Arial"/>
          <w:sz w:val="24"/>
          <w:szCs w:val="24"/>
        </w:rPr>
      </w:pPr>
      <w:r>
        <w:rPr>
          <w:rFonts w:ascii="Arial" w:hAnsi="Arial" w:cs="Arial"/>
          <w:sz w:val="24"/>
          <w:szCs w:val="24"/>
        </w:rPr>
        <w:t>la demande de la Chine sur le marché : première consommatrice mondiale sur le marché du coton, à elle seule, la Chine consomme près de 40% de la production mondiale annuelle ;</w:t>
      </w:r>
    </w:p>
    <w:p w14:paraId="4200F28A" w14:textId="77777777" w:rsidR="008862C7" w:rsidRDefault="008862C7" w:rsidP="008862C7">
      <w:pPr>
        <w:pStyle w:val="Textebrut"/>
        <w:numPr>
          <w:ilvl w:val="0"/>
          <w:numId w:val="35"/>
        </w:numPr>
        <w:spacing w:line="360" w:lineRule="auto"/>
        <w:jc w:val="both"/>
        <w:rPr>
          <w:rFonts w:ascii="Arial" w:hAnsi="Arial" w:cs="Arial"/>
          <w:sz w:val="24"/>
          <w:szCs w:val="24"/>
        </w:rPr>
      </w:pPr>
      <w:r>
        <w:rPr>
          <w:rFonts w:ascii="Arial" w:hAnsi="Arial" w:cs="Arial"/>
          <w:sz w:val="24"/>
          <w:szCs w:val="24"/>
        </w:rPr>
        <w:t>les subventions versées aux producteurs de coton américains par le gouvernement fédéral : contraires aux principes du libéralisme économique, les subventions versées aux producteurs de coton américains sont à la source de distorsions et de déséquilibres sur le marché affectant directement le niveau des prix ;</w:t>
      </w:r>
    </w:p>
    <w:p w14:paraId="39657F03" w14:textId="77777777" w:rsidR="008862C7" w:rsidRDefault="008862C7" w:rsidP="008862C7">
      <w:pPr>
        <w:pStyle w:val="Textebrut"/>
        <w:numPr>
          <w:ilvl w:val="0"/>
          <w:numId w:val="35"/>
        </w:numPr>
        <w:spacing w:line="360" w:lineRule="auto"/>
        <w:jc w:val="both"/>
        <w:rPr>
          <w:rFonts w:ascii="Arial" w:hAnsi="Arial" w:cs="Arial"/>
          <w:sz w:val="24"/>
          <w:szCs w:val="24"/>
        </w:rPr>
      </w:pPr>
      <w:r>
        <w:rPr>
          <w:rFonts w:ascii="Arial" w:hAnsi="Arial" w:cs="Arial"/>
          <w:sz w:val="24"/>
          <w:szCs w:val="24"/>
        </w:rPr>
        <w:t>l’affaiblissement du Dollar américain : le coton étant coté sur le marché mondial en dollar, les variations de celui-ci ont donc une incidence directe sur les cours pour les pays en développement qui doivent ensuite convertir ces devises en monnaie locale ;</w:t>
      </w:r>
    </w:p>
    <w:p w14:paraId="05C658A1" w14:textId="77777777" w:rsidR="008862C7" w:rsidRDefault="008862C7" w:rsidP="008862C7">
      <w:pPr>
        <w:pStyle w:val="Textebrut"/>
        <w:numPr>
          <w:ilvl w:val="0"/>
          <w:numId w:val="35"/>
        </w:numPr>
        <w:spacing w:line="360" w:lineRule="auto"/>
        <w:jc w:val="both"/>
        <w:rPr>
          <w:rFonts w:ascii="Arial" w:hAnsi="Arial" w:cs="Arial"/>
          <w:sz w:val="24"/>
          <w:szCs w:val="24"/>
        </w:rPr>
      </w:pPr>
      <w:r>
        <w:rPr>
          <w:rFonts w:ascii="Arial" w:hAnsi="Arial" w:cs="Arial"/>
          <w:sz w:val="24"/>
          <w:szCs w:val="24"/>
        </w:rPr>
        <w:t>le niveau du stock mondial : la variation du stock mondial de coton affecte les cours par le fait qu’il influe les décisions des acteurs du marché.</w:t>
      </w:r>
    </w:p>
    <w:p w14:paraId="2542D75B" w14:textId="77777777" w:rsidR="005C0325" w:rsidRDefault="005C0325" w:rsidP="005C0325">
      <w:pPr>
        <w:pStyle w:val="Textebrut"/>
        <w:spacing w:line="360" w:lineRule="auto"/>
        <w:jc w:val="both"/>
        <w:rPr>
          <w:rFonts w:ascii="Arial" w:hAnsi="Arial" w:cs="Arial"/>
          <w:sz w:val="24"/>
          <w:szCs w:val="24"/>
        </w:rPr>
      </w:pPr>
    </w:p>
    <w:p w14:paraId="104C80BF" w14:textId="77777777" w:rsidR="005C0325" w:rsidRDefault="005C0325" w:rsidP="005C0325">
      <w:pPr>
        <w:pStyle w:val="Textebrut"/>
        <w:spacing w:line="360" w:lineRule="auto"/>
        <w:jc w:val="both"/>
        <w:rPr>
          <w:rFonts w:ascii="Arial" w:hAnsi="Arial" w:cs="Arial"/>
          <w:sz w:val="24"/>
          <w:szCs w:val="24"/>
        </w:rPr>
      </w:pPr>
    </w:p>
    <w:p w14:paraId="61F3EC30" w14:textId="77777777" w:rsidR="008862C7" w:rsidRDefault="008862C7" w:rsidP="008862C7">
      <w:pPr>
        <w:pStyle w:val="Textebrut"/>
        <w:numPr>
          <w:ilvl w:val="3"/>
          <w:numId w:val="42"/>
        </w:numPr>
        <w:spacing w:before="240" w:line="360" w:lineRule="auto"/>
        <w:jc w:val="both"/>
        <w:outlineLvl w:val="5"/>
        <w:rPr>
          <w:rFonts w:ascii="Arial" w:hAnsi="Arial" w:cs="Arial"/>
          <w:b/>
          <w:sz w:val="24"/>
          <w:szCs w:val="24"/>
        </w:rPr>
      </w:pPr>
      <w:bookmarkStart w:id="230" w:name="_Toc395107663"/>
      <w:bookmarkStart w:id="231" w:name="_Toc321251041"/>
      <w:r>
        <w:rPr>
          <w:rFonts w:ascii="Arial" w:hAnsi="Arial" w:cs="Arial"/>
          <w:b/>
          <w:sz w:val="24"/>
          <w:szCs w:val="24"/>
        </w:rPr>
        <w:lastRenderedPageBreak/>
        <w:t>Commercialisation du coton fibre centrafricain</w:t>
      </w:r>
      <w:bookmarkEnd w:id="230"/>
    </w:p>
    <w:p w14:paraId="65B8CE3E" w14:textId="77777777" w:rsidR="008862C7" w:rsidRDefault="008862C7" w:rsidP="008862C7">
      <w:pPr>
        <w:pStyle w:val="Textebrut"/>
        <w:numPr>
          <w:ilvl w:val="0"/>
          <w:numId w:val="43"/>
        </w:numPr>
        <w:spacing w:before="120" w:line="360" w:lineRule="auto"/>
        <w:jc w:val="both"/>
        <w:outlineLvl w:val="7"/>
        <w:rPr>
          <w:rFonts w:ascii="Arial" w:hAnsi="Arial" w:cs="Arial"/>
          <w:b/>
          <w:sz w:val="24"/>
          <w:szCs w:val="28"/>
        </w:rPr>
      </w:pPr>
      <w:bookmarkStart w:id="232" w:name="_Toc395107664"/>
      <w:r>
        <w:rPr>
          <w:rFonts w:ascii="Arial" w:hAnsi="Arial" w:cs="Arial"/>
          <w:b/>
          <w:sz w:val="24"/>
          <w:szCs w:val="28"/>
        </w:rPr>
        <w:t>Différents systèmes de vente du coton fibre</w:t>
      </w:r>
      <w:bookmarkEnd w:id="231"/>
      <w:r>
        <w:rPr>
          <w:rFonts w:ascii="Arial" w:hAnsi="Arial" w:cs="Arial"/>
          <w:b/>
          <w:sz w:val="24"/>
          <w:szCs w:val="28"/>
        </w:rPr>
        <w:t xml:space="preserve"> en Afrique</w:t>
      </w:r>
      <w:bookmarkEnd w:id="232"/>
    </w:p>
    <w:p w14:paraId="7DCD146F"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Les sociétés cotonnières en Afrique de l’Ouest et du Centre ont en général trois possibilités pour écouler leur coton sur le marché mondial. </w:t>
      </w:r>
    </w:p>
    <w:p w14:paraId="3F95E674" w14:textId="77777777" w:rsidR="008862C7" w:rsidRDefault="008862C7" w:rsidP="008862C7">
      <w:pPr>
        <w:pStyle w:val="Textebrut"/>
        <w:numPr>
          <w:ilvl w:val="0"/>
          <w:numId w:val="44"/>
        </w:numPr>
        <w:spacing w:line="360" w:lineRule="auto"/>
        <w:jc w:val="both"/>
        <w:outlineLvl w:val="8"/>
        <w:rPr>
          <w:rFonts w:ascii="Arial" w:hAnsi="Arial" w:cs="Arial"/>
          <w:b/>
          <w:sz w:val="24"/>
          <w:szCs w:val="28"/>
        </w:rPr>
      </w:pPr>
      <w:bookmarkStart w:id="233" w:name="_Toc395107665"/>
      <w:bookmarkStart w:id="234" w:name="_Toc321251042"/>
      <w:r>
        <w:rPr>
          <w:rFonts w:ascii="Arial" w:hAnsi="Arial" w:cs="Arial"/>
          <w:b/>
          <w:sz w:val="24"/>
          <w:szCs w:val="28"/>
        </w:rPr>
        <w:t>Ventes par filières organisées.</w:t>
      </w:r>
      <w:bookmarkEnd w:id="233"/>
      <w:bookmarkEnd w:id="234"/>
    </w:p>
    <w:p w14:paraId="74B6BAFE" w14:textId="77777777" w:rsidR="008862C7" w:rsidRDefault="008862C7" w:rsidP="008862C7">
      <w:pPr>
        <w:pStyle w:val="Textebrut"/>
        <w:spacing w:line="360" w:lineRule="auto"/>
        <w:jc w:val="both"/>
        <w:rPr>
          <w:rFonts w:ascii="Arial" w:hAnsi="Arial" w:cs="Arial"/>
          <w:sz w:val="24"/>
          <w:szCs w:val="24"/>
        </w:rPr>
      </w:pPr>
      <w:r>
        <w:rPr>
          <w:rFonts w:ascii="Arial" w:hAnsi="Arial" w:cs="Arial"/>
          <w:sz w:val="24"/>
          <w:szCs w:val="24"/>
        </w:rPr>
        <w:t xml:space="preserve">C’est le système le plus répondu en Afrique francophone car il permet d’éviter une très grande concurrence entre les producteurs africains, ce qui ne serait bénéfique qu’aux acheteurs. Dans ce système la société cotonnière organise la vente à l’étranger de son produit au tour d’un bureau central qui programme les exportations sur la base de la prévision de production de chaque société cotonnière. La compagnie cotonnière place le coton à partir d’une grille des prix retouchés chaque jour compte tenu des variations des cours sur les deux principaux marchés. Le courtier perçoit un frais de commission d’un taux de 0,5% à 1% du chiffre d’affaire. </w:t>
      </w:r>
    </w:p>
    <w:p w14:paraId="21308DB9"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La commercialisation de la fibre centrafricaine est exclusivement assurée par la Compagnie Cotonnière (COPACO), filiale de la CFDT, suite à un contrat signé entre ce dernier et le ministère de l’agriculture et de développement rural. La COPACO agit en tant qu’agent de vente exclusif du coton fibre centrafricain. A ce titre, elle est chargée plus précisément de la réservation, du fret, de la souscription des assurances, des formalités d’embarquement, des remises documentaires de l’établissement des factures, de leur encaissement et du transfert des fonds en RCA. </w:t>
      </w:r>
    </w:p>
    <w:p w14:paraId="5EB9B7F7" w14:textId="77777777" w:rsidR="008862C7" w:rsidRDefault="008862C7" w:rsidP="008862C7">
      <w:pPr>
        <w:pStyle w:val="Textebrut"/>
        <w:numPr>
          <w:ilvl w:val="0"/>
          <w:numId w:val="44"/>
        </w:numPr>
        <w:spacing w:line="360" w:lineRule="auto"/>
        <w:jc w:val="both"/>
        <w:outlineLvl w:val="8"/>
        <w:rPr>
          <w:rFonts w:ascii="Arial" w:hAnsi="Arial" w:cs="Arial"/>
          <w:b/>
          <w:sz w:val="24"/>
          <w:szCs w:val="28"/>
        </w:rPr>
      </w:pPr>
      <w:bookmarkStart w:id="235" w:name="_Toc395107666"/>
      <w:bookmarkStart w:id="236" w:name="_Toc321251043"/>
      <w:r>
        <w:rPr>
          <w:rFonts w:ascii="Arial" w:hAnsi="Arial" w:cs="Arial"/>
          <w:b/>
          <w:sz w:val="24"/>
          <w:szCs w:val="28"/>
        </w:rPr>
        <w:t>Vente par agent commissionné.</w:t>
      </w:r>
      <w:bookmarkEnd w:id="235"/>
      <w:bookmarkEnd w:id="236"/>
    </w:p>
    <w:p w14:paraId="15D35CB2" w14:textId="77777777" w:rsidR="008862C7" w:rsidRDefault="008862C7" w:rsidP="008862C7">
      <w:pPr>
        <w:pStyle w:val="Textebrut"/>
        <w:spacing w:line="360" w:lineRule="auto"/>
        <w:jc w:val="both"/>
        <w:rPr>
          <w:rFonts w:ascii="Arial" w:hAnsi="Arial" w:cs="Arial"/>
          <w:sz w:val="24"/>
          <w:szCs w:val="24"/>
        </w:rPr>
      </w:pPr>
      <w:r>
        <w:rPr>
          <w:rFonts w:ascii="Arial" w:hAnsi="Arial" w:cs="Arial"/>
          <w:sz w:val="24"/>
          <w:szCs w:val="24"/>
        </w:rPr>
        <w:t xml:space="preserve">Le système de vente par agent commissionné suppose l’existence des représentations à l’extérieur avec tout ce que cela implique en termes de coût. En Afrique francophone, la Côte d’Ivoire et le Tchad sont des exemples de pays utilisant ce système. Le premier y écoule tout son coton, alors que le second y vend seulement une partie de sa production.  </w:t>
      </w:r>
    </w:p>
    <w:p w14:paraId="6897C399" w14:textId="77777777" w:rsidR="008862C7" w:rsidRDefault="008862C7" w:rsidP="008862C7">
      <w:pPr>
        <w:pStyle w:val="Textebrut"/>
        <w:numPr>
          <w:ilvl w:val="0"/>
          <w:numId w:val="44"/>
        </w:numPr>
        <w:spacing w:line="360" w:lineRule="auto"/>
        <w:jc w:val="both"/>
        <w:outlineLvl w:val="8"/>
        <w:rPr>
          <w:rFonts w:ascii="Arial" w:hAnsi="Arial" w:cs="Arial"/>
          <w:b/>
          <w:sz w:val="24"/>
          <w:szCs w:val="28"/>
        </w:rPr>
      </w:pPr>
      <w:bookmarkStart w:id="237" w:name="_Toc395107667"/>
      <w:bookmarkStart w:id="238" w:name="_Toc321251044"/>
      <w:r>
        <w:rPr>
          <w:rFonts w:ascii="Arial" w:hAnsi="Arial" w:cs="Arial"/>
          <w:b/>
          <w:sz w:val="24"/>
          <w:szCs w:val="28"/>
        </w:rPr>
        <w:t>Ventes par négoce.</w:t>
      </w:r>
      <w:bookmarkEnd w:id="237"/>
      <w:bookmarkEnd w:id="238"/>
    </w:p>
    <w:p w14:paraId="2137A17F" w14:textId="77777777" w:rsidR="008862C7" w:rsidRDefault="008862C7" w:rsidP="008862C7">
      <w:pPr>
        <w:pStyle w:val="Textebrut"/>
        <w:spacing w:line="360" w:lineRule="auto"/>
        <w:jc w:val="both"/>
        <w:rPr>
          <w:rFonts w:ascii="Arial" w:hAnsi="Arial" w:cs="Arial"/>
          <w:sz w:val="24"/>
          <w:szCs w:val="24"/>
        </w:rPr>
      </w:pPr>
      <w:r>
        <w:rPr>
          <w:rFonts w:ascii="Arial" w:hAnsi="Arial" w:cs="Arial"/>
          <w:sz w:val="24"/>
          <w:szCs w:val="24"/>
        </w:rPr>
        <w:t xml:space="preserve">A la différence des agents de vente, le négociant achète le coton pour son propre compte pour ensuite le revendre, ce qui réduit le nombre de transactions, allège le poids de la spéculation et les ventes s’effectuent par des quantités importantes. La faiblesse de la production en RCA ne permet pas l’adoption de ce système de vente. Par ailleurs, ce système présente des inconvenants liés au fait qu’il est basé sur la spéculation et consiste à acheter lorsque le marché est excédentaire et revendre quand le marché est déficitaire. En matière de transparence, il existe une asymétrie informationnelle que les négociants peuvent exploiter utilement en leur faveur. </w:t>
      </w:r>
    </w:p>
    <w:p w14:paraId="6E3B419A" w14:textId="77777777" w:rsidR="008862C7" w:rsidRDefault="008862C7" w:rsidP="008862C7">
      <w:pPr>
        <w:pStyle w:val="Textebrut"/>
        <w:spacing w:line="360" w:lineRule="auto"/>
        <w:jc w:val="both"/>
        <w:rPr>
          <w:rFonts w:ascii="Arial" w:hAnsi="Arial" w:cs="Arial"/>
          <w:sz w:val="24"/>
          <w:szCs w:val="24"/>
        </w:rPr>
      </w:pPr>
    </w:p>
    <w:p w14:paraId="7250A12F" w14:textId="77777777" w:rsidR="008862C7" w:rsidRDefault="008862C7" w:rsidP="008862C7">
      <w:pPr>
        <w:pStyle w:val="Textebrut"/>
        <w:numPr>
          <w:ilvl w:val="0"/>
          <w:numId w:val="43"/>
        </w:numPr>
        <w:spacing w:line="360" w:lineRule="auto"/>
        <w:jc w:val="both"/>
        <w:outlineLvl w:val="7"/>
        <w:rPr>
          <w:rFonts w:ascii="Arial" w:hAnsi="Arial" w:cs="Arial"/>
          <w:b/>
          <w:sz w:val="24"/>
          <w:szCs w:val="28"/>
        </w:rPr>
      </w:pPr>
      <w:bookmarkStart w:id="239" w:name="_Toc395107668"/>
      <w:bookmarkStart w:id="240" w:name="_Toc321251046"/>
      <w:r>
        <w:rPr>
          <w:rFonts w:ascii="Arial" w:hAnsi="Arial" w:cs="Arial"/>
          <w:b/>
          <w:sz w:val="24"/>
          <w:szCs w:val="28"/>
        </w:rPr>
        <w:lastRenderedPageBreak/>
        <w:t>Evacuation du coton fibre centrafricain</w:t>
      </w:r>
      <w:bookmarkEnd w:id="239"/>
      <w:bookmarkEnd w:id="240"/>
    </w:p>
    <w:p w14:paraId="1A448C2D" w14:textId="77777777" w:rsidR="008862C7" w:rsidRDefault="008862C7" w:rsidP="008862C7">
      <w:pPr>
        <w:pStyle w:val="Textebrut"/>
        <w:numPr>
          <w:ilvl w:val="0"/>
          <w:numId w:val="45"/>
        </w:numPr>
        <w:spacing w:line="360" w:lineRule="auto"/>
        <w:ind w:left="567"/>
        <w:jc w:val="both"/>
        <w:outlineLvl w:val="8"/>
        <w:rPr>
          <w:rFonts w:ascii="Arial" w:hAnsi="Arial" w:cs="Arial"/>
          <w:b/>
          <w:sz w:val="24"/>
          <w:szCs w:val="28"/>
        </w:rPr>
      </w:pPr>
      <w:bookmarkStart w:id="241" w:name="_Toc395107669"/>
      <w:bookmarkStart w:id="242" w:name="_Toc321251047"/>
      <w:r>
        <w:rPr>
          <w:rFonts w:ascii="Arial" w:hAnsi="Arial" w:cs="Arial"/>
          <w:b/>
          <w:sz w:val="24"/>
          <w:szCs w:val="28"/>
        </w:rPr>
        <w:t>Voies d’évacuation</w:t>
      </w:r>
      <w:bookmarkEnd w:id="241"/>
      <w:bookmarkEnd w:id="242"/>
    </w:p>
    <w:p w14:paraId="52C256D0"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La RCA ne dispose que de deux passages pour l’acheminement de ces produits exportables. La voie fluviale constituée des fleuves Oubangui et Congo jusqu'à Brazzaville, et la route Bangui-Douala longue de 1.400 km dont près de 400 km ne sont pas encore bitumés. Depuis la compagne 2000/2001, le coton centrafricain est entièrement exporté par voie routière. Amener un chargement de coton de Bossangoa ou de Bambari à Douala peut prendre 5 à 7 jours de route et parfois même plus à cause des intempéries et du mauvais état des routes auxquelles s’ajoutent les tracasseries routières.</w:t>
      </w:r>
    </w:p>
    <w:p w14:paraId="048959CF" w14:textId="77777777" w:rsidR="008862C7" w:rsidRDefault="008862C7" w:rsidP="008862C7">
      <w:pPr>
        <w:pStyle w:val="Textebrut"/>
        <w:numPr>
          <w:ilvl w:val="0"/>
          <w:numId w:val="45"/>
        </w:numPr>
        <w:spacing w:before="120" w:line="360" w:lineRule="auto"/>
        <w:ind w:left="567"/>
        <w:jc w:val="both"/>
        <w:outlineLvl w:val="8"/>
        <w:rPr>
          <w:rFonts w:ascii="Arial" w:hAnsi="Arial" w:cs="Arial"/>
          <w:b/>
          <w:sz w:val="24"/>
          <w:szCs w:val="24"/>
        </w:rPr>
      </w:pPr>
      <w:bookmarkStart w:id="243" w:name="_Toc395107670"/>
      <w:bookmarkStart w:id="244" w:name="_Toc321251048"/>
      <w:r>
        <w:rPr>
          <w:rFonts w:ascii="Arial" w:hAnsi="Arial" w:cs="Arial"/>
          <w:b/>
          <w:sz w:val="24"/>
          <w:szCs w:val="24"/>
        </w:rPr>
        <w:t>Transport</w:t>
      </w:r>
      <w:bookmarkEnd w:id="243"/>
      <w:bookmarkEnd w:id="244"/>
      <w:r>
        <w:rPr>
          <w:rFonts w:ascii="Arial" w:hAnsi="Arial" w:cs="Arial"/>
          <w:b/>
          <w:sz w:val="24"/>
          <w:szCs w:val="24"/>
        </w:rPr>
        <w:t> </w:t>
      </w:r>
    </w:p>
    <w:p w14:paraId="2447116C" w14:textId="77777777" w:rsidR="008862C7" w:rsidRDefault="008862C7" w:rsidP="008862C7">
      <w:pPr>
        <w:pStyle w:val="Textebrut"/>
        <w:spacing w:before="120" w:line="360" w:lineRule="auto"/>
        <w:jc w:val="both"/>
        <w:rPr>
          <w:rFonts w:ascii="Arial" w:hAnsi="Arial" w:cs="Arial"/>
          <w:sz w:val="24"/>
          <w:szCs w:val="24"/>
        </w:rPr>
      </w:pPr>
      <w:bookmarkStart w:id="245" w:name="_Toc395019437"/>
      <w:bookmarkStart w:id="246" w:name="_Toc395015509"/>
      <w:bookmarkStart w:id="247" w:name="_Toc395013174"/>
      <w:bookmarkStart w:id="248" w:name="_Toc394951660"/>
      <w:bookmarkStart w:id="249" w:name="_Toc321251050"/>
      <w:r>
        <w:rPr>
          <w:rFonts w:ascii="Arial" w:hAnsi="Arial" w:cs="Arial"/>
          <w:sz w:val="24"/>
          <w:szCs w:val="24"/>
        </w:rPr>
        <w:t>Le transport du coton fibre est assuré par des camions privés. La société cotonnière, ne disposant plus de moyen de transport adapté, fait appel à des transporteurs privés centrafricains et camerounais pour le transit du coton fibre vers le port de Douala.</w:t>
      </w:r>
      <w:bookmarkEnd w:id="245"/>
      <w:bookmarkEnd w:id="246"/>
      <w:bookmarkEnd w:id="247"/>
      <w:bookmarkEnd w:id="248"/>
      <w:bookmarkEnd w:id="249"/>
      <w:r>
        <w:rPr>
          <w:rFonts w:ascii="Arial" w:hAnsi="Arial" w:cs="Arial"/>
          <w:sz w:val="24"/>
          <w:szCs w:val="24"/>
        </w:rPr>
        <w:t xml:space="preserve"> </w:t>
      </w:r>
    </w:p>
    <w:p w14:paraId="5574310D"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L’enlèvement du coton fibre dans les usines relève de la compétence du service commercial et du classement de la Société cotonnière. Ce service planifie les enlèvements en fonction du taux de réalisation du calendrier d’égrenage de chaque usine. Afin d’éviter que les transporteurs ne s’intéressent qu’a l’une des usines, un quota par usine est affecté à chacun d’eux. Pour le respect de ces quotas et le suivi des exportations, le service commercial et du classement délivre aux transporteurs un certain nombre de documents tels que le bon d’enlèvement, la liste de colisage notifiant le nombre de balles par qualité et le poids respectif.</w:t>
      </w:r>
      <w:bookmarkStart w:id="250" w:name="_Toc321251052"/>
    </w:p>
    <w:p w14:paraId="658AB13D" w14:textId="77777777" w:rsidR="008862C7" w:rsidRDefault="008862C7" w:rsidP="008862C7">
      <w:pPr>
        <w:pStyle w:val="Textebrut"/>
        <w:numPr>
          <w:ilvl w:val="0"/>
          <w:numId w:val="45"/>
        </w:numPr>
        <w:spacing w:line="360" w:lineRule="auto"/>
        <w:ind w:left="567" w:hanging="218"/>
        <w:jc w:val="both"/>
        <w:outlineLvl w:val="8"/>
        <w:rPr>
          <w:rFonts w:ascii="Arial" w:hAnsi="Arial" w:cs="Arial"/>
          <w:sz w:val="22"/>
          <w:szCs w:val="24"/>
        </w:rPr>
      </w:pPr>
      <w:bookmarkStart w:id="251" w:name="_Toc395107671"/>
      <w:r>
        <w:rPr>
          <w:rFonts w:ascii="Arial" w:hAnsi="Arial" w:cs="Arial"/>
          <w:b/>
          <w:sz w:val="24"/>
          <w:szCs w:val="28"/>
        </w:rPr>
        <w:t>Transit de la fibre</w:t>
      </w:r>
      <w:bookmarkEnd w:id="250"/>
      <w:bookmarkEnd w:id="251"/>
    </w:p>
    <w:p w14:paraId="14BE521F"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Depuis la faillite de l’UCATEX, seule consommatrice locale du coton fibre centrafricain, la totalité de la production cotonnière centrafricaine est entièrement destinée à l’exportation et vendue au prix FOB au port de Douala. Pour les opérations de transit, deux transitaires y sont impliqués. Au niveau local, la Société de Transport et de Transit International (STTI) s’occupe de la totalité des dossiers relatifs à l’exportation (droits de sortie, formulaires à l’exportation) avec les services de la douane.</w:t>
      </w:r>
    </w:p>
    <w:p w14:paraId="64612462" w14:textId="77777777" w:rsidR="005C0325"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A Douala, la Saga réceptionne le coton, le stock et instruit les embarquements en fonction du planning établi par le service commercial et du classement et la COPACO. Une fois le coton reçu, la COPACO envoie au service commercial et du classement une copie du bordereau d’expédition visée et annotée. L’originale est adressée à la direction de la société cotonnière.</w:t>
      </w:r>
    </w:p>
    <w:p w14:paraId="7DBDBB7C"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 </w:t>
      </w:r>
    </w:p>
    <w:p w14:paraId="72CE75DC" w14:textId="77777777" w:rsidR="008862C7" w:rsidRDefault="008862C7" w:rsidP="008862C7">
      <w:pPr>
        <w:pStyle w:val="Paragraphedeliste"/>
        <w:numPr>
          <w:ilvl w:val="0"/>
          <w:numId w:val="43"/>
        </w:numPr>
        <w:spacing w:after="0" w:line="360" w:lineRule="auto"/>
        <w:jc w:val="both"/>
        <w:outlineLvl w:val="7"/>
        <w:rPr>
          <w:rFonts w:ascii="Arial" w:hAnsi="Arial" w:cs="Arial"/>
          <w:b/>
          <w:sz w:val="24"/>
          <w:szCs w:val="28"/>
        </w:rPr>
      </w:pPr>
      <w:bookmarkStart w:id="252" w:name="_Toc321251058"/>
      <w:bookmarkStart w:id="253" w:name="_Toc395107672"/>
      <w:bookmarkStart w:id="254" w:name="_Toc321251053"/>
      <w:r>
        <w:rPr>
          <w:rFonts w:ascii="Arial" w:hAnsi="Arial" w:cs="Arial"/>
          <w:b/>
          <w:sz w:val="24"/>
          <w:szCs w:val="28"/>
        </w:rPr>
        <w:lastRenderedPageBreak/>
        <w:t>Exportations</w:t>
      </w:r>
      <w:bookmarkEnd w:id="252"/>
      <w:r>
        <w:rPr>
          <w:rFonts w:ascii="Arial" w:hAnsi="Arial" w:cs="Arial"/>
          <w:b/>
          <w:sz w:val="24"/>
          <w:szCs w:val="28"/>
        </w:rPr>
        <w:t xml:space="preserve"> du coton fibre centrafricain</w:t>
      </w:r>
      <w:bookmarkEnd w:id="253"/>
      <w:bookmarkEnd w:id="254"/>
    </w:p>
    <w:p w14:paraId="758C75D3" w14:textId="77777777" w:rsidR="008862C7" w:rsidRDefault="008862C7" w:rsidP="008862C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la différence de certains produits de base comme le café et le cacao qui sont essentiellement des produits tropicaux œuvre des pays en voie de développement, le coton est un produit de base cultivé tant par les pays développés que par les pays en voie de développement. Toutefois, avec la crise que traverse la filière, les données récentes montrent une sensible augmentation de la part de marché du coton africain alors que les grands exportateurs traditionnels (Etats-Unis, Ouzbékistan, Australie) voient leur exportation stagner ou même décliner. Sur la même période, la part de marché du coton africain de la zone FCA a supplanté l’Ouzbékistan en 2002 et a pris la place de 2</w:t>
      </w:r>
      <w:r>
        <w:rPr>
          <w:rFonts w:ascii="Arial" w:hAnsi="Arial" w:cs="Arial"/>
          <w:sz w:val="24"/>
          <w:szCs w:val="24"/>
          <w:vertAlign w:val="superscript"/>
        </w:rPr>
        <w:t>ième</w:t>
      </w:r>
      <w:r>
        <w:rPr>
          <w:rFonts w:ascii="Arial" w:hAnsi="Arial" w:cs="Arial"/>
          <w:sz w:val="24"/>
          <w:szCs w:val="24"/>
        </w:rPr>
        <w:t xml:space="preserve"> exportateur mondial, avec une part de marché supérieur à 12%. Contrairement à cette tendance africaine, la part des exportations cotonnières de la RCA ces dernières années ne cesse de décroître comme en témoigne le tableau ci-après.</w:t>
      </w:r>
    </w:p>
    <w:p w14:paraId="28911810"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 xml:space="preserve">Tableau 3.13 : </w:t>
      </w:r>
      <w:r>
        <w:rPr>
          <w:rFonts w:ascii="Arial" w:hAnsi="Arial" w:cs="Arial"/>
          <w:sz w:val="24"/>
          <w:szCs w:val="24"/>
        </w:rPr>
        <w:t xml:space="preserve">Evolution des exportations cotonnières et leur part dans les recettes d’exportations de la RCA entre 1995 et 2009.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638"/>
        <w:gridCol w:w="1473"/>
        <w:gridCol w:w="1473"/>
        <w:gridCol w:w="2293"/>
        <w:gridCol w:w="1955"/>
      </w:tblGrid>
      <w:tr w:rsidR="008862C7" w14:paraId="73E2DF85" w14:textId="77777777" w:rsidTr="008862C7">
        <w:trPr>
          <w:trHeight w:val="407"/>
        </w:trPr>
        <w:tc>
          <w:tcPr>
            <w:tcW w:w="645" w:type="pct"/>
            <w:tcBorders>
              <w:top w:val="single" w:sz="4" w:space="0" w:color="auto"/>
              <w:left w:val="single" w:sz="4" w:space="0" w:color="auto"/>
              <w:bottom w:val="single" w:sz="4" w:space="0" w:color="auto"/>
              <w:right w:val="single" w:sz="4" w:space="0" w:color="auto"/>
            </w:tcBorders>
            <w:vAlign w:val="center"/>
            <w:hideMark/>
          </w:tcPr>
          <w:p w14:paraId="6154F3C1" w14:textId="77777777" w:rsidR="008862C7" w:rsidRDefault="008862C7">
            <w:pPr>
              <w:keepNext/>
              <w:keepLines/>
              <w:tabs>
                <w:tab w:val="left" w:pos="708"/>
              </w:tabs>
              <w:suppressAutoHyphens/>
              <w:spacing w:before="120" w:after="0" w:line="240" w:lineRule="auto"/>
              <w:jc w:val="center"/>
              <w:outlineLvl w:val="1"/>
              <w:rPr>
                <w:rFonts w:ascii="Arial" w:eastAsia="Times New Roman" w:hAnsi="Arial" w:cs="Arial"/>
                <w:sz w:val="20"/>
                <w:szCs w:val="20"/>
              </w:rPr>
            </w:pPr>
            <w:r>
              <w:rPr>
                <w:rFonts w:ascii="Arial" w:hAnsi="Arial" w:cs="Arial"/>
                <w:sz w:val="20"/>
                <w:szCs w:val="20"/>
              </w:rPr>
              <w:t>Année</w:t>
            </w:r>
          </w:p>
        </w:tc>
        <w:tc>
          <w:tcPr>
            <w:tcW w:w="807" w:type="pct"/>
            <w:tcBorders>
              <w:top w:val="single" w:sz="4" w:space="0" w:color="auto"/>
              <w:left w:val="single" w:sz="4" w:space="0" w:color="auto"/>
              <w:bottom w:val="single" w:sz="4" w:space="0" w:color="auto"/>
              <w:right w:val="single" w:sz="4" w:space="0" w:color="auto"/>
            </w:tcBorders>
            <w:vAlign w:val="center"/>
            <w:hideMark/>
          </w:tcPr>
          <w:p w14:paraId="13181A11" w14:textId="77777777" w:rsidR="008862C7" w:rsidRDefault="008862C7">
            <w:pPr>
              <w:keepNext/>
              <w:keepLines/>
              <w:tabs>
                <w:tab w:val="left" w:pos="708"/>
              </w:tabs>
              <w:suppressAutoHyphens/>
              <w:spacing w:before="120" w:after="0" w:line="240" w:lineRule="auto"/>
              <w:jc w:val="center"/>
              <w:outlineLvl w:val="1"/>
              <w:rPr>
                <w:rFonts w:ascii="Arial" w:eastAsia="Times New Roman" w:hAnsi="Arial" w:cs="Arial"/>
                <w:sz w:val="20"/>
                <w:szCs w:val="20"/>
              </w:rPr>
            </w:pPr>
            <w:r>
              <w:rPr>
                <w:rFonts w:ascii="Arial" w:hAnsi="Arial" w:cs="Arial"/>
                <w:sz w:val="20"/>
                <w:szCs w:val="20"/>
              </w:rPr>
              <w:t>Exportation de coton-fibre (en 1000t)</w:t>
            </w:r>
          </w:p>
        </w:tc>
        <w:tc>
          <w:tcPr>
            <w:tcW w:w="726" w:type="pct"/>
            <w:tcBorders>
              <w:top w:val="single" w:sz="4" w:space="0" w:color="auto"/>
              <w:left w:val="single" w:sz="4" w:space="0" w:color="auto"/>
              <w:bottom w:val="single" w:sz="4" w:space="0" w:color="auto"/>
              <w:right w:val="single" w:sz="4" w:space="0" w:color="auto"/>
            </w:tcBorders>
            <w:vAlign w:val="center"/>
            <w:hideMark/>
          </w:tcPr>
          <w:p w14:paraId="1EACC7AF" w14:textId="77777777" w:rsidR="008862C7" w:rsidRDefault="008862C7">
            <w:pPr>
              <w:tabs>
                <w:tab w:val="left" w:pos="708"/>
              </w:tabs>
              <w:spacing w:before="120" w:after="0" w:line="240" w:lineRule="auto"/>
              <w:jc w:val="center"/>
              <w:rPr>
                <w:rFonts w:ascii="Arial" w:eastAsia="Times New Roman" w:hAnsi="Arial" w:cs="Arial"/>
                <w:sz w:val="20"/>
                <w:szCs w:val="20"/>
              </w:rPr>
            </w:pPr>
            <w:commentRangeStart w:id="255"/>
            <w:r>
              <w:rPr>
                <w:rFonts w:ascii="Arial" w:hAnsi="Arial" w:cs="Arial"/>
                <w:sz w:val="20"/>
                <w:szCs w:val="20"/>
              </w:rPr>
              <w:t>Prix unitaire (en FCFA/tonne)</w:t>
            </w:r>
            <w:commentRangeEnd w:id="255"/>
            <w:r>
              <w:rPr>
                <w:rStyle w:val="Marquedecommentaire"/>
                <w:rFonts w:eastAsia="Times New Roman" w:cs="Times New Roman"/>
              </w:rPr>
              <w:commentReference w:id="255"/>
            </w:r>
          </w:p>
        </w:tc>
        <w:tc>
          <w:tcPr>
            <w:tcW w:w="726" w:type="pct"/>
            <w:tcBorders>
              <w:top w:val="single" w:sz="4" w:space="0" w:color="auto"/>
              <w:left w:val="single" w:sz="4" w:space="0" w:color="auto"/>
              <w:bottom w:val="single" w:sz="4" w:space="0" w:color="auto"/>
              <w:right w:val="single" w:sz="4" w:space="0" w:color="auto"/>
            </w:tcBorders>
            <w:vAlign w:val="center"/>
            <w:hideMark/>
          </w:tcPr>
          <w:p w14:paraId="65753F5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Valeur (en milliards de FCFA)</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E0AEFD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Total exportation RCA en milliards de FCFA</w:t>
            </w:r>
          </w:p>
        </w:tc>
        <w:tc>
          <w:tcPr>
            <w:tcW w:w="964" w:type="pct"/>
            <w:tcBorders>
              <w:top w:val="single" w:sz="4" w:space="0" w:color="auto"/>
              <w:left w:val="single" w:sz="4" w:space="0" w:color="auto"/>
              <w:bottom w:val="single" w:sz="4" w:space="0" w:color="auto"/>
              <w:right w:val="single" w:sz="4" w:space="0" w:color="auto"/>
            </w:tcBorders>
            <w:vAlign w:val="center"/>
            <w:hideMark/>
          </w:tcPr>
          <w:p w14:paraId="64A0477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Part du coton dans les exports (%) </w:t>
            </w:r>
          </w:p>
        </w:tc>
      </w:tr>
      <w:tr w:rsidR="008862C7" w14:paraId="195EC2A8"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61A5E71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1995</w:t>
            </w:r>
          </w:p>
        </w:tc>
        <w:tc>
          <w:tcPr>
            <w:tcW w:w="807" w:type="pct"/>
            <w:tcBorders>
              <w:top w:val="single" w:sz="4" w:space="0" w:color="auto"/>
              <w:left w:val="single" w:sz="4" w:space="0" w:color="auto"/>
              <w:bottom w:val="single" w:sz="4" w:space="0" w:color="auto"/>
              <w:right w:val="single" w:sz="4" w:space="0" w:color="auto"/>
            </w:tcBorders>
            <w:vAlign w:val="center"/>
            <w:hideMark/>
          </w:tcPr>
          <w:p w14:paraId="349FBEF7"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11,5</w:t>
            </w:r>
          </w:p>
        </w:tc>
        <w:tc>
          <w:tcPr>
            <w:tcW w:w="726" w:type="pct"/>
            <w:tcBorders>
              <w:top w:val="single" w:sz="4" w:space="0" w:color="auto"/>
              <w:left w:val="single" w:sz="4" w:space="0" w:color="auto"/>
              <w:bottom w:val="single" w:sz="4" w:space="0" w:color="auto"/>
              <w:right w:val="single" w:sz="4" w:space="0" w:color="auto"/>
            </w:tcBorders>
            <w:vAlign w:val="center"/>
            <w:hideMark/>
          </w:tcPr>
          <w:p w14:paraId="6F6DE07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967,3</w:t>
            </w:r>
          </w:p>
        </w:tc>
        <w:tc>
          <w:tcPr>
            <w:tcW w:w="726" w:type="pct"/>
            <w:tcBorders>
              <w:top w:val="single" w:sz="4" w:space="0" w:color="auto"/>
              <w:left w:val="single" w:sz="4" w:space="0" w:color="auto"/>
              <w:bottom w:val="single" w:sz="4" w:space="0" w:color="auto"/>
              <w:right w:val="single" w:sz="4" w:space="0" w:color="auto"/>
            </w:tcBorders>
            <w:vAlign w:val="center"/>
            <w:hideMark/>
          </w:tcPr>
          <w:p w14:paraId="654A4F0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11,1</w:t>
            </w:r>
          </w:p>
        </w:tc>
        <w:tc>
          <w:tcPr>
            <w:tcW w:w="1130" w:type="pct"/>
            <w:tcBorders>
              <w:top w:val="single" w:sz="4" w:space="0" w:color="auto"/>
              <w:left w:val="single" w:sz="4" w:space="0" w:color="auto"/>
              <w:bottom w:val="single" w:sz="4" w:space="0" w:color="auto"/>
              <w:right w:val="single" w:sz="4" w:space="0" w:color="auto"/>
            </w:tcBorders>
            <w:vAlign w:val="center"/>
            <w:hideMark/>
          </w:tcPr>
          <w:p w14:paraId="6EC60F1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92,9</w:t>
            </w:r>
          </w:p>
        </w:tc>
        <w:tc>
          <w:tcPr>
            <w:tcW w:w="964" w:type="pct"/>
            <w:tcBorders>
              <w:top w:val="single" w:sz="4" w:space="0" w:color="auto"/>
              <w:left w:val="single" w:sz="4" w:space="0" w:color="auto"/>
              <w:bottom w:val="single" w:sz="4" w:space="0" w:color="auto"/>
              <w:right w:val="single" w:sz="4" w:space="0" w:color="auto"/>
            </w:tcBorders>
            <w:vAlign w:val="center"/>
            <w:hideMark/>
          </w:tcPr>
          <w:p w14:paraId="3F3CC50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12,04</w:t>
            </w:r>
          </w:p>
        </w:tc>
      </w:tr>
      <w:tr w:rsidR="008862C7" w14:paraId="0FEAF3EC"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635E743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1996</w:t>
            </w:r>
          </w:p>
        </w:tc>
        <w:tc>
          <w:tcPr>
            <w:tcW w:w="807" w:type="pct"/>
            <w:tcBorders>
              <w:top w:val="single" w:sz="4" w:space="0" w:color="auto"/>
              <w:left w:val="single" w:sz="4" w:space="0" w:color="auto"/>
              <w:bottom w:val="single" w:sz="4" w:space="0" w:color="auto"/>
              <w:right w:val="single" w:sz="4" w:space="0" w:color="auto"/>
            </w:tcBorders>
            <w:vAlign w:val="center"/>
            <w:hideMark/>
          </w:tcPr>
          <w:p w14:paraId="399CF28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hideMark/>
          </w:tcPr>
          <w:p w14:paraId="5511777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944</w:t>
            </w:r>
          </w:p>
        </w:tc>
        <w:tc>
          <w:tcPr>
            <w:tcW w:w="726" w:type="pct"/>
            <w:tcBorders>
              <w:top w:val="single" w:sz="4" w:space="0" w:color="auto"/>
              <w:left w:val="single" w:sz="4" w:space="0" w:color="auto"/>
              <w:bottom w:val="single" w:sz="4" w:space="0" w:color="auto"/>
              <w:right w:val="single" w:sz="4" w:space="0" w:color="auto"/>
            </w:tcBorders>
            <w:vAlign w:val="center"/>
            <w:hideMark/>
          </w:tcPr>
          <w:p w14:paraId="1A2005B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13,2</w:t>
            </w:r>
          </w:p>
        </w:tc>
        <w:tc>
          <w:tcPr>
            <w:tcW w:w="1130" w:type="pct"/>
            <w:tcBorders>
              <w:top w:val="single" w:sz="4" w:space="0" w:color="auto"/>
              <w:left w:val="single" w:sz="4" w:space="0" w:color="auto"/>
              <w:bottom w:val="single" w:sz="4" w:space="0" w:color="auto"/>
              <w:right w:val="single" w:sz="4" w:space="0" w:color="auto"/>
            </w:tcBorders>
            <w:vAlign w:val="center"/>
            <w:hideMark/>
          </w:tcPr>
          <w:p w14:paraId="5987106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75,6</w:t>
            </w:r>
          </w:p>
        </w:tc>
        <w:tc>
          <w:tcPr>
            <w:tcW w:w="964" w:type="pct"/>
            <w:tcBorders>
              <w:top w:val="single" w:sz="4" w:space="0" w:color="auto"/>
              <w:left w:val="single" w:sz="4" w:space="0" w:color="auto"/>
              <w:bottom w:val="single" w:sz="4" w:space="0" w:color="auto"/>
              <w:right w:val="single" w:sz="4" w:space="0" w:color="auto"/>
            </w:tcBorders>
            <w:vAlign w:val="center"/>
            <w:hideMark/>
          </w:tcPr>
          <w:p w14:paraId="2D8CDC44"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17,50</w:t>
            </w:r>
          </w:p>
        </w:tc>
      </w:tr>
      <w:tr w:rsidR="008862C7" w14:paraId="6FA6A77F"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439C68B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1997</w:t>
            </w:r>
          </w:p>
        </w:tc>
        <w:tc>
          <w:tcPr>
            <w:tcW w:w="807" w:type="pct"/>
            <w:tcBorders>
              <w:top w:val="single" w:sz="4" w:space="0" w:color="auto"/>
              <w:left w:val="single" w:sz="4" w:space="0" w:color="auto"/>
              <w:bottom w:val="single" w:sz="4" w:space="0" w:color="auto"/>
              <w:right w:val="single" w:sz="4" w:space="0" w:color="auto"/>
            </w:tcBorders>
            <w:vAlign w:val="center"/>
            <w:hideMark/>
          </w:tcPr>
          <w:p w14:paraId="626944D6"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hideMark/>
          </w:tcPr>
          <w:p w14:paraId="7B82AD37"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886,7</w:t>
            </w:r>
          </w:p>
        </w:tc>
        <w:tc>
          <w:tcPr>
            <w:tcW w:w="726" w:type="pct"/>
            <w:tcBorders>
              <w:top w:val="single" w:sz="4" w:space="0" w:color="auto"/>
              <w:left w:val="single" w:sz="4" w:space="0" w:color="auto"/>
              <w:bottom w:val="single" w:sz="4" w:space="0" w:color="auto"/>
              <w:right w:val="single" w:sz="4" w:space="0" w:color="auto"/>
            </w:tcBorders>
            <w:vAlign w:val="center"/>
            <w:hideMark/>
          </w:tcPr>
          <w:p w14:paraId="5F3C114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16</w:t>
            </w:r>
          </w:p>
        </w:tc>
        <w:tc>
          <w:tcPr>
            <w:tcW w:w="1130" w:type="pct"/>
            <w:tcBorders>
              <w:top w:val="single" w:sz="4" w:space="0" w:color="auto"/>
              <w:left w:val="single" w:sz="4" w:space="0" w:color="auto"/>
              <w:bottom w:val="single" w:sz="4" w:space="0" w:color="auto"/>
              <w:right w:val="single" w:sz="4" w:space="0" w:color="auto"/>
            </w:tcBorders>
            <w:vAlign w:val="center"/>
            <w:hideMark/>
          </w:tcPr>
          <w:p w14:paraId="1E6F21F7"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95,2</w:t>
            </w:r>
          </w:p>
        </w:tc>
        <w:tc>
          <w:tcPr>
            <w:tcW w:w="964" w:type="pct"/>
            <w:tcBorders>
              <w:top w:val="single" w:sz="4" w:space="0" w:color="auto"/>
              <w:left w:val="single" w:sz="4" w:space="0" w:color="auto"/>
              <w:bottom w:val="single" w:sz="4" w:space="0" w:color="auto"/>
              <w:right w:val="single" w:sz="4" w:space="0" w:color="auto"/>
            </w:tcBorders>
            <w:vAlign w:val="center"/>
            <w:hideMark/>
          </w:tcPr>
          <w:p w14:paraId="2876C66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16,80</w:t>
            </w:r>
          </w:p>
        </w:tc>
      </w:tr>
      <w:tr w:rsidR="008862C7" w14:paraId="78CAEF0F"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6774AEE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1998</w:t>
            </w:r>
          </w:p>
        </w:tc>
        <w:tc>
          <w:tcPr>
            <w:tcW w:w="807" w:type="pct"/>
            <w:tcBorders>
              <w:top w:val="single" w:sz="4" w:space="0" w:color="auto"/>
              <w:left w:val="single" w:sz="4" w:space="0" w:color="auto"/>
              <w:bottom w:val="single" w:sz="4" w:space="0" w:color="auto"/>
              <w:right w:val="single" w:sz="4" w:space="0" w:color="auto"/>
            </w:tcBorders>
            <w:vAlign w:val="center"/>
            <w:hideMark/>
          </w:tcPr>
          <w:p w14:paraId="026749E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17,4</w:t>
            </w:r>
          </w:p>
        </w:tc>
        <w:tc>
          <w:tcPr>
            <w:tcW w:w="726" w:type="pct"/>
            <w:tcBorders>
              <w:top w:val="single" w:sz="4" w:space="0" w:color="auto"/>
              <w:left w:val="single" w:sz="4" w:space="0" w:color="auto"/>
              <w:bottom w:val="single" w:sz="4" w:space="0" w:color="auto"/>
              <w:right w:val="single" w:sz="4" w:space="0" w:color="auto"/>
            </w:tcBorders>
            <w:vAlign w:val="center"/>
            <w:hideMark/>
          </w:tcPr>
          <w:p w14:paraId="4F8B2FA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745,9</w:t>
            </w:r>
          </w:p>
        </w:tc>
        <w:tc>
          <w:tcPr>
            <w:tcW w:w="726" w:type="pct"/>
            <w:tcBorders>
              <w:top w:val="single" w:sz="4" w:space="0" w:color="auto"/>
              <w:left w:val="single" w:sz="4" w:space="0" w:color="auto"/>
              <w:bottom w:val="single" w:sz="4" w:space="0" w:color="auto"/>
              <w:right w:val="single" w:sz="4" w:space="0" w:color="auto"/>
            </w:tcBorders>
            <w:vAlign w:val="center"/>
            <w:hideMark/>
          </w:tcPr>
          <w:p w14:paraId="29AF3857"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13</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2112DF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89,5</w:t>
            </w:r>
          </w:p>
        </w:tc>
        <w:tc>
          <w:tcPr>
            <w:tcW w:w="964" w:type="pct"/>
            <w:tcBorders>
              <w:top w:val="single" w:sz="4" w:space="0" w:color="auto"/>
              <w:left w:val="single" w:sz="4" w:space="0" w:color="auto"/>
              <w:bottom w:val="single" w:sz="4" w:space="0" w:color="auto"/>
              <w:right w:val="single" w:sz="4" w:space="0" w:color="auto"/>
            </w:tcBorders>
            <w:vAlign w:val="center"/>
            <w:hideMark/>
          </w:tcPr>
          <w:p w14:paraId="281CED5E"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14,40</w:t>
            </w:r>
          </w:p>
        </w:tc>
      </w:tr>
      <w:tr w:rsidR="008862C7" w14:paraId="7AAE45C3"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1C42105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1999</w:t>
            </w:r>
          </w:p>
        </w:tc>
        <w:tc>
          <w:tcPr>
            <w:tcW w:w="807" w:type="pct"/>
            <w:tcBorders>
              <w:top w:val="single" w:sz="4" w:space="0" w:color="auto"/>
              <w:left w:val="single" w:sz="4" w:space="0" w:color="auto"/>
              <w:bottom w:val="single" w:sz="4" w:space="0" w:color="auto"/>
              <w:right w:val="single" w:sz="4" w:space="0" w:color="auto"/>
            </w:tcBorders>
            <w:vAlign w:val="center"/>
            <w:hideMark/>
          </w:tcPr>
          <w:p w14:paraId="2D79465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13,5</w:t>
            </w:r>
          </w:p>
        </w:tc>
        <w:tc>
          <w:tcPr>
            <w:tcW w:w="726" w:type="pct"/>
            <w:tcBorders>
              <w:top w:val="single" w:sz="4" w:space="0" w:color="auto"/>
              <w:left w:val="single" w:sz="4" w:space="0" w:color="auto"/>
              <w:bottom w:val="single" w:sz="4" w:space="0" w:color="auto"/>
              <w:right w:val="single" w:sz="4" w:space="0" w:color="auto"/>
            </w:tcBorders>
            <w:vAlign w:val="center"/>
            <w:hideMark/>
          </w:tcPr>
          <w:p w14:paraId="208CAA6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741,5</w:t>
            </w:r>
          </w:p>
        </w:tc>
        <w:tc>
          <w:tcPr>
            <w:tcW w:w="726" w:type="pct"/>
            <w:tcBorders>
              <w:top w:val="single" w:sz="4" w:space="0" w:color="auto"/>
              <w:left w:val="single" w:sz="4" w:space="0" w:color="auto"/>
              <w:bottom w:val="single" w:sz="4" w:space="0" w:color="auto"/>
              <w:right w:val="single" w:sz="4" w:space="0" w:color="auto"/>
            </w:tcBorders>
            <w:vAlign w:val="center"/>
            <w:hideMark/>
          </w:tcPr>
          <w:p w14:paraId="4F715A9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10</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AACA59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90,4</w:t>
            </w:r>
          </w:p>
        </w:tc>
        <w:tc>
          <w:tcPr>
            <w:tcW w:w="964" w:type="pct"/>
            <w:tcBorders>
              <w:top w:val="single" w:sz="4" w:space="0" w:color="auto"/>
              <w:left w:val="single" w:sz="4" w:space="0" w:color="auto"/>
              <w:bottom w:val="single" w:sz="4" w:space="0" w:color="auto"/>
              <w:right w:val="single" w:sz="4" w:space="0" w:color="auto"/>
            </w:tcBorders>
            <w:vAlign w:val="center"/>
            <w:hideMark/>
          </w:tcPr>
          <w:p w14:paraId="5C59C38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11,06</w:t>
            </w:r>
          </w:p>
        </w:tc>
      </w:tr>
      <w:tr w:rsidR="008862C7" w14:paraId="45B9FD55"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0AB74D7E"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352493C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11,2</w:t>
            </w:r>
          </w:p>
        </w:tc>
        <w:tc>
          <w:tcPr>
            <w:tcW w:w="726" w:type="pct"/>
            <w:tcBorders>
              <w:top w:val="single" w:sz="4" w:space="0" w:color="auto"/>
              <w:left w:val="single" w:sz="4" w:space="0" w:color="auto"/>
              <w:bottom w:val="single" w:sz="4" w:space="0" w:color="auto"/>
              <w:right w:val="single" w:sz="4" w:space="0" w:color="auto"/>
            </w:tcBorders>
            <w:vAlign w:val="center"/>
            <w:hideMark/>
          </w:tcPr>
          <w:p w14:paraId="5746B55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656,4</w:t>
            </w:r>
          </w:p>
        </w:tc>
        <w:tc>
          <w:tcPr>
            <w:tcW w:w="726" w:type="pct"/>
            <w:tcBorders>
              <w:top w:val="single" w:sz="4" w:space="0" w:color="auto"/>
              <w:left w:val="single" w:sz="4" w:space="0" w:color="auto"/>
              <w:bottom w:val="single" w:sz="4" w:space="0" w:color="auto"/>
              <w:right w:val="single" w:sz="4" w:space="0" w:color="auto"/>
            </w:tcBorders>
            <w:vAlign w:val="center"/>
            <w:hideMark/>
          </w:tcPr>
          <w:p w14:paraId="4EA81908"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7,4</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1D531D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114,5</w:t>
            </w:r>
          </w:p>
        </w:tc>
        <w:tc>
          <w:tcPr>
            <w:tcW w:w="964" w:type="pct"/>
            <w:tcBorders>
              <w:top w:val="single" w:sz="4" w:space="0" w:color="auto"/>
              <w:left w:val="single" w:sz="4" w:space="0" w:color="auto"/>
              <w:bottom w:val="single" w:sz="4" w:space="0" w:color="auto"/>
              <w:right w:val="single" w:sz="4" w:space="0" w:color="auto"/>
            </w:tcBorders>
            <w:vAlign w:val="center"/>
            <w:hideMark/>
          </w:tcPr>
          <w:p w14:paraId="0AE6724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7,10</w:t>
            </w:r>
          </w:p>
        </w:tc>
      </w:tr>
      <w:tr w:rsidR="008862C7" w14:paraId="2646F127"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0B3877EE"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2001</w:t>
            </w:r>
          </w:p>
        </w:tc>
        <w:tc>
          <w:tcPr>
            <w:tcW w:w="807" w:type="pct"/>
            <w:tcBorders>
              <w:top w:val="single" w:sz="4" w:space="0" w:color="auto"/>
              <w:left w:val="single" w:sz="4" w:space="0" w:color="auto"/>
              <w:bottom w:val="single" w:sz="4" w:space="0" w:color="auto"/>
              <w:right w:val="single" w:sz="4" w:space="0" w:color="auto"/>
            </w:tcBorders>
            <w:vAlign w:val="center"/>
            <w:hideMark/>
          </w:tcPr>
          <w:p w14:paraId="105D94F8"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10,0</w:t>
            </w:r>
          </w:p>
        </w:tc>
        <w:tc>
          <w:tcPr>
            <w:tcW w:w="726" w:type="pct"/>
            <w:tcBorders>
              <w:top w:val="single" w:sz="4" w:space="0" w:color="auto"/>
              <w:left w:val="single" w:sz="4" w:space="0" w:color="auto"/>
              <w:bottom w:val="single" w:sz="4" w:space="0" w:color="auto"/>
              <w:right w:val="single" w:sz="4" w:space="0" w:color="auto"/>
            </w:tcBorders>
            <w:vAlign w:val="center"/>
            <w:hideMark/>
          </w:tcPr>
          <w:p w14:paraId="7128A7B6"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746,6</w:t>
            </w:r>
          </w:p>
        </w:tc>
        <w:tc>
          <w:tcPr>
            <w:tcW w:w="726" w:type="pct"/>
            <w:tcBorders>
              <w:top w:val="single" w:sz="4" w:space="0" w:color="auto"/>
              <w:left w:val="single" w:sz="4" w:space="0" w:color="auto"/>
              <w:bottom w:val="single" w:sz="4" w:space="0" w:color="auto"/>
              <w:right w:val="single" w:sz="4" w:space="0" w:color="auto"/>
            </w:tcBorders>
            <w:vAlign w:val="center"/>
            <w:hideMark/>
          </w:tcPr>
          <w:p w14:paraId="3FB6E51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7,4</w:t>
            </w:r>
          </w:p>
        </w:tc>
        <w:tc>
          <w:tcPr>
            <w:tcW w:w="1130" w:type="pct"/>
            <w:tcBorders>
              <w:top w:val="single" w:sz="4" w:space="0" w:color="auto"/>
              <w:left w:val="single" w:sz="4" w:space="0" w:color="auto"/>
              <w:bottom w:val="single" w:sz="4" w:space="0" w:color="auto"/>
              <w:right w:val="single" w:sz="4" w:space="0" w:color="auto"/>
            </w:tcBorders>
            <w:vAlign w:val="center"/>
            <w:hideMark/>
          </w:tcPr>
          <w:p w14:paraId="66801D8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101,7</w:t>
            </w:r>
          </w:p>
        </w:tc>
        <w:tc>
          <w:tcPr>
            <w:tcW w:w="964" w:type="pct"/>
            <w:tcBorders>
              <w:top w:val="single" w:sz="4" w:space="0" w:color="auto"/>
              <w:left w:val="single" w:sz="4" w:space="0" w:color="auto"/>
              <w:bottom w:val="single" w:sz="4" w:space="0" w:color="auto"/>
              <w:right w:val="single" w:sz="4" w:space="0" w:color="auto"/>
            </w:tcBorders>
            <w:vAlign w:val="center"/>
            <w:hideMark/>
          </w:tcPr>
          <w:p w14:paraId="5BFA2414"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6,25</w:t>
            </w:r>
          </w:p>
        </w:tc>
      </w:tr>
      <w:tr w:rsidR="008862C7" w14:paraId="1D540FE0"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0A9E2F8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2002</w:t>
            </w:r>
          </w:p>
        </w:tc>
        <w:tc>
          <w:tcPr>
            <w:tcW w:w="807" w:type="pct"/>
            <w:tcBorders>
              <w:top w:val="single" w:sz="4" w:space="0" w:color="auto"/>
              <w:left w:val="single" w:sz="4" w:space="0" w:color="auto"/>
              <w:bottom w:val="single" w:sz="4" w:space="0" w:color="auto"/>
              <w:right w:val="single" w:sz="4" w:space="0" w:color="auto"/>
            </w:tcBorders>
            <w:vAlign w:val="center"/>
            <w:hideMark/>
          </w:tcPr>
          <w:p w14:paraId="7190FC2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12,2</w:t>
            </w:r>
          </w:p>
        </w:tc>
        <w:tc>
          <w:tcPr>
            <w:tcW w:w="726" w:type="pct"/>
            <w:tcBorders>
              <w:top w:val="single" w:sz="4" w:space="0" w:color="auto"/>
              <w:left w:val="single" w:sz="4" w:space="0" w:color="auto"/>
              <w:bottom w:val="single" w:sz="4" w:space="0" w:color="auto"/>
              <w:right w:val="single" w:sz="4" w:space="0" w:color="auto"/>
            </w:tcBorders>
            <w:vAlign w:val="center"/>
            <w:hideMark/>
          </w:tcPr>
          <w:p w14:paraId="6226E01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520,7</w:t>
            </w:r>
          </w:p>
        </w:tc>
        <w:tc>
          <w:tcPr>
            <w:tcW w:w="726" w:type="pct"/>
            <w:tcBorders>
              <w:top w:val="single" w:sz="4" w:space="0" w:color="auto"/>
              <w:left w:val="single" w:sz="4" w:space="0" w:color="auto"/>
              <w:bottom w:val="single" w:sz="4" w:space="0" w:color="auto"/>
              <w:right w:val="single" w:sz="4" w:space="0" w:color="auto"/>
            </w:tcBorders>
            <w:vAlign w:val="center"/>
            <w:hideMark/>
          </w:tcPr>
          <w:p w14:paraId="086F2CD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6,4</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C1727B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104,6</w:t>
            </w:r>
          </w:p>
        </w:tc>
        <w:tc>
          <w:tcPr>
            <w:tcW w:w="964" w:type="pct"/>
            <w:tcBorders>
              <w:top w:val="single" w:sz="4" w:space="0" w:color="auto"/>
              <w:left w:val="single" w:sz="4" w:space="0" w:color="auto"/>
              <w:bottom w:val="single" w:sz="4" w:space="0" w:color="auto"/>
              <w:right w:val="single" w:sz="4" w:space="0" w:color="auto"/>
            </w:tcBorders>
            <w:vAlign w:val="center"/>
            <w:hideMark/>
          </w:tcPr>
          <w:p w14:paraId="0F5A7C0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0,80</w:t>
            </w:r>
          </w:p>
        </w:tc>
      </w:tr>
      <w:tr w:rsidR="008862C7" w14:paraId="7D9952E6"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3CF1D23A"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2003</w:t>
            </w:r>
          </w:p>
        </w:tc>
        <w:tc>
          <w:tcPr>
            <w:tcW w:w="807" w:type="pct"/>
            <w:tcBorders>
              <w:top w:val="single" w:sz="4" w:space="0" w:color="auto"/>
              <w:left w:val="single" w:sz="4" w:space="0" w:color="auto"/>
              <w:bottom w:val="single" w:sz="4" w:space="0" w:color="auto"/>
              <w:right w:val="single" w:sz="4" w:space="0" w:color="auto"/>
            </w:tcBorders>
            <w:vAlign w:val="center"/>
            <w:hideMark/>
          </w:tcPr>
          <w:p w14:paraId="241ACA5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0,9</w:t>
            </w:r>
          </w:p>
        </w:tc>
        <w:tc>
          <w:tcPr>
            <w:tcW w:w="726" w:type="pct"/>
            <w:tcBorders>
              <w:top w:val="single" w:sz="4" w:space="0" w:color="auto"/>
              <w:left w:val="single" w:sz="4" w:space="0" w:color="auto"/>
              <w:bottom w:val="single" w:sz="4" w:space="0" w:color="auto"/>
              <w:right w:val="single" w:sz="4" w:space="0" w:color="auto"/>
            </w:tcBorders>
            <w:vAlign w:val="center"/>
            <w:hideMark/>
          </w:tcPr>
          <w:p w14:paraId="32D1728D"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622,7</w:t>
            </w:r>
          </w:p>
        </w:tc>
        <w:tc>
          <w:tcPr>
            <w:tcW w:w="726" w:type="pct"/>
            <w:tcBorders>
              <w:top w:val="single" w:sz="4" w:space="0" w:color="auto"/>
              <w:left w:val="single" w:sz="4" w:space="0" w:color="auto"/>
              <w:bottom w:val="single" w:sz="4" w:space="0" w:color="auto"/>
              <w:right w:val="single" w:sz="4" w:space="0" w:color="auto"/>
            </w:tcBorders>
            <w:vAlign w:val="center"/>
            <w:hideMark/>
          </w:tcPr>
          <w:p w14:paraId="28246A3C"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0,6</w:t>
            </w:r>
          </w:p>
        </w:tc>
        <w:tc>
          <w:tcPr>
            <w:tcW w:w="1130" w:type="pct"/>
            <w:tcBorders>
              <w:top w:val="single" w:sz="4" w:space="0" w:color="auto"/>
              <w:left w:val="single" w:sz="4" w:space="0" w:color="auto"/>
              <w:bottom w:val="single" w:sz="4" w:space="0" w:color="auto"/>
              <w:right w:val="single" w:sz="4" w:space="0" w:color="auto"/>
            </w:tcBorders>
            <w:vAlign w:val="center"/>
            <w:hideMark/>
          </w:tcPr>
          <w:p w14:paraId="180C3F9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70,5</w:t>
            </w:r>
          </w:p>
        </w:tc>
        <w:tc>
          <w:tcPr>
            <w:tcW w:w="964" w:type="pct"/>
            <w:tcBorders>
              <w:top w:val="single" w:sz="4" w:space="0" w:color="auto"/>
              <w:left w:val="single" w:sz="4" w:space="0" w:color="auto"/>
              <w:bottom w:val="single" w:sz="4" w:space="0" w:color="auto"/>
              <w:right w:val="single" w:sz="4" w:space="0" w:color="auto"/>
            </w:tcBorders>
            <w:vAlign w:val="center"/>
            <w:hideMark/>
          </w:tcPr>
          <w:p w14:paraId="28EF40E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2,70</w:t>
            </w:r>
          </w:p>
        </w:tc>
      </w:tr>
      <w:tr w:rsidR="008862C7" w14:paraId="6876C331"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7E0E4D38"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2004</w:t>
            </w:r>
          </w:p>
        </w:tc>
        <w:tc>
          <w:tcPr>
            <w:tcW w:w="807" w:type="pct"/>
            <w:tcBorders>
              <w:top w:val="single" w:sz="4" w:space="0" w:color="auto"/>
              <w:left w:val="single" w:sz="4" w:space="0" w:color="auto"/>
              <w:bottom w:val="single" w:sz="4" w:space="0" w:color="auto"/>
              <w:right w:val="single" w:sz="4" w:space="0" w:color="auto"/>
            </w:tcBorders>
            <w:vAlign w:val="center"/>
            <w:hideMark/>
          </w:tcPr>
          <w:p w14:paraId="05B54D5E"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2,9</w:t>
            </w:r>
          </w:p>
        </w:tc>
        <w:tc>
          <w:tcPr>
            <w:tcW w:w="726" w:type="pct"/>
            <w:tcBorders>
              <w:top w:val="single" w:sz="4" w:space="0" w:color="auto"/>
              <w:left w:val="single" w:sz="4" w:space="0" w:color="auto"/>
              <w:bottom w:val="single" w:sz="4" w:space="0" w:color="auto"/>
              <w:right w:val="single" w:sz="4" w:space="0" w:color="auto"/>
            </w:tcBorders>
            <w:vAlign w:val="center"/>
            <w:hideMark/>
          </w:tcPr>
          <w:p w14:paraId="1765B18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612,3</w:t>
            </w:r>
          </w:p>
        </w:tc>
        <w:tc>
          <w:tcPr>
            <w:tcW w:w="726" w:type="pct"/>
            <w:tcBorders>
              <w:top w:val="single" w:sz="4" w:space="0" w:color="auto"/>
              <w:left w:val="single" w:sz="4" w:space="0" w:color="auto"/>
              <w:bottom w:val="single" w:sz="4" w:space="0" w:color="auto"/>
              <w:right w:val="single" w:sz="4" w:space="0" w:color="auto"/>
            </w:tcBorders>
            <w:vAlign w:val="center"/>
            <w:hideMark/>
          </w:tcPr>
          <w:p w14:paraId="3358E34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1,8</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4142D6D"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 xml:space="preserve"> 66,2</w:t>
            </w:r>
          </w:p>
        </w:tc>
        <w:tc>
          <w:tcPr>
            <w:tcW w:w="964" w:type="pct"/>
            <w:tcBorders>
              <w:top w:val="single" w:sz="4" w:space="0" w:color="auto"/>
              <w:left w:val="single" w:sz="4" w:space="0" w:color="auto"/>
              <w:bottom w:val="single" w:sz="4" w:space="0" w:color="auto"/>
              <w:right w:val="single" w:sz="4" w:space="0" w:color="auto"/>
            </w:tcBorders>
            <w:vAlign w:val="center"/>
            <w:hideMark/>
          </w:tcPr>
          <w:p w14:paraId="451F9A7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1,20</w:t>
            </w:r>
          </w:p>
        </w:tc>
      </w:tr>
      <w:tr w:rsidR="008862C7" w14:paraId="70626823"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2F2B0C76"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2005</w:t>
            </w:r>
          </w:p>
        </w:tc>
        <w:tc>
          <w:tcPr>
            <w:tcW w:w="807" w:type="pct"/>
            <w:tcBorders>
              <w:top w:val="single" w:sz="4" w:space="0" w:color="auto"/>
              <w:left w:val="single" w:sz="4" w:space="0" w:color="auto"/>
              <w:bottom w:val="single" w:sz="4" w:space="0" w:color="auto"/>
              <w:right w:val="single" w:sz="4" w:space="0" w:color="auto"/>
            </w:tcBorders>
            <w:vAlign w:val="center"/>
            <w:hideMark/>
          </w:tcPr>
          <w:p w14:paraId="2189E6A8"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hideMark/>
          </w:tcPr>
          <w:p w14:paraId="4262821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567,5</w:t>
            </w:r>
          </w:p>
        </w:tc>
        <w:tc>
          <w:tcPr>
            <w:tcW w:w="726" w:type="pct"/>
            <w:tcBorders>
              <w:top w:val="single" w:sz="4" w:space="0" w:color="auto"/>
              <w:left w:val="single" w:sz="4" w:space="0" w:color="auto"/>
              <w:bottom w:val="single" w:sz="4" w:space="0" w:color="auto"/>
              <w:right w:val="single" w:sz="4" w:space="0" w:color="auto"/>
            </w:tcBorders>
            <w:vAlign w:val="center"/>
            <w:hideMark/>
          </w:tcPr>
          <w:p w14:paraId="5824812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0,8</w:t>
            </w:r>
          </w:p>
        </w:tc>
        <w:tc>
          <w:tcPr>
            <w:tcW w:w="1130" w:type="pct"/>
            <w:tcBorders>
              <w:top w:val="single" w:sz="4" w:space="0" w:color="auto"/>
              <w:left w:val="single" w:sz="4" w:space="0" w:color="auto"/>
              <w:bottom w:val="single" w:sz="4" w:space="0" w:color="auto"/>
              <w:right w:val="single" w:sz="4" w:space="0" w:color="auto"/>
            </w:tcBorders>
            <w:vAlign w:val="center"/>
            <w:hideMark/>
          </w:tcPr>
          <w:p w14:paraId="0B7B406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67,6</w:t>
            </w:r>
          </w:p>
        </w:tc>
        <w:tc>
          <w:tcPr>
            <w:tcW w:w="964" w:type="pct"/>
            <w:tcBorders>
              <w:top w:val="single" w:sz="4" w:space="0" w:color="auto"/>
              <w:left w:val="single" w:sz="4" w:space="0" w:color="auto"/>
              <w:bottom w:val="single" w:sz="4" w:space="0" w:color="auto"/>
              <w:right w:val="single" w:sz="4" w:space="0" w:color="auto"/>
            </w:tcBorders>
            <w:vAlign w:val="center"/>
            <w:hideMark/>
          </w:tcPr>
          <w:p w14:paraId="1262B91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0,77</w:t>
            </w:r>
          </w:p>
        </w:tc>
      </w:tr>
      <w:tr w:rsidR="008862C7" w14:paraId="57AFBCDA"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0A41F1F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2006</w:t>
            </w:r>
          </w:p>
        </w:tc>
        <w:tc>
          <w:tcPr>
            <w:tcW w:w="807" w:type="pct"/>
            <w:tcBorders>
              <w:top w:val="single" w:sz="4" w:space="0" w:color="auto"/>
              <w:left w:val="single" w:sz="4" w:space="0" w:color="auto"/>
              <w:bottom w:val="single" w:sz="4" w:space="0" w:color="auto"/>
              <w:right w:val="single" w:sz="4" w:space="0" w:color="auto"/>
            </w:tcBorders>
            <w:vAlign w:val="center"/>
            <w:hideMark/>
          </w:tcPr>
          <w:p w14:paraId="1EEB5B5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hideMark/>
          </w:tcPr>
          <w:p w14:paraId="461B88D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542,51</w:t>
            </w:r>
          </w:p>
        </w:tc>
        <w:tc>
          <w:tcPr>
            <w:tcW w:w="726" w:type="pct"/>
            <w:tcBorders>
              <w:top w:val="single" w:sz="4" w:space="0" w:color="auto"/>
              <w:left w:val="single" w:sz="4" w:space="0" w:color="auto"/>
              <w:bottom w:val="single" w:sz="4" w:space="0" w:color="auto"/>
              <w:right w:val="single" w:sz="4" w:space="0" w:color="auto"/>
            </w:tcBorders>
            <w:vAlign w:val="center"/>
            <w:hideMark/>
          </w:tcPr>
          <w:p w14:paraId="295EA74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0,8</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F45427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77,8</w:t>
            </w:r>
          </w:p>
        </w:tc>
        <w:tc>
          <w:tcPr>
            <w:tcW w:w="964" w:type="pct"/>
            <w:tcBorders>
              <w:top w:val="single" w:sz="4" w:space="0" w:color="auto"/>
              <w:left w:val="single" w:sz="4" w:space="0" w:color="auto"/>
              <w:bottom w:val="single" w:sz="4" w:space="0" w:color="auto"/>
              <w:right w:val="single" w:sz="4" w:space="0" w:color="auto"/>
            </w:tcBorders>
            <w:vAlign w:val="center"/>
            <w:hideMark/>
          </w:tcPr>
          <w:p w14:paraId="0F129A2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1,03</w:t>
            </w:r>
          </w:p>
        </w:tc>
      </w:tr>
      <w:tr w:rsidR="008862C7" w14:paraId="552363CC"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0BECE15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2007</w:t>
            </w:r>
          </w:p>
        </w:tc>
        <w:tc>
          <w:tcPr>
            <w:tcW w:w="807" w:type="pct"/>
            <w:tcBorders>
              <w:top w:val="single" w:sz="4" w:space="0" w:color="auto"/>
              <w:left w:val="single" w:sz="4" w:space="0" w:color="auto"/>
              <w:bottom w:val="single" w:sz="4" w:space="0" w:color="auto"/>
              <w:right w:val="single" w:sz="4" w:space="0" w:color="auto"/>
            </w:tcBorders>
            <w:vAlign w:val="center"/>
            <w:hideMark/>
          </w:tcPr>
          <w:p w14:paraId="198EBBC0"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hideMark/>
          </w:tcPr>
          <w:p w14:paraId="13C57E1C"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565,77</w:t>
            </w:r>
          </w:p>
        </w:tc>
        <w:tc>
          <w:tcPr>
            <w:tcW w:w="726" w:type="pct"/>
            <w:tcBorders>
              <w:top w:val="single" w:sz="4" w:space="0" w:color="auto"/>
              <w:left w:val="single" w:sz="4" w:space="0" w:color="auto"/>
              <w:bottom w:val="single" w:sz="4" w:space="0" w:color="auto"/>
              <w:right w:val="single" w:sz="4" w:space="0" w:color="auto"/>
            </w:tcBorders>
            <w:vAlign w:val="center"/>
            <w:hideMark/>
          </w:tcPr>
          <w:p w14:paraId="1A83A4FB"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0,55</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75CFC7D"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c>
          <w:tcPr>
            <w:tcW w:w="964" w:type="pct"/>
            <w:tcBorders>
              <w:top w:val="single" w:sz="4" w:space="0" w:color="auto"/>
              <w:left w:val="single" w:sz="4" w:space="0" w:color="auto"/>
              <w:bottom w:val="single" w:sz="4" w:space="0" w:color="auto"/>
              <w:right w:val="single" w:sz="4" w:space="0" w:color="auto"/>
            </w:tcBorders>
            <w:vAlign w:val="center"/>
            <w:hideMark/>
          </w:tcPr>
          <w:p w14:paraId="554F0FF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r>
      <w:tr w:rsidR="008862C7" w14:paraId="2C4F121F"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49B85B6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2008</w:t>
            </w:r>
          </w:p>
        </w:tc>
        <w:tc>
          <w:tcPr>
            <w:tcW w:w="807" w:type="pct"/>
            <w:tcBorders>
              <w:top w:val="single" w:sz="4" w:space="0" w:color="auto"/>
              <w:left w:val="single" w:sz="4" w:space="0" w:color="auto"/>
              <w:bottom w:val="single" w:sz="4" w:space="0" w:color="auto"/>
              <w:right w:val="single" w:sz="4" w:space="0" w:color="auto"/>
            </w:tcBorders>
            <w:vAlign w:val="center"/>
            <w:hideMark/>
          </w:tcPr>
          <w:p w14:paraId="4096830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hideMark/>
          </w:tcPr>
          <w:p w14:paraId="692CDDB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520,45</w:t>
            </w:r>
          </w:p>
        </w:tc>
        <w:tc>
          <w:tcPr>
            <w:tcW w:w="726" w:type="pct"/>
            <w:tcBorders>
              <w:top w:val="single" w:sz="4" w:space="0" w:color="auto"/>
              <w:left w:val="single" w:sz="4" w:space="0" w:color="auto"/>
              <w:bottom w:val="single" w:sz="4" w:space="0" w:color="auto"/>
              <w:right w:val="single" w:sz="4" w:space="0" w:color="auto"/>
            </w:tcBorders>
            <w:vAlign w:val="center"/>
            <w:hideMark/>
          </w:tcPr>
          <w:p w14:paraId="79425DDD"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0217E3D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c>
          <w:tcPr>
            <w:tcW w:w="964" w:type="pct"/>
            <w:tcBorders>
              <w:top w:val="single" w:sz="4" w:space="0" w:color="auto"/>
              <w:left w:val="single" w:sz="4" w:space="0" w:color="auto"/>
              <w:bottom w:val="single" w:sz="4" w:space="0" w:color="auto"/>
              <w:right w:val="single" w:sz="4" w:space="0" w:color="auto"/>
            </w:tcBorders>
            <w:vAlign w:val="center"/>
            <w:hideMark/>
          </w:tcPr>
          <w:p w14:paraId="698B9E91"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r>
      <w:tr w:rsidR="008862C7" w14:paraId="3E8683CD" w14:textId="77777777" w:rsidTr="008862C7">
        <w:tc>
          <w:tcPr>
            <w:tcW w:w="645" w:type="pct"/>
            <w:tcBorders>
              <w:top w:val="single" w:sz="4" w:space="0" w:color="auto"/>
              <w:left w:val="single" w:sz="4" w:space="0" w:color="auto"/>
              <w:bottom w:val="single" w:sz="4" w:space="0" w:color="auto"/>
              <w:right w:val="single" w:sz="4" w:space="0" w:color="auto"/>
            </w:tcBorders>
            <w:vAlign w:val="center"/>
            <w:hideMark/>
          </w:tcPr>
          <w:p w14:paraId="7076F9E3"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2009</w:t>
            </w:r>
          </w:p>
        </w:tc>
        <w:tc>
          <w:tcPr>
            <w:tcW w:w="807" w:type="pct"/>
            <w:tcBorders>
              <w:top w:val="single" w:sz="4" w:space="0" w:color="auto"/>
              <w:left w:val="single" w:sz="4" w:space="0" w:color="auto"/>
              <w:bottom w:val="single" w:sz="4" w:space="0" w:color="auto"/>
              <w:right w:val="single" w:sz="4" w:space="0" w:color="auto"/>
            </w:tcBorders>
            <w:vAlign w:val="center"/>
            <w:hideMark/>
          </w:tcPr>
          <w:p w14:paraId="1F5D765F"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3,4</w:t>
            </w:r>
          </w:p>
        </w:tc>
        <w:tc>
          <w:tcPr>
            <w:tcW w:w="726" w:type="pct"/>
            <w:tcBorders>
              <w:top w:val="single" w:sz="4" w:space="0" w:color="auto"/>
              <w:left w:val="single" w:sz="4" w:space="0" w:color="auto"/>
              <w:bottom w:val="single" w:sz="4" w:space="0" w:color="auto"/>
              <w:right w:val="single" w:sz="4" w:space="0" w:color="auto"/>
            </w:tcBorders>
            <w:vAlign w:val="center"/>
            <w:hideMark/>
          </w:tcPr>
          <w:p w14:paraId="5F92EC8E"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720</w:t>
            </w:r>
          </w:p>
        </w:tc>
        <w:tc>
          <w:tcPr>
            <w:tcW w:w="726" w:type="pct"/>
            <w:tcBorders>
              <w:top w:val="single" w:sz="4" w:space="0" w:color="auto"/>
              <w:left w:val="single" w:sz="4" w:space="0" w:color="auto"/>
              <w:bottom w:val="single" w:sz="4" w:space="0" w:color="auto"/>
              <w:right w:val="single" w:sz="4" w:space="0" w:color="auto"/>
            </w:tcBorders>
            <w:vAlign w:val="center"/>
            <w:hideMark/>
          </w:tcPr>
          <w:p w14:paraId="2289FFD2"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2,45</w:t>
            </w:r>
          </w:p>
        </w:tc>
        <w:tc>
          <w:tcPr>
            <w:tcW w:w="1130" w:type="pct"/>
            <w:tcBorders>
              <w:top w:val="single" w:sz="4" w:space="0" w:color="auto"/>
              <w:left w:val="single" w:sz="4" w:space="0" w:color="auto"/>
              <w:bottom w:val="single" w:sz="4" w:space="0" w:color="auto"/>
              <w:right w:val="single" w:sz="4" w:space="0" w:color="auto"/>
            </w:tcBorders>
            <w:vAlign w:val="center"/>
            <w:hideMark/>
          </w:tcPr>
          <w:p w14:paraId="2327D4E9"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c>
          <w:tcPr>
            <w:tcW w:w="964" w:type="pct"/>
            <w:tcBorders>
              <w:top w:val="single" w:sz="4" w:space="0" w:color="auto"/>
              <w:left w:val="single" w:sz="4" w:space="0" w:color="auto"/>
              <w:bottom w:val="single" w:sz="4" w:space="0" w:color="auto"/>
              <w:right w:val="single" w:sz="4" w:space="0" w:color="auto"/>
            </w:tcBorders>
            <w:vAlign w:val="center"/>
            <w:hideMark/>
          </w:tcPr>
          <w:p w14:paraId="4A1FBC45" w14:textId="77777777" w:rsidR="008862C7" w:rsidRDefault="008862C7">
            <w:pPr>
              <w:tabs>
                <w:tab w:val="left" w:pos="708"/>
              </w:tabs>
              <w:spacing w:before="120" w:after="0" w:line="240" w:lineRule="auto"/>
              <w:jc w:val="center"/>
              <w:rPr>
                <w:rFonts w:ascii="Arial" w:eastAsia="Times New Roman" w:hAnsi="Arial" w:cs="Arial"/>
                <w:sz w:val="20"/>
                <w:szCs w:val="20"/>
              </w:rPr>
            </w:pPr>
            <w:r>
              <w:rPr>
                <w:rFonts w:ascii="Arial" w:hAnsi="Arial" w:cs="Arial"/>
                <w:sz w:val="20"/>
                <w:szCs w:val="20"/>
              </w:rPr>
              <w:t>ND</w:t>
            </w:r>
          </w:p>
        </w:tc>
      </w:tr>
    </w:tbl>
    <w:p w14:paraId="497B160E"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Source : ICASEES ; BEAC (2006).</w:t>
      </w:r>
    </w:p>
    <w:p w14:paraId="1209F4F9"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Dans les années 80 et 90 le coton était la façade des exportations centrafricaines. Mais depuis les débuts des années 2000, cette tendance n’est plus la même. Pendant toute cette période, on a assisté à une dégringolade de la part des exportations cotonnières dans le total des exportations de la RCA. De 1</w:t>
      </w:r>
      <w:commentRangeStart w:id="256"/>
      <w:r>
        <w:rPr>
          <w:rFonts w:ascii="Arial" w:hAnsi="Arial" w:cs="Arial"/>
          <w:sz w:val="24"/>
          <w:szCs w:val="24"/>
        </w:rPr>
        <w:t xml:space="preserve">,2 </w:t>
      </w:r>
      <w:commentRangeEnd w:id="256"/>
      <w:r>
        <w:rPr>
          <w:rStyle w:val="Marquedecommentaire"/>
          <w:rFonts w:eastAsia="Times New Roman" w:cs="Times New Roman"/>
        </w:rPr>
        <w:commentReference w:id="256"/>
      </w:r>
      <w:r>
        <w:rPr>
          <w:rFonts w:ascii="Arial" w:hAnsi="Arial" w:cs="Arial"/>
          <w:sz w:val="24"/>
          <w:szCs w:val="24"/>
        </w:rPr>
        <w:t xml:space="preserve">milliers de tonnes en 2000, les recettes ont sensiblement </w:t>
      </w:r>
      <w:r>
        <w:rPr>
          <w:rFonts w:ascii="Arial" w:hAnsi="Arial" w:cs="Arial"/>
          <w:sz w:val="24"/>
          <w:szCs w:val="24"/>
        </w:rPr>
        <w:lastRenderedPageBreak/>
        <w:t xml:space="preserve">augmenté pour atteindre </w:t>
      </w:r>
      <w:commentRangeStart w:id="257"/>
      <w:r>
        <w:rPr>
          <w:rFonts w:ascii="Arial" w:hAnsi="Arial" w:cs="Arial"/>
          <w:sz w:val="24"/>
          <w:szCs w:val="24"/>
        </w:rPr>
        <w:t xml:space="preserve">13,3 milliers de FCFA </w:t>
      </w:r>
      <w:commentRangeEnd w:id="257"/>
      <w:r>
        <w:rPr>
          <w:rStyle w:val="Marquedecommentaire"/>
          <w:rFonts w:eastAsia="Times New Roman" w:cs="Times New Roman"/>
        </w:rPr>
        <w:commentReference w:id="257"/>
      </w:r>
      <w:r>
        <w:rPr>
          <w:rFonts w:ascii="Arial" w:hAnsi="Arial" w:cs="Arial"/>
          <w:sz w:val="24"/>
          <w:szCs w:val="24"/>
        </w:rPr>
        <w:t>en 2002. A partir de 2003, commence alors la chute de la production passant de 13.300 tonnes en 2002 à 900 tonnes en 2003, la production a oscillé entre 1 tonne et 2,3 tonnes  de 2004 à 2008 avant d’atteindre 3.400 tonnes en 2009 pour ainsi renouer avec la croissance. Cette chute de la production cotonnière est accompagnée d’une réduction consécutive des revenus cotonniers et donc de la part des exportations cotonnières dans le total des exportations de  la RCA pendant la période. Par ailleurs, l’instabilité du volume de production cotonnière en Centrafrique n’est pas sans incidence sur la structure de vente du coton centrafricain sur le marché mondial.</w:t>
      </w:r>
    </w:p>
    <w:p w14:paraId="2307BECA" w14:textId="77777777" w:rsidR="008862C7" w:rsidRDefault="008862C7" w:rsidP="008862C7">
      <w:pPr>
        <w:pStyle w:val="Titre3"/>
        <w:spacing w:before="240"/>
        <w:rPr>
          <w:b/>
        </w:rPr>
      </w:pPr>
      <w:bookmarkStart w:id="258" w:name="_Toc395107673"/>
      <w:r>
        <w:rPr>
          <w:b/>
        </w:rPr>
        <w:t>CONCLUSION</w:t>
      </w:r>
      <w:bookmarkEnd w:id="258"/>
      <w:r>
        <w:rPr>
          <w:b/>
        </w:rPr>
        <w:t xml:space="preserve"> </w:t>
      </w:r>
    </w:p>
    <w:p w14:paraId="7B2F060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Consacré à l’analyse des systèmes productif et commercial du coton centrafricain, ce chapitre a permis de cerner l’organisation et le fonctionnement de ces systèmes.</w:t>
      </w:r>
    </w:p>
    <w:p w14:paraId="5608032D"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Concernant le système productif, l’unité d’étude retenue est le système d’exploitation familial. Il ressort de l’étude de ce système qu’il est organisé au tour de deux </w:t>
      </w:r>
      <w:r w:rsidR="005C0325">
        <w:rPr>
          <w:rFonts w:ascii="Arial" w:hAnsi="Arial" w:cs="Arial"/>
          <w:sz w:val="24"/>
          <w:szCs w:val="24"/>
        </w:rPr>
        <w:t>sous-systèmes</w:t>
      </w:r>
      <w:r>
        <w:rPr>
          <w:rFonts w:ascii="Arial" w:hAnsi="Arial" w:cs="Arial"/>
          <w:sz w:val="24"/>
          <w:szCs w:val="24"/>
        </w:rPr>
        <w:t xml:space="preserve"> : le système de gestion des moyens de production et le système techniques de production cotonnière. L’étude du système de gestion des moyens de production nous a permis de comprendre la logique des producteurs du coton dans leur allocation des ressources disponibles afin d’accroitre leur revenu et de rendre viable leur exploitation. Ainsi les moyens de production tels que la main-d’œuvre agricole, le capital, la traction animale, et les intrants chimiques constituent les principaux facteurs économiques pris en compte dans les stratégies des producteurs de coton. Outre les facteurs économiques, les variables sociodémographiques tels que l’âge, le sexe, le niveau d’instruction, la localisation par rapport au marché, et la taille des ménages sont des éléments qui influencent la décision du producteur de  coton dans l’allocation et la gestion des moyens de production. L'analyse du système technique renvoie aux décisions d’ordre technique relatives aux modes de conduite et d’intégration des systèmes de culture constitutifs du système de production. </w:t>
      </w:r>
    </w:p>
    <w:p w14:paraId="0C6EC944" w14:textId="77777777" w:rsidR="008862C7" w:rsidRDefault="008862C7" w:rsidP="008862C7">
      <w:pPr>
        <w:spacing w:before="120" w:after="0" w:line="360" w:lineRule="auto"/>
        <w:jc w:val="both"/>
        <w:rPr>
          <w:rFonts w:ascii="Arial" w:eastAsia="Arial" w:hAnsi="Arial" w:cs="Arial"/>
          <w:sz w:val="24"/>
        </w:rPr>
      </w:pPr>
      <w:r>
        <w:rPr>
          <w:rFonts w:ascii="Arial" w:eastAsia="Arial" w:hAnsi="Arial" w:cs="Arial"/>
          <w:sz w:val="24"/>
        </w:rPr>
        <w:t xml:space="preserve">Le système commercial du coton en Centrafrique présente une organisation moins diffuse que celui des produits vivriers. Échappant aux circuits traditionnels de commercialisation, le marché interne se trouve entre les mains de quelques organisations dont la société cotonnière est la principale. Sur ce marché l’on n’est pas loin d'une structure de monopole dans laquelle l’importance de l'Etat parait encore déterminante. Le marché externe </w:t>
      </w:r>
      <w:r w:rsidR="005C0325">
        <w:rPr>
          <w:rFonts w:ascii="Arial" w:eastAsia="Arial" w:hAnsi="Arial" w:cs="Arial"/>
          <w:sz w:val="24"/>
        </w:rPr>
        <w:t>quant</w:t>
      </w:r>
      <w:r>
        <w:rPr>
          <w:rFonts w:ascii="Arial" w:eastAsia="Arial" w:hAnsi="Arial" w:cs="Arial"/>
          <w:sz w:val="24"/>
        </w:rPr>
        <w:t xml:space="preserve"> à lui apparait à première vue comme un marché parfaitement compétitif (MPC) mais est au fait trop dépendant des intentions d'achat ou de vente respectivement de la Chine  et des Etats-Unis qui sont  des </w:t>
      </w:r>
      <w:r>
        <w:rPr>
          <w:rFonts w:ascii="Arial" w:eastAsia="Arial" w:hAnsi="Arial" w:cs="Arial"/>
          <w:sz w:val="24"/>
        </w:rPr>
        <w:lastRenderedPageBreak/>
        <w:t xml:space="preserve">Price maker sur ce marché, auxquelles s’ajoutent les fluctuations du dollar américain. Enfin, l’apparente simplicité du circuit cache des frais excessifs dus au grand nombre des intermédiaires et aux problèmes de distance et d'acheminement des produits cotonniers centrafricains.     </w:t>
      </w:r>
    </w:p>
    <w:p w14:paraId="112BE91B" w14:textId="77777777" w:rsidR="008862C7" w:rsidRDefault="008862C7" w:rsidP="008862C7">
      <w:pPr>
        <w:spacing w:after="0" w:line="360" w:lineRule="auto"/>
        <w:jc w:val="both"/>
        <w:rPr>
          <w:rFonts w:ascii="Arial" w:eastAsia="Times New Roman" w:hAnsi="Arial" w:cs="Arial"/>
          <w:sz w:val="24"/>
          <w:szCs w:val="24"/>
        </w:rPr>
      </w:pPr>
    </w:p>
    <w:p w14:paraId="5C9A7B83" w14:textId="77777777" w:rsidR="008862C7" w:rsidRDefault="008862C7" w:rsidP="008862C7">
      <w:pPr>
        <w:spacing w:after="0"/>
        <w:jc w:val="both"/>
        <w:rPr>
          <w:rFonts w:ascii="Arial" w:hAnsi="Arial" w:cs="Arial"/>
          <w:sz w:val="24"/>
          <w:szCs w:val="24"/>
        </w:rPr>
      </w:pPr>
    </w:p>
    <w:p w14:paraId="2D812E1A" w14:textId="77777777" w:rsidR="008862C7" w:rsidRDefault="008862C7" w:rsidP="008862C7">
      <w:pPr>
        <w:spacing w:after="0" w:line="240" w:lineRule="auto"/>
        <w:rPr>
          <w:rFonts w:ascii="Arial" w:hAnsi="Arial" w:cs="Arial"/>
          <w:sz w:val="24"/>
          <w:szCs w:val="24"/>
        </w:rPr>
      </w:pPr>
      <w:r>
        <w:rPr>
          <w:rFonts w:ascii="Arial" w:hAnsi="Arial" w:cs="Arial"/>
          <w:sz w:val="24"/>
          <w:szCs w:val="24"/>
        </w:rPr>
        <w:br w:type="page"/>
      </w:r>
    </w:p>
    <w:p w14:paraId="4FD2694C" w14:textId="77777777" w:rsidR="008862C7" w:rsidRDefault="008862C7" w:rsidP="008862C7">
      <w:pPr>
        <w:spacing w:after="0"/>
        <w:jc w:val="both"/>
        <w:rPr>
          <w:rFonts w:ascii="Arial" w:hAnsi="Arial" w:cs="Arial"/>
          <w:sz w:val="24"/>
          <w:szCs w:val="24"/>
        </w:rPr>
      </w:pPr>
    </w:p>
    <w:p w14:paraId="561E57E2" w14:textId="77777777" w:rsidR="008862C7" w:rsidRDefault="008862C7" w:rsidP="008862C7">
      <w:pPr>
        <w:spacing w:after="0" w:line="360" w:lineRule="auto"/>
        <w:jc w:val="center"/>
        <w:rPr>
          <w:rFonts w:ascii="Arial" w:hAnsi="Arial" w:cs="Arial"/>
          <w:b/>
          <w:sz w:val="24"/>
          <w:szCs w:val="24"/>
        </w:rPr>
      </w:pPr>
    </w:p>
    <w:p w14:paraId="651E59AF" w14:textId="77777777" w:rsidR="008862C7" w:rsidRDefault="008862C7" w:rsidP="008862C7">
      <w:pPr>
        <w:spacing w:after="0" w:line="360" w:lineRule="auto"/>
        <w:jc w:val="center"/>
        <w:rPr>
          <w:rFonts w:ascii="Arial" w:hAnsi="Arial" w:cs="Arial"/>
          <w:b/>
          <w:sz w:val="24"/>
          <w:szCs w:val="24"/>
        </w:rPr>
      </w:pPr>
    </w:p>
    <w:p w14:paraId="58636D95" w14:textId="77777777" w:rsidR="008862C7" w:rsidRDefault="008862C7" w:rsidP="008862C7">
      <w:pPr>
        <w:spacing w:after="0" w:line="360" w:lineRule="auto"/>
        <w:jc w:val="center"/>
        <w:rPr>
          <w:rFonts w:ascii="Arial" w:hAnsi="Arial" w:cs="Arial"/>
          <w:b/>
          <w:sz w:val="24"/>
          <w:szCs w:val="24"/>
        </w:rPr>
      </w:pPr>
    </w:p>
    <w:p w14:paraId="796FD341" w14:textId="77777777" w:rsidR="008862C7" w:rsidRDefault="008862C7" w:rsidP="008862C7">
      <w:pPr>
        <w:spacing w:after="0" w:line="360" w:lineRule="auto"/>
        <w:jc w:val="center"/>
        <w:rPr>
          <w:rFonts w:ascii="Arial" w:hAnsi="Arial" w:cs="Arial"/>
          <w:b/>
          <w:sz w:val="24"/>
          <w:szCs w:val="24"/>
        </w:rPr>
      </w:pPr>
    </w:p>
    <w:p w14:paraId="5208548E" w14:textId="77777777" w:rsidR="008862C7" w:rsidRDefault="008862C7" w:rsidP="008862C7">
      <w:pPr>
        <w:spacing w:after="0" w:line="360" w:lineRule="auto"/>
        <w:jc w:val="center"/>
        <w:rPr>
          <w:rFonts w:ascii="Arial" w:hAnsi="Arial" w:cs="Arial"/>
          <w:b/>
          <w:sz w:val="24"/>
          <w:szCs w:val="24"/>
        </w:rPr>
      </w:pPr>
    </w:p>
    <w:p w14:paraId="24A0B3D0" w14:textId="77777777" w:rsidR="008862C7" w:rsidRDefault="008862C7" w:rsidP="008862C7">
      <w:pPr>
        <w:spacing w:after="0" w:line="360" w:lineRule="auto"/>
        <w:jc w:val="center"/>
        <w:rPr>
          <w:rFonts w:ascii="Arial" w:hAnsi="Arial" w:cs="Arial"/>
          <w:b/>
          <w:sz w:val="24"/>
          <w:szCs w:val="24"/>
        </w:rPr>
      </w:pPr>
    </w:p>
    <w:p w14:paraId="441EFF70" w14:textId="77777777" w:rsidR="008862C7" w:rsidRDefault="008862C7" w:rsidP="008862C7">
      <w:pPr>
        <w:spacing w:after="0" w:line="360" w:lineRule="auto"/>
        <w:jc w:val="center"/>
        <w:rPr>
          <w:rFonts w:ascii="Arial" w:hAnsi="Arial" w:cs="Arial"/>
          <w:b/>
          <w:sz w:val="24"/>
          <w:szCs w:val="24"/>
        </w:rPr>
      </w:pPr>
    </w:p>
    <w:p w14:paraId="743A5376" w14:textId="77777777" w:rsidR="008862C7" w:rsidRDefault="008862C7" w:rsidP="008862C7">
      <w:pPr>
        <w:spacing w:after="0" w:line="360" w:lineRule="auto"/>
        <w:jc w:val="center"/>
        <w:rPr>
          <w:rFonts w:ascii="Arial" w:hAnsi="Arial" w:cs="Arial"/>
          <w:b/>
          <w:sz w:val="24"/>
          <w:szCs w:val="24"/>
        </w:rPr>
      </w:pPr>
    </w:p>
    <w:p w14:paraId="7CA0C5A8" w14:textId="77777777" w:rsidR="008862C7" w:rsidRDefault="008862C7" w:rsidP="008862C7">
      <w:pPr>
        <w:spacing w:after="0" w:line="360" w:lineRule="auto"/>
        <w:jc w:val="center"/>
        <w:rPr>
          <w:rFonts w:ascii="Arial" w:hAnsi="Arial" w:cs="Arial"/>
          <w:b/>
          <w:sz w:val="24"/>
          <w:szCs w:val="24"/>
        </w:rPr>
      </w:pPr>
    </w:p>
    <w:p w14:paraId="3ECBBE89" w14:textId="77777777" w:rsidR="008862C7" w:rsidRDefault="008862C7" w:rsidP="008862C7">
      <w:pPr>
        <w:spacing w:after="0" w:line="360" w:lineRule="auto"/>
        <w:jc w:val="center"/>
        <w:rPr>
          <w:rFonts w:ascii="Arial" w:hAnsi="Arial" w:cs="Arial"/>
          <w:b/>
          <w:sz w:val="24"/>
          <w:szCs w:val="24"/>
        </w:rPr>
      </w:pPr>
    </w:p>
    <w:p w14:paraId="29595507" w14:textId="77777777" w:rsidR="008862C7" w:rsidRDefault="008862C7" w:rsidP="008862C7">
      <w:pPr>
        <w:spacing w:after="0" w:line="360" w:lineRule="auto"/>
        <w:jc w:val="center"/>
        <w:rPr>
          <w:rFonts w:ascii="Arial" w:hAnsi="Arial" w:cs="Arial"/>
          <w:b/>
          <w:sz w:val="24"/>
          <w:szCs w:val="24"/>
        </w:rPr>
      </w:pPr>
    </w:p>
    <w:p w14:paraId="631FBD6A" w14:textId="77777777" w:rsidR="008862C7" w:rsidRDefault="008862C7" w:rsidP="008862C7">
      <w:pPr>
        <w:pStyle w:val="Titre2"/>
        <w:jc w:val="center"/>
        <w:rPr>
          <w:rFonts w:ascii="Arial" w:hAnsi="Arial" w:cs="Arial"/>
          <w:color w:val="auto"/>
          <w:sz w:val="24"/>
          <w:szCs w:val="24"/>
        </w:rPr>
      </w:pPr>
      <w:bookmarkStart w:id="259" w:name="_Toc395107674"/>
      <w:r>
        <w:rPr>
          <w:rFonts w:ascii="Arial" w:hAnsi="Arial" w:cs="Arial"/>
          <w:color w:val="auto"/>
          <w:sz w:val="24"/>
          <w:szCs w:val="24"/>
        </w:rPr>
        <w:t>CHAPITRE IV : IDENTIFICATION ET EVALUATION DES DETERMINANTS DE LA COMPETITIVITE DU COTON CENTRAFRICAIN</w:t>
      </w:r>
      <w:bookmarkEnd w:id="259"/>
    </w:p>
    <w:p w14:paraId="53B27D79" w14:textId="77777777" w:rsidR="008862C7" w:rsidRDefault="008862C7" w:rsidP="008862C7">
      <w:pPr>
        <w:spacing w:after="0" w:line="360" w:lineRule="auto"/>
        <w:jc w:val="center"/>
        <w:rPr>
          <w:rFonts w:ascii="Arial" w:hAnsi="Arial" w:cs="Arial"/>
          <w:b/>
          <w:sz w:val="24"/>
          <w:szCs w:val="24"/>
        </w:rPr>
      </w:pPr>
    </w:p>
    <w:p w14:paraId="01846F5D" w14:textId="77777777" w:rsidR="008862C7" w:rsidRDefault="008862C7" w:rsidP="008862C7">
      <w:pPr>
        <w:spacing w:after="0" w:line="360" w:lineRule="auto"/>
        <w:jc w:val="center"/>
        <w:rPr>
          <w:rFonts w:ascii="Arial" w:hAnsi="Arial" w:cs="Arial"/>
          <w:b/>
          <w:sz w:val="24"/>
          <w:szCs w:val="24"/>
        </w:rPr>
      </w:pPr>
    </w:p>
    <w:p w14:paraId="50B1058C" w14:textId="77777777" w:rsidR="008862C7" w:rsidRDefault="008862C7" w:rsidP="008862C7">
      <w:pPr>
        <w:spacing w:after="0" w:line="360" w:lineRule="auto"/>
        <w:jc w:val="center"/>
        <w:rPr>
          <w:rFonts w:ascii="Arial" w:hAnsi="Arial" w:cs="Arial"/>
          <w:b/>
          <w:sz w:val="24"/>
          <w:szCs w:val="24"/>
        </w:rPr>
      </w:pPr>
    </w:p>
    <w:p w14:paraId="322E9FA2" w14:textId="77777777" w:rsidR="008862C7" w:rsidRDefault="008862C7" w:rsidP="008862C7">
      <w:pPr>
        <w:spacing w:after="0" w:line="360" w:lineRule="auto"/>
        <w:jc w:val="center"/>
        <w:rPr>
          <w:rFonts w:ascii="Arial" w:hAnsi="Arial" w:cs="Arial"/>
          <w:b/>
          <w:sz w:val="24"/>
          <w:szCs w:val="24"/>
        </w:rPr>
      </w:pPr>
    </w:p>
    <w:p w14:paraId="41AECBA4" w14:textId="77777777" w:rsidR="008862C7" w:rsidRDefault="008862C7" w:rsidP="008862C7">
      <w:pPr>
        <w:spacing w:after="0" w:line="360" w:lineRule="auto"/>
        <w:jc w:val="center"/>
        <w:rPr>
          <w:rFonts w:ascii="Arial" w:hAnsi="Arial" w:cs="Arial"/>
          <w:b/>
          <w:sz w:val="24"/>
          <w:szCs w:val="24"/>
        </w:rPr>
      </w:pPr>
    </w:p>
    <w:p w14:paraId="69C7187C" w14:textId="77777777" w:rsidR="008862C7" w:rsidRDefault="008862C7" w:rsidP="008862C7">
      <w:pPr>
        <w:spacing w:after="0" w:line="360" w:lineRule="auto"/>
        <w:jc w:val="center"/>
        <w:rPr>
          <w:rFonts w:ascii="Arial" w:hAnsi="Arial" w:cs="Arial"/>
          <w:b/>
          <w:sz w:val="24"/>
          <w:szCs w:val="24"/>
        </w:rPr>
      </w:pPr>
    </w:p>
    <w:p w14:paraId="160338F2" w14:textId="77777777" w:rsidR="008862C7" w:rsidRDefault="008862C7" w:rsidP="008862C7">
      <w:pPr>
        <w:spacing w:after="0" w:line="360" w:lineRule="auto"/>
        <w:jc w:val="center"/>
        <w:rPr>
          <w:rFonts w:ascii="Arial" w:hAnsi="Arial" w:cs="Arial"/>
          <w:b/>
          <w:sz w:val="24"/>
          <w:szCs w:val="24"/>
        </w:rPr>
      </w:pPr>
    </w:p>
    <w:p w14:paraId="14AC64F9" w14:textId="77777777" w:rsidR="008862C7" w:rsidRDefault="008862C7" w:rsidP="008862C7">
      <w:pPr>
        <w:spacing w:after="0" w:line="360" w:lineRule="auto"/>
        <w:jc w:val="center"/>
        <w:rPr>
          <w:rFonts w:ascii="Arial" w:hAnsi="Arial" w:cs="Arial"/>
          <w:b/>
          <w:sz w:val="24"/>
          <w:szCs w:val="24"/>
        </w:rPr>
      </w:pPr>
    </w:p>
    <w:p w14:paraId="34AA5BC1" w14:textId="77777777" w:rsidR="008862C7" w:rsidRDefault="008862C7" w:rsidP="008862C7">
      <w:pPr>
        <w:spacing w:after="0" w:line="360" w:lineRule="auto"/>
        <w:jc w:val="center"/>
        <w:rPr>
          <w:rFonts w:ascii="Arial" w:hAnsi="Arial" w:cs="Arial"/>
          <w:b/>
          <w:sz w:val="24"/>
          <w:szCs w:val="24"/>
        </w:rPr>
      </w:pPr>
    </w:p>
    <w:p w14:paraId="068ED6E7" w14:textId="77777777" w:rsidR="008862C7" w:rsidRDefault="008862C7" w:rsidP="008862C7">
      <w:pPr>
        <w:spacing w:after="0" w:line="360" w:lineRule="auto"/>
        <w:jc w:val="center"/>
        <w:rPr>
          <w:rFonts w:ascii="Arial" w:hAnsi="Arial" w:cs="Arial"/>
          <w:b/>
          <w:sz w:val="24"/>
          <w:szCs w:val="24"/>
        </w:rPr>
      </w:pPr>
    </w:p>
    <w:p w14:paraId="30D722F4" w14:textId="77777777" w:rsidR="008862C7" w:rsidRDefault="008862C7" w:rsidP="008862C7">
      <w:pPr>
        <w:spacing w:after="0" w:line="360" w:lineRule="auto"/>
        <w:jc w:val="center"/>
        <w:rPr>
          <w:rFonts w:ascii="Arial" w:hAnsi="Arial" w:cs="Arial"/>
          <w:b/>
          <w:sz w:val="24"/>
          <w:szCs w:val="24"/>
        </w:rPr>
      </w:pPr>
    </w:p>
    <w:p w14:paraId="4864A59C" w14:textId="77777777" w:rsidR="008862C7" w:rsidRDefault="008862C7" w:rsidP="008862C7">
      <w:pPr>
        <w:spacing w:after="0" w:line="360" w:lineRule="auto"/>
        <w:jc w:val="center"/>
        <w:rPr>
          <w:rFonts w:ascii="Arial" w:hAnsi="Arial" w:cs="Arial"/>
          <w:b/>
          <w:sz w:val="24"/>
          <w:szCs w:val="24"/>
        </w:rPr>
      </w:pPr>
    </w:p>
    <w:p w14:paraId="583229A3" w14:textId="77777777" w:rsidR="008862C7" w:rsidRDefault="008862C7" w:rsidP="008862C7">
      <w:pPr>
        <w:spacing w:after="0" w:line="360" w:lineRule="auto"/>
        <w:jc w:val="center"/>
        <w:rPr>
          <w:rFonts w:ascii="Arial" w:hAnsi="Arial" w:cs="Arial"/>
          <w:b/>
          <w:sz w:val="24"/>
          <w:szCs w:val="24"/>
        </w:rPr>
      </w:pPr>
    </w:p>
    <w:p w14:paraId="1774357F" w14:textId="77777777" w:rsidR="008862C7" w:rsidRDefault="008862C7" w:rsidP="008862C7">
      <w:pPr>
        <w:spacing w:after="0" w:line="360" w:lineRule="auto"/>
        <w:jc w:val="center"/>
        <w:rPr>
          <w:rFonts w:ascii="Arial" w:hAnsi="Arial" w:cs="Arial"/>
          <w:b/>
          <w:sz w:val="24"/>
          <w:szCs w:val="24"/>
        </w:rPr>
      </w:pPr>
    </w:p>
    <w:p w14:paraId="60351676" w14:textId="77777777" w:rsidR="008862C7" w:rsidRDefault="008862C7" w:rsidP="008862C7">
      <w:pPr>
        <w:spacing w:after="0" w:line="360" w:lineRule="auto"/>
        <w:jc w:val="center"/>
        <w:rPr>
          <w:rFonts w:ascii="Arial" w:hAnsi="Arial" w:cs="Arial"/>
          <w:b/>
          <w:sz w:val="24"/>
          <w:szCs w:val="24"/>
        </w:rPr>
      </w:pPr>
    </w:p>
    <w:p w14:paraId="6FAB9816" w14:textId="77777777" w:rsidR="008862C7" w:rsidRDefault="008862C7" w:rsidP="008862C7">
      <w:pPr>
        <w:spacing w:after="0" w:line="360" w:lineRule="auto"/>
        <w:jc w:val="center"/>
        <w:rPr>
          <w:rFonts w:ascii="Arial" w:hAnsi="Arial" w:cs="Arial"/>
          <w:b/>
          <w:sz w:val="24"/>
          <w:szCs w:val="24"/>
        </w:rPr>
      </w:pPr>
    </w:p>
    <w:p w14:paraId="24F6816D" w14:textId="77777777" w:rsidR="008862C7" w:rsidRDefault="008862C7" w:rsidP="008862C7">
      <w:pPr>
        <w:spacing w:after="0" w:line="360" w:lineRule="auto"/>
        <w:jc w:val="center"/>
        <w:rPr>
          <w:rFonts w:ascii="Arial" w:hAnsi="Arial" w:cs="Arial"/>
          <w:b/>
          <w:sz w:val="24"/>
          <w:szCs w:val="24"/>
        </w:rPr>
      </w:pPr>
    </w:p>
    <w:p w14:paraId="1FCFE8C6" w14:textId="77777777" w:rsidR="008862C7" w:rsidRDefault="008862C7" w:rsidP="008862C7">
      <w:pPr>
        <w:pStyle w:val="Titre3"/>
        <w:spacing w:after="120"/>
        <w:rPr>
          <w:b/>
        </w:rPr>
      </w:pPr>
      <w:r>
        <w:rPr>
          <w:b/>
        </w:rPr>
        <w:br w:type="page"/>
      </w:r>
      <w:bookmarkStart w:id="260" w:name="_Toc395107675"/>
      <w:r>
        <w:rPr>
          <w:b/>
        </w:rPr>
        <w:lastRenderedPageBreak/>
        <w:t>INTRODUCTION</w:t>
      </w:r>
      <w:bookmarkEnd w:id="260"/>
      <w:r>
        <w:rPr>
          <w:b/>
        </w:rPr>
        <w:t xml:space="preserve"> </w:t>
      </w:r>
    </w:p>
    <w:p w14:paraId="0621B3E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La compétitivité d’une entité économique résulte essentiellement de l’ensemble de ses choix stratégiques par rapport à ses concurrents réels ou potentiels d’une part et du hasard d’autre part (Porter, 1990). De ce fait, sa détermination nécessite l’identification des principaux facteurs qui y influent. En ce qui concerne la filière cotonnière centrafricaine, sa compétitivité est mesurée en relation non seulement avec ses concurrents d’Afrique centrale et de l’ouest, mais aussi avec ceux des autres continents (Europe, Asie et Amérique). Cette approche permet de rendre compte à la fois des atouts du coton centrafricain en termes de compétitivité au niveau régional et au niveau international.</w:t>
      </w:r>
    </w:p>
    <w:p w14:paraId="56001CD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Pour évaluer l’apport de chaque facteur à la construction de la compétitivité du coton centrafricain, ce chapitre sera consacré d’abord à l’identification puis à l’évaluation économétrique et financière de la compétitivité du coton centrafricain. Ainsi, deux modèles économétriques représentatifs de la compétitivité du coton seront construits. Le premier abordera la question de manière générale et le second tentera de mesurer le poids de la qualité dans la compétitivité du coton centrafricain. A ces deux modèles, il faut ajouter deux autres dont l’un permettra de distinguer les effets des facteurs structurels (qualité, marketing, R&amp;D) et l’autre l’impact des actions gouvernementales (politiques gouvernementales) sur la compétitivité du coton en Centrafrique. La deuxième section se consacrera à l’interprétation des résultats obtenus. Elle tentera à partir de ces résultats de dégager des axes stratégiques et des implications en termes de politiques et de stratégies d’accroissement de la compétitivité de cette filière.</w:t>
      </w:r>
    </w:p>
    <w:p w14:paraId="5D5FD945" w14:textId="77777777" w:rsidR="008862C7" w:rsidRDefault="008862C7" w:rsidP="008862C7">
      <w:pPr>
        <w:pStyle w:val="Paragraphedeliste"/>
        <w:numPr>
          <w:ilvl w:val="0"/>
          <w:numId w:val="46"/>
        </w:numPr>
        <w:spacing w:before="120" w:after="0" w:line="360" w:lineRule="auto"/>
        <w:jc w:val="both"/>
        <w:outlineLvl w:val="2"/>
        <w:rPr>
          <w:rFonts w:ascii="Arial" w:hAnsi="Arial" w:cs="Arial"/>
          <w:b/>
          <w:sz w:val="24"/>
          <w:szCs w:val="24"/>
        </w:rPr>
      </w:pPr>
      <w:bookmarkStart w:id="261" w:name="_Toc395107676"/>
      <w:r>
        <w:rPr>
          <w:rFonts w:ascii="Arial" w:hAnsi="Arial" w:cs="Arial"/>
          <w:b/>
          <w:sz w:val="24"/>
          <w:szCs w:val="24"/>
        </w:rPr>
        <w:t>IDENTIFICATION DES DETERMINANTS</w:t>
      </w:r>
      <w:bookmarkEnd w:id="261"/>
      <w:r>
        <w:rPr>
          <w:rFonts w:ascii="Arial" w:hAnsi="Arial" w:cs="Arial"/>
          <w:b/>
          <w:sz w:val="24"/>
          <w:szCs w:val="24"/>
        </w:rPr>
        <w:t xml:space="preserve"> </w:t>
      </w:r>
    </w:p>
    <w:p w14:paraId="411F127E"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Consacrée à l’identification de la compétitivité du coton centrafricain, cette section s’attarde sur les sources et les facteurs qui influencent la compétitivité de la filière en s’inspirant des résultats des travaux empiriques antérieurs effectués sur la même thématique mais parfois pour d’autres filières agricoles. Ainsi, l’approche de Brinkman (1987) constitue pour nous le référentiel dans ce travail.</w:t>
      </w:r>
    </w:p>
    <w:p w14:paraId="6015513A" w14:textId="77777777" w:rsidR="008862C7" w:rsidRDefault="008862C7" w:rsidP="008862C7">
      <w:pPr>
        <w:pStyle w:val="Paragraphedeliste"/>
        <w:numPr>
          <w:ilvl w:val="1"/>
          <w:numId w:val="46"/>
        </w:numPr>
        <w:spacing w:before="120" w:after="0" w:line="360" w:lineRule="auto"/>
        <w:jc w:val="both"/>
        <w:outlineLvl w:val="3"/>
        <w:rPr>
          <w:rFonts w:ascii="Arial" w:hAnsi="Arial" w:cs="Arial"/>
          <w:b/>
          <w:sz w:val="24"/>
          <w:szCs w:val="24"/>
        </w:rPr>
      </w:pPr>
      <w:bookmarkStart w:id="262" w:name="_Toc395107677"/>
      <w:r>
        <w:rPr>
          <w:rFonts w:ascii="Arial" w:hAnsi="Arial" w:cs="Arial"/>
          <w:b/>
          <w:sz w:val="24"/>
          <w:szCs w:val="24"/>
        </w:rPr>
        <w:t xml:space="preserve">Déterminants interne de la compétitivité du coton </w:t>
      </w:r>
      <w:bookmarkEnd w:id="262"/>
    </w:p>
    <w:p w14:paraId="2CD9F5AA"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Selon Brinkman, la compétitivité interne dépend de cinq facteurs que sont : (i) la dotation en ressources productives, (ii) la technologie, (iii) les économies d’échelle, (iv) la régulation et les politiques des échanges, et enfin (v) les caractéristiques du produit. Chaque facteur est influencé par un groupe de facteurs secondaires. </w:t>
      </w:r>
    </w:p>
    <w:p w14:paraId="40B23B32"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lastRenderedPageBreak/>
        <w:t xml:space="preserve">Examinons ces facteurs pour la filière cotonnière en Centrafrique afin de déterminer lesquels ont une influence significative sur la compétitivité du coton centrafricain. </w:t>
      </w:r>
    </w:p>
    <w:p w14:paraId="1095CF19" w14:textId="77777777" w:rsidR="008862C7" w:rsidRDefault="008862C7" w:rsidP="008862C7">
      <w:pPr>
        <w:pStyle w:val="Paragraphedeliste"/>
        <w:numPr>
          <w:ilvl w:val="1"/>
          <w:numId w:val="47"/>
        </w:numPr>
        <w:spacing w:before="120" w:after="0" w:line="360" w:lineRule="auto"/>
        <w:ind w:left="426"/>
        <w:jc w:val="both"/>
        <w:outlineLvl w:val="6"/>
        <w:rPr>
          <w:rFonts w:ascii="Arial" w:hAnsi="Arial" w:cs="Arial"/>
          <w:b/>
          <w:sz w:val="24"/>
          <w:szCs w:val="24"/>
        </w:rPr>
      </w:pPr>
      <w:bookmarkStart w:id="263" w:name="_Toc395107678"/>
      <w:r>
        <w:rPr>
          <w:rFonts w:ascii="Arial" w:hAnsi="Arial" w:cs="Arial"/>
          <w:b/>
          <w:sz w:val="24"/>
          <w:szCs w:val="24"/>
        </w:rPr>
        <w:t>Dotations nationales en ressources productives</w:t>
      </w:r>
      <w:bookmarkEnd w:id="263"/>
    </w:p>
    <w:p w14:paraId="5E36B51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La théorie des avantages comparatifs stipule que chaque pays a intérêt à se spécialiser dans la production des biens pour lesquels il dispose d’un avantage relatif en termes de coût de production. Cet avantage relatif découle d’une forte dotation nationale en inputs nécessaires à la production du bien de spécialisation. Ainsi, en plus de la dotation en ressources naturelles, une dotation abondante en facteur de production constitue une source de gain de compétitivité. Le point de vue de Porter (1990), qui souligne que la compétitivité d’un pays est en grande partie déterminée par sa dotation en facteur et par les conditions de la demande, semble le mieux résumé cette idée. </w:t>
      </w:r>
    </w:p>
    <w:p w14:paraId="73CD35D9"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Pour le coton produit en RCA et destiné entièrement à l’exportation, il s’agit principalement dans ce cas des ressources en </w:t>
      </w:r>
      <w:r w:rsidR="005C0325">
        <w:rPr>
          <w:rFonts w:ascii="Arial" w:hAnsi="Arial" w:cs="Arial"/>
          <w:sz w:val="24"/>
          <w:szCs w:val="24"/>
        </w:rPr>
        <w:t>capital, en</w:t>
      </w:r>
      <w:r>
        <w:rPr>
          <w:rFonts w:ascii="Arial" w:hAnsi="Arial" w:cs="Arial"/>
          <w:sz w:val="24"/>
          <w:szCs w:val="24"/>
        </w:rPr>
        <w:t xml:space="preserve"> main-d’œuvre, en terre, et en équipement agricole.</w:t>
      </w:r>
    </w:p>
    <w:p w14:paraId="2297BC85" w14:textId="77777777" w:rsidR="008862C7" w:rsidRDefault="008862C7" w:rsidP="008862C7">
      <w:pPr>
        <w:tabs>
          <w:tab w:val="left" w:pos="1843"/>
        </w:tabs>
        <w:spacing w:before="120" w:after="0" w:line="360" w:lineRule="auto"/>
        <w:jc w:val="both"/>
        <w:rPr>
          <w:rFonts w:ascii="Arial" w:hAnsi="Arial" w:cs="Arial"/>
          <w:sz w:val="24"/>
          <w:szCs w:val="24"/>
        </w:rPr>
      </w:pPr>
      <w:r>
        <w:rPr>
          <w:rFonts w:ascii="Arial" w:hAnsi="Arial" w:cs="Arial"/>
          <w:sz w:val="24"/>
          <w:szCs w:val="24"/>
        </w:rPr>
        <w:t>Selon une étude menée par Mbétid-Bessane (2010), sur les déterminants économiques et sociaux de choix de la culture cotonnière et de son intensification dans un contexte de crise de la filière en Centrafrique, il ressort des résultats que les variables économiques telles que le capital d’exploitation, la superficie cultivée en coton et la contribution du coton au revenu de l’exploitation et la variable sociale telle que l’expérience en culture du coton sont les principaux déterminants d’intensification du coton par les intrants chimiques (engrais et insecticides). Toutefois, ce sont les variables économiques qui ont le pouvoir explicatif le plus élevé des décisions d’intensification de la production cotonnière par les intrants chimiques en période de crise. Or, le choix d’intensification de la production cotonnière par les intrants chimiques permet d’accroître la productivité</w:t>
      </w:r>
      <w:r>
        <w:rPr>
          <w:rStyle w:val="Appelnotedebasdep"/>
          <w:rFonts w:ascii="Arial" w:hAnsi="Arial" w:cs="Arial"/>
          <w:sz w:val="24"/>
          <w:szCs w:val="24"/>
        </w:rPr>
        <w:footnoteReference w:id="45"/>
      </w:r>
      <w:r>
        <w:rPr>
          <w:rFonts w:ascii="Arial" w:hAnsi="Arial" w:cs="Arial"/>
          <w:sz w:val="24"/>
          <w:szCs w:val="24"/>
        </w:rPr>
        <w:t xml:space="preserve"> et l’efficience technique des exploitations. Ce sont donc les grandes exploitations agricoles ayant une longue expérience dans la production cotonnière qui mettent en œuvre des stratégies intensives susceptible d’accroître le rendement à l’hectare et la production globale.  </w:t>
      </w:r>
    </w:p>
    <w:p w14:paraId="3228095E" w14:textId="77777777" w:rsidR="008862C7" w:rsidRDefault="008862C7" w:rsidP="008862C7">
      <w:pPr>
        <w:tabs>
          <w:tab w:val="left" w:pos="1843"/>
        </w:tabs>
        <w:spacing w:before="120" w:after="0" w:line="360" w:lineRule="auto"/>
        <w:jc w:val="both"/>
        <w:rPr>
          <w:rFonts w:ascii="Arial" w:hAnsi="Arial" w:cs="Arial"/>
          <w:sz w:val="24"/>
          <w:szCs w:val="24"/>
        </w:rPr>
      </w:pPr>
      <w:r>
        <w:rPr>
          <w:rFonts w:ascii="Arial" w:hAnsi="Arial" w:cs="Arial"/>
          <w:sz w:val="24"/>
          <w:szCs w:val="24"/>
        </w:rPr>
        <w:t xml:space="preserve">Les grandes exploitations des bassins du nord-ouest et du centre-sud, vu leur dotation en équipement agricole, sont obligés de faire du coton pour mieux valoriser leur équipement. Ainsi, la taille des exploitations et la dotation en attelage constituent de sources de compétitivité pour le coton centrafricain. De plus, les exploitations utilisant la traction animale obtiennent les </w:t>
      </w:r>
      <w:r>
        <w:rPr>
          <w:rFonts w:ascii="Arial" w:hAnsi="Arial" w:cs="Arial"/>
          <w:sz w:val="24"/>
          <w:szCs w:val="24"/>
        </w:rPr>
        <w:lastRenderedPageBreak/>
        <w:t xml:space="preserve">meilleures performances en termes de coût de production, de rendement à l’hectare, de superficie cultivée, d’allocation optimale du temps de travail et de la main-d’œuvre. </w:t>
      </w:r>
    </w:p>
    <w:p w14:paraId="44FC26D3"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L’analyse des coûts de la filière cotonnière centrafricaine</w:t>
      </w:r>
      <w:r>
        <w:rPr>
          <w:rStyle w:val="Appelnotedebasdep"/>
          <w:rFonts w:ascii="Arial" w:hAnsi="Arial" w:cs="Arial"/>
          <w:sz w:val="24"/>
          <w:szCs w:val="24"/>
        </w:rPr>
        <w:footnoteReference w:id="46"/>
      </w:r>
      <w:r>
        <w:rPr>
          <w:rFonts w:ascii="Arial" w:hAnsi="Arial" w:cs="Arial"/>
          <w:sz w:val="24"/>
          <w:szCs w:val="24"/>
        </w:rPr>
        <w:t xml:space="preserve"> a permis de rendre compte du poids de ces rubriques sur la compétitivité et la durabilité de la filière. En matière de compétitivité prix, l’entité la plus compétitive, est celle qui dispose d’un coût de production à l’hectare relativement faible par rapport à celui de ces concurrents. La réduction des coûts peut passer par l’accroissement du rendement à l’hectare du coton graine et de coton fibre, la productivité des facteurs, l’allocation optimale des ressources et l’efficacité des moyens de production.</w:t>
      </w:r>
    </w:p>
    <w:p w14:paraId="186A5807"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Comparée aux autres pays producteurs de coton, la structure des coûts dans la filière cotonnière en Centrafrique révèle que cette dernière est désavantagée en raison des coûts de transport, des coûts de l’énergie (carburant), des coûts de main-d’œuvre et des coûts de communication bien plus élevés en RCA qu’ailleurs.</w:t>
      </w:r>
    </w:p>
    <w:p w14:paraId="42BFC32F"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 xml:space="preserve">Tableau 4.1 : </w:t>
      </w:r>
      <w:r>
        <w:rPr>
          <w:rFonts w:ascii="Arial" w:hAnsi="Arial" w:cs="Arial"/>
          <w:sz w:val="24"/>
          <w:szCs w:val="24"/>
        </w:rPr>
        <w:t>Comparaison des coûts de production dans la filière coton en Afrique Centrale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629"/>
        <w:gridCol w:w="1468"/>
        <w:gridCol w:w="1631"/>
        <w:gridCol w:w="1468"/>
        <w:gridCol w:w="1631"/>
        <w:gridCol w:w="1428"/>
      </w:tblGrid>
      <w:tr w:rsidR="008862C7" w14:paraId="6FE7EEB1" w14:textId="77777777" w:rsidTr="008862C7">
        <w:trPr>
          <w:trHeight w:val="185"/>
        </w:trPr>
        <w:tc>
          <w:tcPr>
            <w:tcW w:w="619" w:type="pct"/>
            <w:tcBorders>
              <w:top w:val="single" w:sz="4" w:space="0" w:color="auto"/>
              <w:left w:val="single" w:sz="4" w:space="0" w:color="auto"/>
              <w:bottom w:val="single" w:sz="4" w:space="0" w:color="auto"/>
              <w:right w:val="single" w:sz="4" w:space="0" w:color="auto"/>
            </w:tcBorders>
            <w:hideMark/>
          </w:tcPr>
          <w:p w14:paraId="51AFB638" w14:textId="77777777" w:rsidR="008862C7" w:rsidRDefault="008862C7">
            <w:pPr>
              <w:keepNext/>
              <w:keepLines/>
              <w:tabs>
                <w:tab w:val="left" w:pos="708"/>
              </w:tabs>
              <w:suppressAutoHyphens/>
              <w:spacing w:before="120" w:after="0" w:line="276" w:lineRule="auto"/>
              <w:jc w:val="both"/>
              <w:outlineLvl w:val="1"/>
              <w:rPr>
                <w:rFonts w:ascii="Arial" w:eastAsia="Times New Roman" w:hAnsi="Arial" w:cs="Arial"/>
                <w:b/>
                <w:sz w:val="20"/>
                <w:szCs w:val="20"/>
              </w:rPr>
            </w:pPr>
            <w:r>
              <w:rPr>
                <w:rFonts w:ascii="Arial" w:hAnsi="Arial" w:cs="Arial"/>
                <w:b/>
                <w:sz w:val="20"/>
                <w:szCs w:val="20"/>
              </w:rPr>
              <w:t xml:space="preserve">Année </w:t>
            </w:r>
          </w:p>
        </w:tc>
        <w:tc>
          <w:tcPr>
            <w:tcW w:w="1466" w:type="pct"/>
            <w:gridSpan w:val="2"/>
            <w:tcBorders>
              <w:top w:val="single" w:sz="4" w:space="0" w:color="auto"/>
              <w:left w:val="single" w:sz="4" w:space="0" w:color="auto"/>
              <w:bottom w:val="single" w:sz="4" w:space="0" w:color="auto"/>
              <w:right w:val="single" w:sz="4" w:space="0" w:color="auto"/>
            </w:tcBorders>
            <w:hideMark/>
          </w:tcPr>
          <w:p w14:paraId="5CEE5B82" w14:textId="77777777" w:rsidR="008862C7" w:rsidRDefault="008862C7">
            <w:pPr>
              <w:keepNext/>
              <w:keepLines/>
              <w:tabs>
                <w:tab w:val="left" w:pos="708"/>
              </w:tabs>
              <w:suppressAutoHyphens/>
              <w:spacing w:before="120" w:after="0" w:line="276" w:lineRule="auto"/>
              <w:ind w:firstLine="708"/>
              <w:jc w:val="both"/>
              <w:outlineLvl w:val="1"/>
              <w:rPr>
                <w:rFonts w:ascii="Arial" w:eastAsia="Times New Roman" w:hAnsi="Arial" w:cs="Arial"/>
                <w:b/>
                <w:sz w:val="20"/>
                <w:szCs w:val="20"/>
              </w:rPr>
            </w:pPr>
            <w:r>
              <w:rPr>
                <w:rFonts w:ascii="Arial" w:hAnsi="Arial" w:cs="Arial"/>
                <w:b/>
                <w:sz w:val="20"/>
                <w:szCs w:val="20"/>
              </w:rPr>
              <w:t>2001/02</w:t>
            </w:r>
          </w:p>
        </w:tc>
        <w:tc>
          <w:tcPr>
            <w:tcW w:w="1467" w:type="pct"/>
            <w:gridSpan w:val="2"/>
            <w:tcBorders>
              <w:top w:val="single" w:sz="4" w:space="0" w:color="auto"/>
              <w:left w:val="single" w:sz="4" w:space="0" w:color="auto"/>
              <w:bottom w:val="single" w:sz="4" w:space="0" w:color="auto"/>
              <w:right w:val="single" w:sz="4" w:space="0" w:color="auto"/>
            </w:tcBorders>
            <w:hideMark/>
          </w:tcPr>
          <w:p w14:paraId="3F3969E9" w14:textId="77777777" w:rsidR="008862C7" w:rsidRDefault="008862C7">
            <w:pPr>
              <w:keepNext/>
              <w:keepLines/>
              <w:tabs>
                <w:tab w:val="left" w:pos="708"/>
              </w:tabs>
              <w:suppressAutoHyphens/>
              <w:spacing w:before="120" w:after="0" w:line="276" w:lineRule="auto"/>
              <w:jc w:val="both"/>
              <w:outlineLvl w:val="1"/>
              <w:rPr>
                <w:rFonts w:ascii="Arial" w:eastAsia="Times New Roman" w:hAnsi="Arial" w:cs="Arial"/>
                <w:b/>
                <w:sz w:val="20"/>
                <w:szCs w:val="20"/>
              </w:rPr>
            </w:pPr>
            <w:r>
              <w:rPr>
                <w:rFonts w:ascii="Arial" w:hAnsi="Arial" w:cs="Arial"/>
                <w:b/>
                <w:sz w:val="20"/>
                <w:szCs w:val="20"/>
              </w:rPr>
              <w:t>2005/06</w:t>
            </w:r>
          </w:p>
        </w:tc>
        <w:tc>
          <w:tcPr>
            <w:tcW w:w="1448" w:type="pct"/>
            <w:gridSpan w:val="2"/>
            <w:tcBorders>
              <w:top w:val="single" w:sz="4" w:space="0" w:color="auto"/>
              <w:left w:val="single" w:sz="4" w:space="0" w:color="auto"/>
              <w:bottom w:val="single" w:sz="4" w:space="0" w:color="auto"/>
              <w:right w:val="single" w:sz="4" w:space="0" w:color="auto"/>
            </w:tcBorders>
            <w:hideMark/>
          </w:tcPr>
          <w:p w14:paraId="18A0E7C3" w14:textId="77777777" w:rsidR="008862C7" w:rsidRDefault="008862C7">
            <w:pPr>
              <w:keepNext/>
              <w:keepLines/>
              <w:tabs>
                <w:tab w:val="left" w:pos="708"/>
              </w:tabs>
              <w:suppressAutoHyphens/>
              <w:spacing w:before="120" w:after="0" w:line="276" w:lineRule="auto"/>
              <w:jc w:val="both"/>
              <w:outlineLvl w:val="1"/>
              <w:rPr>
                <w:rFonts w:ascii="Arial" w:eastAsia="Times New Roman" w:hAnsi="Arial" w:cs="Arial"/>
                <w:b/>
                <w:sz w:val="20"/>
                <w:szCs w:val="20"/>
              </w:rPr>
            </w:pPr>
            <w:r>
              <w:rPr>
                <w:rFonts w:ascii="Arial" w:hAnsi="Arial" w:cs="Arial"/>
                <w:b/>
                <w:sz w:val="20"/>
                <w:szCs w:val="20"/>
              </w:rPr>
              <w:t>2009/10</w:t>
            </w:r>
          </w:p>
        </w:tc>
      </w:tr>
      <w:tr w:rsidR="008862C7" w14:paraId="4E9E168A" w14:textId="77777777" w:rsidTr="008862C7">
        <w:trPr>
          <w:trHeight w:val="135"/>
        </w:trPr>
        <w:tc>
          <w:tcPr>
            <w:tcW w:w="619" w:type="pct"/>
            <w:tcBorders>
              <w:top w:val="single" w:sz="4" w:space="0" w:color="auto"/>
              <w:left w:val="single" w:sz="4" w:space="0" w:color="auto"/>
              <w:bottom w:val="single" w:sz="4" w:space="0" w:color="auto"/>
              <w:right w:val="single" w:sz="4" w:space="0" w:color="auto"/>
            </w:tcBorders>
            <w:hideMark/>
          </w:tcPr>
          <w:p w14:paraId="2FBCE7C0" w14:textId="77777777" w:rsidR="008862C7" w:rsidRDefault="008862C7">
            <w:pPr>
              <w:tabs>
                <w:tab w:val="left" w:pos="708"/>
              </w:tabs>
              <w:spacing w:before="120" w:after="0" w:line="276" w:lineRule="auto"/>
              <w:jc w:val="both"/>
              <w:rPr>
                <w:rFonts w:ascii="Arial" w:eastAsia="Times New Roman" w:hAnsi="Arial" w:cs="Arial"/>
                <w:sz w:val="20"/>
                <w:szCs w:val="20"/>
              </w:rPr>
            </w:pPr>
            <w:r>
              <w:rPr>
                <w:rFonts w:ascii="Arial" w:hAnsi="Arial" w:cs="Arial"/>
                <w:sz w:val="20"/>
                <w:szCs w:val="20"/>
              </w:rPr>
              <w:t xml:space="preserve">Rubrique </w:t>
            </w:r>
          </w:p>
        </w:tc>
        <w:tc>
          <w:tcPr>
            <w:tcW w:w="771" w:type="pct"/>
            <w:tcBorders>
              <w:top w:val="single" w:sz="4" w:space="0" w:color="auto"/>
              <w:left w:val="single" w:sz="4" w:space="0" w:color="auto"/>
              <w:bottom w:val="single" w:sz="4" w:space="0" w:color="auto"/>
              <w:right w:val="single" w:sz="4" w:space="0" w:color="auto"/>
            </w:tcBorders>
            <w:hideMark/>
          </w:tcPr>
          <w:p w14:paraId="7D137681" w14:textId="77777777" w:rsidR="008862C7" w:rsidRDefault="008862C7">
            <w:pPr>
              <w:tabs>
                <w:tab w:val="left" w:pos="708"/>
              </w:tabs>
              <w:spacing w:before="120" w:after="0" w:line="276" w:lineRule="auto"/>
              <w:jc w:val="center"/>
              <w:rPr>
                <w:rFonts w:ascii="Arial" w:eastAsia="Times New Roman" w:hAnsi="Arial" w:cs="Arial"/>
                <w:sz w:val="20"/>
                <w:szCs w:val="20"/>
                <w:vertAlign w:val="superscript"/>
              </w:rPr>
            </w:pPr>
            <w:r>
              <w:rPr>
                <w:rFonts w:ascii="Arial" w:hAnsi="Arial" w:cs="Arial"/>
                <w:sz w:val="20"/>
                <w:szCs w:val="20"/>
              </w:rPr>
              <w:t>Prix d’achat coton-graine</w:t>
            </w:r>
          </w:p>
        </w:tc>
        <w:tc>
          <w:tcPr>
            <w:tcW w:w="695" w:type="pct"/>
            <w:tcBorders>
              <w:top w:val="single" w:sz="4" w:space="0" w:color="auto"/>
              <w:left w:val="single" w:sz="4" w:space="0" w:color="auto"/>
              <w:bottom w:val="single" w:sz="4" w:space="0" w:color="auto"/>
              <w:right w:val="single" w:sz="4" w:space="0" w:color="auto"/>
            </w:tcBorders>
            <w:hideMark/>
          </w:tcPr>
          <w:p w14:paraId="6EB6372F"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Coût FOB</w:t>
            </w:r>
          </w:p>
        </w:tc>
        <w:tc>
          <w:tcPr>
            <w:tcW w:w="772" w:type="pct"/>
            <w:tcBorders>
              <w:top w:val="single" w:sz="4" w:space="0" w:color="auto"/>
              <w:left w:val="single" w:sz="4" w:space="0" w:color="auto"/>
              <w:bottom w:val="single" w:sz="4" w:space="0" w:color="auto"/>
              <w:right w:val="single" w:sz="4" w:space="0" w:color="auto"/>
            </w:tcBorders>
            <w:hideMark/>
          </w:tcPr>
          <w:p w14:paraId="5F6FFDE2" w14:textId="77777777" w:rsidR="008862C7" w:rsidRDefault="008862C7">
            <w:pPr>
              <w:tabs>
                <w:tab w:val="left" w:pos="708"/>
              </w:tabs>
              <w:spacing w:before="120" w:after="0" w:line="276" w:lineRule="auto"/>
              <w:jc w:val="center"/>
              <w:rPr>
                <w:rFonts w:ascii="Arial" w:eastAsia="Times New Roman" w:hAnsi="Arial" w:cs="Arial"/>
                <w:sz w:val="20"/>
                <w:szCs w:val="20"/>
                <w:vertAlign w:val="superscript"/>
              </w:rPr>
            </w:pPr>
            <w:r>
              <w:rPr>
                <w:rFonts w:ascii="Arial" w:hAnsi="Arial" w:cs="Arial"/>
                <w:sz w:val="20"/>
                <w:szCs w:val="20"/>
              </w:rPr>
              <w:t>Prix d’achat coton-graine</w:t>
            </w:r>
          </w:p>
        </w:tc>
        <w:tc>
          <w:tcPr>
            <w:tcW w:w="695" w:type="pct"/>
            <w:tcBorders>
              <w:top w:val="single" w:sz="4" w:space="0" w:color="auto"/>
              <w:left w:val="single" w:sz="4" w:space="0" w:color="auto"/>
              <w:bottom w:val="single" w:sz="4" w:space="0" w:color="auto"/>
              <w:right w:val="single" w:sz="4" w:space="0" w:color="auto"/>
            </w:tcBorders>
            <w:hideMark/>
          </w:tcPr>
          <w:p w14:paraId="666BB206"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Coût FOB</w:t>
            </w:r>
          </w:p>
        </w:tc>
        <w:tc>
          <w:tcPr>
            <w:tcW w:w="772" w:type="pct"/>
            <w:tcBorders>
              <w:top w:val="single" w:sz="4" w:space="0" w:color="auto"/>
              <w:left w:val="single" w:sz="4" w:space="0" w:color="auto"/>
              <w:bottom w:val="single" w:sz="4" w:space="0" w:color="auto"/>
              <w:right w:val="single" w:sz="4" w:space="0" w:color="auto"/>
            </w:tcBorders>
            <w:hideMark/>
          </w:tcPr>
          <w:p w14:paraId="4C9971BC" w14:textId="77777777" w:rsidR="008862C7" w:rsidRDefault="008862C7">
            <w:pPr>
              <w:tabs>
                <w:tab w:val="left" w:pos="708"/>
              </w:tabs>
              <w:spacing w:before="120" w:after="0" w:line="276" w:lineRule="auto"/>
              <w:jc w:val="center"/>
              <w:rPr>
                <w:rFonts w:ascii="Arial" w:eastAsia="Times New Roman" w:hAnsi="Arial" w:cs="Arial"/>
                <w:sz w:val="20"/>
                <w:szCs w:val="20"/>
                <w:vertAlign w:val="superscript"/>
              </w:rPr>
            </w:pPr>
            <w:r>
              <w:rPr>
                <w:rFonts w:ascii="Arial" w:hAnsi="Arial" w:cs="Arial"/>
                <w:sz w:val="20"/>
                <w:szCs w:val="20"/>
              </w:rPr>
              <w:t>Prix d’achat coton-graine</w:t>
            </w:r>
          </w:p>
        </w:tc>
        <w:tc>
          <w:tcPr>
            <w:tcW w:w="676" w:type="pct"/>
            <w:tcBorders>
              <w:top w:val="single" w:sz="4" w:space="0" w:color="auto"/>
              <w:left w:val="single" w:sz="4" w:space="0" w:color="auto"/>
              <w:bottom w:val="single" w:sz="4" w:space="0" w:color="auto"/>
              <w:right w:val="single" w:sz="4" w:space="0" w:color="auto"/>
            </w:tcBorders>
            <w:hideMark/>
          </w:tcPr>
          <w:p w14:paraId="35AD262B"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Coût FOB</w:t>
            </w:r>
          </w:p>
        </w:tc>
      </w:tr>
      <w:tr w:rsidR="008862C7" w14:paraId="32D91543" w14:textId="77777777" w:rsidTr="008862C7">
        <w:trPr>
          <w:trHeight w:val="171"/>
        </w:trPr>
        <w:tc>
          <w:tcPr>
            <w:tcW w:w="619" w:type="pct"/>
            <w:tcBorders>
              <w:top w:val="single" w:sz="4" w:space="0" w:color="auto"/>
              <w:left w:val="single" w:sz="4" w:space="0" w:color="auto"/>
              <w:bottom w:val="single" w:sz="4" w:space="0" w:color="auto"/>
              <w:right w:val="single" w:sz="4" w:space="0" w:color="auto"/>
            </w:tcBorders>
            <w:hideMark/>
          </w:tcPr>
          <w:p w14:paraId="21D37A96" w14:textId="77777777" w:rsidR="008862C7" w:rsidRDefault="008862C7">
            <w:pPr>
              <w:tabs>
                <w:tab w:val="left" w:pos="708"/>
              </w:tabs>
              <w:spacing w:before="120" w:after="0" w:line="276" w:lineRule="auto"/>
              <w:jc w:val="both"/>
              <w:rPr>
                <w:rFonts w:ascii="Arial" w:eastAsia="Times New Roman" w:hAnsi="Arial" w:cs="Arial"/>
                <w:sz w:val="20"/>
                <w:szCs w:val="20"/>
              </w:rPr>
            </w:pPr>
            <w:r>
              <w:rPr>
                <w:rFonts w:ascii="Arial" w:hAnsi="Arial" w:cs="Arial"/>
                <w:sz w:val="20"/>
                <w:szCs w:val="20"/>
              </w:rPr>
              <w:t>RCA</w:t>
            </w:r>
          </w:p>
        </w:tc>
        <w:tc>
          <w:tcPr>
            <w:tcW w:w="771" w:type="pct"/>
            <w:tcBorders>
              <w:top w:val="single" w:sz="4" w:space="0" w:color="auto"/>
              <w:left w:val="single" w:sz="4" w:space="0" w:color="auto"/>
              <w:bottom w:val="single" w:sz="4" w:space="0" w:color="auto"/>
              <w:right w:val="single" w:sz="4" w:space="0" w:color="auto"/>
            </w:tcBorders>
            <w:hideMark/>
          </w:tcPr>
          <w:p w14:paraId="491286C9"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149</w:t>
            </w:r>
          </w:p>
        </w:tc>
        <w:tc>
          <w:tcPr>
            <w:tcW w:w="695" w:type="pct"/>
            <w:tcBorders>
              <w:top w:val="single" w:sz="4" w:space="0" w:color="auto"/>
              <w:left w:val="single" w:sz="4" w:space="0" w:color="auto"/>
              <w:bottom w:val="single" w:sz="4" w:space="0" w:color="auto"/>
              <w:right w:val="single" w:sz="4" w:space="0" w:color="auto"/>
            </w:tcBorders>
            <w:hideMark/>
          </w:tcPr>
          <w:p w14:paraId="66C9B2FF"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825</w:t>
            </w:r>
          </w:p>
        </w:tc>
        <w:tc>
          <w:tcPr>
            <w:tcW w:w="772" w:type="pct"/>
            <w:tcBorders>
              <w:top w:val="single" w:sz="4" w:space="0" w:color="auto"/>
              <w:left w:val="single" w:sz="4" w:space="0" w:color="auto"/>
              <w:bottom w:val="single" w:sz="4" w:space="0" w:color="auto"/>
              <w:right w:val="single" w:sz="4" w:space="0" w:color="auto"/>
            </w:tcBorders>
            <w:hideMark/>
          </w:tcPr>
          <w:p w14:paraId="62E4C2A4"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149</w:t>
            </w:r>
          </w:p>
        </w:tc>
        <w:tc>
          <w:tcPr>
            <w:tcW w:w="695" w:type="pct"/>
            <w:tcBorders>
              <w:top w:val="single" w:sz="4" w:space="0" w:color="auto"/>
              <w:left w:val="single" w:sz="4" w:space="0" w:color="auto"/>
              <w:bottom w:val="single" w:sz="4" w:space="0" w:color="auto"/>
              <w:right w:val="single" w:sz="4" w:space="0" w:color="auto"/>
            </w:tcBorders>
            <w:hideMark/>
          </w:tcPr>
          <w:p w14:paraId="7D0BFDE4"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766</w:t>
            </w:r>
          </w:p>
        </w:tc>
        <w:tc>
          <w:tcPr>
            <w:tcW w:w="772" w:type="pct"/>
            <w:tcBorders>
              <w:top w:val="single" w:sz="4" w:space="0" w:color="auto"/>
              <w:left w:val="single" w:sz="4" w:space="0" w:color="auto"/>
              <w:bottom w:val="single" w:sz="4" w:space="0" w:color="auto"/>
              <w:right w:val="single" w:sz="4" w:space="0" w:color="auto"/>
            </w:tcBorders>
            <w:hideMark/>
          </w:tcPr>
          <w:p w14:paraId="50181EBF"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150</w:t>
            </w:r>
          </w:p>
        </w:tc>
        <w:tc>
          <w:tcPr>
            <w:tcW w:w="676" w:type="pct"/>
            <w:tcBorders>
              <w:top w:val="single" w:sz="4" w:space="0" w:color="auto"/>
              <w:left w:val="single" w:sz="4" w:space="0" w:color="auto"/>
              <w:bottom w:val="single" w:sz="4" w:space="0" w:color="auto"/>
              <w:right w:val="single" w:sz="4" w:space="0" w:color="auto"/>
            </w:tcBorders>
            <w:hideMark/>
          </w:tcPr>
          <w:p w14:paraId="4860563C"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840</w:t>
            </w:r>
          </w:p>
        </w:tc>
      </w:tr>
      <w:tr w:rsidR="008862C7" w14:paraId="5BAD6AF2" w14:textId="77777777" w:rsidTr="008862C7">
        <w:tc>
          <w:tcPr>
            <w:tcW w:w="619" w:type="pct"/>
            <w:tcBorders>
              <w:top w:val="single" w:sz="4" w:space="0" w:color="auto"/>
              <w:left w:val="single" w:sz="4" w:space="0" w:color="auto"/>
              <w:bottom w:val="single" w:sz="4" w:space="0" w:color="auto"/>
              <w:right w:val="single" w:sz="4" w:space="0" w:color="auto"/>
            </w:tcBorders>
            <w:hideMark/>
          </w:tcPr>
          <w:p w14:paraId="4D118088" w14:textId="77777777" w:rsidR="008862C7" w:rsidRDefault="008862C7">
            <w:pPr>
              <w:tabs>
                <w:tab w:val="left" w:pos="708"/>
              </w:tabs>
              <w:spacing w:before="120" w:after="0" w:line="276" w:lineRule="auto"/>
              <w:jc w:val="both"/>
              <w:rPr>
                <w:rFonts w:ascii="Arial" w:eastAsia="Times New Roman" w:hAnsi="Arial" w:cs="Arial"/>
                <w:sz w:val="20"/>
                <w:szCs w:val="20"/>
              </w:rPr>
            </w:pPr>
            <w:r>
              <w:rPr>
                <w:rFonts w:ascii="Arial" w:hAnsi="Arial" w:cs="Arial"/>
                <w:sz w:val="20"/>
                <w:szCs w:val="20"/>
              </w:rPr>
              <w:t>Tchad</w:t>
            </w:r>
          </w:p>
        </w:tc>
        <w:tc>
          <w:tcPr>
            <w:tcW w:w="771" w:type="pct"/>
            <w:tcBorders>
              <w:top w:val="single" w:sz="4" w:space="0" w:color="auto"/>
              <w:left w:val="single" w:sz="4" w:space="0" w:color="auto"/>
              <w:bottom w:val="single" w:sz="4" w:space="0" w:color="auto"/>
              <w:right w:val="single" w:sz="4" w:space="0" w:color="auto"/>
            </w:tcBorders>
            <w:hideMark/>
          </w:tcPr>
          <w:p w14:paraId="337CCF67"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165</w:t>
            </w:r>
          </w:p>
        </w:tc>
        <w:tc>
          <w:tcPr>
            <w:tcW w:w="695" w:type="pct"/>
            <w:tcBorders>
              <w:top w:val="single" w:sz="4" w:space="0" w:color="auto"/>
              <w:left w:val="single" w:sz="4" w:space="0" w:color="auto"/>
              <w:bottom w:val="single" w:sz="4" w:space="0" w:color="auto"/>
              <w:right w:val="single" w:sz="4" w:space="0" w:color="auto"/>
            </w:tcBorders>
            <w:hideMark/>
          </w:tcPr>
          <w:p w14:paraId="562D6EC5"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780</w:t>
            </w:r>
          </w:p>
        </w:tc>
        <w:tc>
          <w:tcPr>
            <w:tcW w:w="772" w:type="pct"/>
            <w:tcBorders>
              <w:top w:val="single" w:sz="4" w:space="0" w:color="auto"/>
              <w:left w:val="single" w:sz="4" w:space="0" w:color="auto"/>
              <w:bottom w:val="single" w:sz="4" w:space="0" w:color="auto"/>
              <w:right w:val="single" w:sz="4" w:space="0" w:color="auto"/>
            </w:tcBorders>
            <w:hideMark/>
          </w:tcPr>
          <w:p w14:paraId="27FF58EE"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165</w:t>
            </w:r>
          </w:p>
        </w:tc>
        <w:tc>
          <w:tcPr>
            <w:tcW w:w="695" w:type="pct"/>
            <w:tcBorders>
              <w:top w:val="single" w:sz="4" w:space="0" w:color="auto"/>
              <w:left w:val="single" w:sz="4" w:space="0" w:color="auto"/>
              <w:bottom w:val="single" w:sz="4" w:space="0" w:color="auto"/>
              <w:right w:val="single" w:sz="4" w:space="0" w:color="auto"/>
            </w:tcBorders>
            <w:hideMark/>
          </w:tcPr>
          <w:p w14:paraId="0A036261"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639</w:t>
            </w:r>
          </w:p>
        </w:tc>
        <w:tc>
          <w:tcPr>
            <w:tcW w:w="772" w:type="pct"/>
            <w:tcBorders>
              <w:top w:val="single" w:sz="4" w:space="0" w:color="auto"/>
              <w:left w:val="single" w:sz="4" w:space="0" w:color="auto"/>
              <w:bottom w:val="single" w:sz="4" w:space="0" w:color="auto"/>
              <w:right w:val="single" w:sz="4" w:space="0" w:color="auto"/>
            </w:tcBorders>
            <w:hideMark/>
          </w:tcPr>
          <w:p w14:paraId="3EE1D464"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180</w:t>
            </w:r>
          </w:p>
        </w:tc>
        <w:tc>
          <w:tcPr>
            <w:tcW w:w="676" w:type="pct"/>
            <w:tcBorders>
              <w:top w:val="single" w:sz="4" w:space="0" w:color="auto"/>
              <w:left w:val="single" w:sz="4" w:space="0" w:color="auto"/>
              <w:bottom w:val="single" w:sz="4" w:space="0" w:color="auto"/>
              <w:right w:val="single" w:sz="4" w:space="0" w:color="auto"/>
            </w:tcBorders>
            <w:hideMark/>
          </w:tcPr>
          <w:p w14:paraId="789DE029" w14:textId="77777777" w:rsidR="008862C7" w:rsidRDefault="008862C7">
            <w:pPr>
              <w:tabs>
                <w:tab w:val="left" w:pos="708"/>
              </w:tabs>
              <w:spacing w:before="120" w:after="0" w:line="276" w:lineRule="auto"/>
              <w:jc w:val="center"/>
              <w:rPr>
                <w:rFonts w:ascii="Arial" w:eastAsia="Times New Roman" w:hAnsi="Arial" w:cs="Arial"/>
                <w:sz w:val="20"/>
                <w:szCs w:val="20"/>
              </w:rPr>
            </w:pPr>
            <w:r>
              <w:rPr>
                <w:rFonts w:ascii="Arial" w:hAnsi="Arial" w:cs="Arial"/>
                <w:sz w:val="20"/>
                <w:szCs w:val="20"/>
              </w:rPr>
              <w:t>823</w:t>
            </w:r>
          </w:p>
        </w:tc>
      </w:tr>
    </w:tbl>
    <w:p w14:paraId="26ECAF0A"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 xml:space="preserve">Source : </w:t>
      </w:r>
      <w:commentRangeStart w:id="264"/>
      <w:r>
        <w:rPr>
          <w:rFonts w:ascii="Arial" w:hAnsi="Arial" w:cs="Arial"/>
          <w:sz w:val="20"/>
          <w:szCs w:val="24"/>
        </w:rPr>
        <w:t>BEAC et Cellule coton</w:t>
      </w:r>
      <w:commentRangeEnd w:id="264"/>
      <w:r>
        <w:rPr>
          <w:rStyle w:val="Marquedecommentaire"/>
          <w:rFonts w:eastAsia="Times New Roman" w:cs="Times New Roman"/>
        </w:rPr>
        <w:commentReference w:id="264"/>
      </w:r>
      <w:r>
        <w:rPr>
          <w:rFonts w:ascii="Arial" w:hAnsi="Arial" w:cs="Arial"/>
          <w:sz w:val="20"/>
          <w:szCs w:val="24"/>
        </w:rPr>
        <w:t>, 2012</w:t>
      </w:r>
    </w:p>
    <w:p w14:paraId="6103E667"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Par rapport au coût, le coton centrafricain est nettement moins compétitif que le coton Tchadien par exemple. En prenant comme année de référence la campagne 2001/2002, alors que le prix au producteur était nettement plus bas en RCA qu’au Tchad (149 FCFA/kg contre 165 FCFA/kg), le prix FOB du coton centrafricain était de 6% plus élevé que celui du coton tchadien (825 FCFA/kg contre seulement 780 FCFA/kg). De même, lors des campagnes 2005/06 et 2009/10 alors que les prix aux producteurs sont respectivement de 159 FCFA/kg et 180 FCFA/kg au Tchad contre 134 FCFA/Kg et 150 FCFA/Kg en RCA, le prix FOB est de 639 FCFA/Kg en 2005/06 et 823 FCFA/Kg en 2009/10 au Tchad alors qu’en RCA ce coût est de 766 FCFA/Kg en 2005/06 et 840FCFA/Kg en 2009/10 soit respectivement 20% et 2% plus élevé en RCA qu’au Tchad. </w:t>
      </w:r>
    </w:p>
    <w:p w14:paraId="6DAADA1A" w14:textId="77777777" w:rsidR="008862C7" w:rsidRDefault="008862C7" w:rsidP="008862C7">
      <w:pPr>
        <w:pStyle w:val="Titre8"/>
        <w:numPr>
          <w:ilvl w:val="0"/>
          <w:numId w:val="43"/>
        </w:numPr>
        <w:spacing w:before="120"/>
        <w:rPr>
          <w:rFonts w:ascii="Arial" w:hAnsi="Arial" w:cs="Arial"/>
          <w:b/>
          <w:color w:val="auto"/>
          <w:sz w:val="24"/>
          <w:szCs w:val="28"/>
        </w:rPr>
      </w:pPr>
      <w:bookmarkStart w:id="265" w:name="_Toc395107679"/>
      <w:bookmarkStart w:id="266" w:name="_Toc321251084"/>
      <w:r>
        <w:rPr>
          <w:rFonts w:ascii="Arial" w:hAnsi="Arial" w:cs="Arial"/>
          <w:b/>
          <w:color w:val="auto"/>
          <w:sz w:val="24"/>
          <w:szCs w:val="28"/>
        </w:rPr>
        <w:lastRenderedPageBreak/>
        <w:t>Coût de transport</w:t>
      </w:r>
      <w:bookmarkEnd w:id="265"/>
      <w:bookmarkEnd w:id="266"/>
    </w:p>
    <w:p w14:paraId="4E7E0BB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L’enclavement de la RCA pèse lourdement sur la compétitivité de ses produits exportables au travers des coûts supplémentaires de transport liés à sa position géographique. En règle générale, il est admis que les pays disposant d’un accès direct à des ports maritimes et d’infrastructures économiques et routières de meilleure qualité affichent des coûts de transport relativement inférieur à ceux des pays sans littoral où dont les infrastructures sont moins développées. </w:t>
      </w:r>
    </w:p>
    <w:p w14:paraId="5495018A"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A titre d’exemple, le transport d’un kg de coton fibre de Bossangoa ou de Bambari à Douala est respectivement de 150 FCFA/Kg et 105 FCFA/Kg en 2012, alors qu’il n’est que de 56 FCFA/Kg entre l’usine de Touboro (Cameroun pays côtier) et le port de Douala. Pour un pays sans littoral comme le Tchad, le tableau ci-dessous nous permet de comparer la structure des coûts avec la RCA.</w:t>
      </w:r>
    </w:p>
    <w:p w14:paraId="7368E797" w14:textId="77777777" w:rsidR="008862C7" w:rsidRDefault="008862C7" w:rsidP="008862C7">
      <w:pPr>
        <w:spacing w:before="120" w:after="0" w:line="360" w:lineRule="auto"/>
        <w:jc w:val="both"/>
        <w:rPr>
          <w:rFonts w:ascii="Arial" w:hAnsi="Arial" w:cs="Arial"/>
          <w:b/>
          <w:sz w:val="24"/>
          <w:szCs w:val="24"/>
        </w:rPr>
      </w:pPr>
      <w:r>
        <w:rPr>
          <w:rFonts w:ascii="Arial" w:hAnsi="Arial" w:cs="Arial"/>
          <w:b/>
          <w:sz w:val="24"/>
          <w:szCs w:val="24"/>
        </w:rPr>
        <w:t>Tableau 4.2 :</w:t>
      </w:r>
      <w:r>
        <w:rPr>
          <w:rFonts w:ascii="Arial" w:hAnsi="Arial" w:cs="Arial"/>
          <w:sz w:val="24"/>
          <w:szCs w:val="24"/>
        </w:rPr>
        <w:t xml:space="preserve"> Répartition du coût de transport du coton en Afrique centrale (FCFA/kg)</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1105"/>
        <w:gridCol w:w="1111"/>
        <w:gridCol w:w="1248"/>
        <w:gridCol w:w="1287"/>
        <w:gridCol w:w="1287"/>
        <w:gridCol w:w="1185"/>
      </w:tblGrid>
      <w:tr w:rsidR="008862C7" w14:paraId="01244175" w14:textId="77777777" w:rsidTr="008862C7">
        <w:trPr>
          <w:jc w:val="center"/>
        </w:trPr>
        <w:tc>
          <w:tcPr>
            <w:tcW w:w="1476" w:type="pct"/>
            <w:vMerge w:val="restart"/>
            <w:tcBorders>
              <w:top w:val="single" w:sz="4" w:space="0" w:color="auto"/>
              <w:left w:val="single" w:sz="4" w:space="0" w:color="auto"/>
              <w:bottom w:val="single" w:sz="4" w:space="0" w:color="auto"/>
              <w:right w:val="single" w:sz="4" w:space="0" w:color="auto"/>
            </w:tcBorders>
            <w:vAlign w:val="center"/>
            <w:hideMark/>
          </w:tcPr>
          <w:p w14:paraId="1A89919B"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Rubrique</w:t>
            </w:r>
          </w:p>
        </w:tc>
        <w:tc>
          <w:tcPr>
            <w:tcW w:w="1080" w:type="pct"/>
            <w:gridSpan w:val="2"/>
            <w:tcBorders>
              <w:top w:val="single" w:sz="4" w:space="0" w:color="auto"/>
              <w:left w:val="single" w:sz="4" w:space="0" w:color="auto"/>
              <w:bottom w:val="single" w:sz="4" w:space="0" w:color="auto"/>
              <w:right w:val="single" w:sz="4" w:space="0" w:color="auto"/>
            </w:tcBorders>
            <w:vAlign w:val="center"/>
            <w:hideMark/>
          </w:tcPr>
          <w:p w14:paraId="2AA3A3A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2001/2002</w:t>
            </w:r>
          </w:p>
        </w:tc>
        <w:tc>
          <w:tcPr>
            <w:tcW w:w="1237" w:type="pct"/>
            <w:gridSpan w:val="2"/>
            <w:tcBorders>
              <w:top w:val="single" w:sz="4" w:space="0" w:color="auto"/>
              <w:left w:val="single" w:sz="4" w:space="0" w:color="auto"/>
              <w:bottom w:val="single" w:sz="4" w:space="0" w:color="auto"/>
              <w:right w:val="single" w:sz="4" w:space="0" w:color="auto"/>
            </w:tcBorders>
            <w:vAlign w:val="center"/>
            <w:hideMark/>
          </w:tcPr>
          <w:p w14:paraId="62C9136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2005/2006</w:t>
            </w:r>
          </w:p>
        </w:tc>
        <w:tc>
          <w:tcPr>
            <w:tcW w:w="1207" w:type="pct"/>
            <w:gridSpan w:val="2"/>
            <w:tcBorders>
              <w:top w:val="single" w:sz="4" w:space="0" w:color="auto"/>
              <w:left w:val="single" w:sz="4" w:space="0" w:color="auto"/>
              <w:bottom w:val="single" w:sz="4" w:space="0" w:color="auto"/>
              <w:right w:val="single" w:sz="4" w:space="0" w:color="auto"/>
            </w:tcBorders>
            <w:vAlign w:val="center"/>
            <w:hideMark/>
          </w:tcPr>
          <w:p w14:paraId="56FB48C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2009/2010</w:t>
            </w:r>
          </w:p>
        </w:tc>
      </w:tr>
      <w:tr w:rsidR="008862C7" w14:paraId="5CF18586" w14:textId="77777777" w:rsidTr="008862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FD156" w14:textId="77777777" w:rsidR="008862C7" w:rsidRDefault="008862C7">
            <w:pPr>
              <w:spacing w:after="0" w:line="240" w:lineRule="auto"/>
              <w:rPr>
                <w:rFonts w:ascii="Arial" w:eastAsia="Times New Roman" w:hAnsi="Arial" w:cs="Arial"/>
              </w:rPr>
            </w:pPr>
          </w:p>
        </w:tc>
        <w:tc>
          <w:tcPr>
            <w:tcW w:w="539" w:type="pct"/>
            <w:tcBorders>
              <w:top w:val="single" w:sz="4" w:space="0" w:color="auto"/>
              <w:left w:val="single" w:sz="4" w:space="0" w:color="auto"/>
              <w:bottom w:val="single" w:sz="4" w:space="0" w:color="auto"/>
              <w:right w:val="single" w:sz="4" w:space="0" w:color="auto"/>
            </w:tcBorders>
            <w:vAlign w:val="center"/>
            <w:hideMark/>
          </w:tcPr>
          <w:p w14:paraId="193EB40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RCA</w:t>
            </w:r>
          </w:p>
        </w:tc>
        <w:tc>
          <w:tcPr>
            <w:tcW w:w="542" w:type="pct"/>
            <w:tcBorders>
              <w:top w:val="single" w:sz="4" w:space="0" w:color="auto"/>
              <w:left w:val="single" w:sz="4" w:space="0" w:color="auto"/>
              <w:bottom w:val="single" w:sz="4" w:space="0" w:color="auto"/>
              <w:right w:val="single" w:sz="4" w:space="0" w:color="auto"/>
            </w:tcBorders>
            <w:vAlign w:val="center"/>
            <w:hideMark/>
          </w:tcPr>
          <w:p w14:paraId="158E139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Tchad</w:t>
            </w:r>
          </w:p>
        </w:tc>
        <w:tc>
          <w:tcPr>
            <w:tcW w:w="609" w:type="pct"/>
            <w:tcBorders>
              <w:top w:val="single" w:sz="4" w:space="0" w:color="auto"/>
              <w:left w:val="single" w:sz="4" w:space="0" w:color="auto"/>
              <w:bottom w:val="single" w:sz="4" w:space="0" w:color="auto"/>
              <w:right w:val="single" w:sz="4" w:space="0" w:color="auto"/>
            </w:tcBorders>
            <w:vAlign w:val="center"/>
            <w:hideMark/>
          </w:tcPr>
          <w:p w14:paraId="0691680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RCA</w:t>
            </w:r>
          </w:p>
        </w:tc>
        <w:tc>
          <w:tcPr>
            <w:tcW w:w="628" w:type="pct"/>
            <w:tcBorders>
              <w:top w:val="single" w:sz="4" w:space="0" w:color="auto"/>
              <w:left w:val="single" w:sz="4" w:space="0" w:color="auto"/>
              <w:bottom w:val="single" w:sz="4" w:space="0" w:color="auto"/>
              <w:right w:val="single" w:sz="4" w:space="0" w:color="auto"/>
            </w:tcBorders>
            <w:vAlign w:val="center"/>
            <w:hideMark/>
          </w:tcPr>
          <w:p w14:paraId="1350EA4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Tchad</w:t>
            </w:r>
          </w:p>
        </w:tc>
        <w:tc>
          <w:tcPr>
            <w:tcW w:w="628" w:type="pct"/>
            <w:tcBorders>
              <w:top w:val="single" w:sz="4" w:space="0" w:color="auto"/>
              <w:left w:val="single" w:sz="4" w:space="0" w:color="auto"/>
              <w:bottom w:val="single" w:sz="4" w:space="0" w:color="auto"/>
              <w:right w:val="single" w:sz="4" w:space="0" w:color="auto"/>
            </w:tcBorders>
            <w:vAlign w:val="center"/>
            <w:hideMark/>
          </w:tcPr>
          <w:p w14:paraId="22376FF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RCA</w:t>
            </w:r>
          </w:p>
        </w:tc>
        <w:tc>
          <w:tcPr>
            <w:tcW w:w="579" w:type="pct"/>
            <w:tcBorders>
              <w:top w:val="single" w:sz="4" w:space="0" w:color="auto"/>
              <w:left w:val="single" w:sz="4" w:space="0" w:color="auto"/>
              <w:bottom w:val="single" w:sz="4" w:space="0" w:color="auto"/>
              <w:right w:val="single" w:sz="4" w:space="0" w:color="auto"/>
            </w:tcBorders>
            <w:vAlign w:val="center"/>
            <w:hideMark/>
          </w:tcPr>
          <w:p w14:paraId="43CE507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Tchad</w:t>
            </w:r>
          </w:p>
        </w:tc>
      </w:tr>
      <w:tr w:rsidR="008862C7" w14:paraId="516E741B" w14:textId="77777777" w:rsidTr="008862C7">
        <w:trPr>
          <w:jc w:val="center"/>
        </w:trPr>
        <w:tc>
          <w:tcPr>
            <w:tcW w:w="1476" w:type="pct"/>
            <w:tcBorders>
              <w:top w:val="single" w:sz="4" w:space="0" w:color="auto"/>
              <w:left w:val="single" w:sz="4" w:space="0" w:color="auto"/>
              <w:bottom w:val="single" w:sz="4" w:space="0" w:color="auto"/>
              <w:right w:val="single" w:sz="4" w:space="0" w:color="auto"/>
            </w:tcBorders>
            <w:vAlign w:val="center"/>
            <w:hideMark/>
          </w:tcPr>
          <w:p w14:paraId="389C4A89"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Prix au producteur</w:t>
            </w:r>
          </w:p>
        </w:tc>
        <w:tc>
          <w:tcPr>
            <w:tcW w:w="539" w:type="pct"/>
            <w:tcBorders>
              <w:top w:val="single" w:sz="4" w:space="0" w:color="auto"/>
              <w:left w:val="single" w:sz="4" w:space="0" w:color="auto"/>
              <w:bottom w:val="single" w:sz="4" w:space="0" w:color="auto"/>
              <w:right w:val="single" w:sz="4" w:space="0" w:color="auto"/>
            </w:tcBorders>
            <w:vAlign w:val="center"/>
            <w:hideMark/>
          </w:tcPr>
          <w:p w14:paraId="5EE42FF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149</w:t>
            </w:r>
          </w:p>
        </w:tc>
        <w:tc>
          <w:tcPr>
            <w:tcW w:w="542" w:type="pct"/>
            <w:tcBorders>
              <w:top w:val="single" w:sz="4" w:space="0" w:color="auto"/>
              <w:left w:val="single" w:sz="4" w:space="0" w:color="auto"/>
              <w:bottom w:val="single" w:sz="4" w:space="0" w:color="auto"/>
              <w:right w:val="single" w:sz="4" w:space="0" w:color="auto"/>
            </w:tcBorders>
            <w:vAlign w:val="center"/>
            <w:hideMark/>
          </w:tcPr>
          <w:p w14:paraId="73116B3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165</w:t>
            </w:r>
          </w:p>
        </w:tc>
        <w:tc>
          <w:tcPr>
            <w:tcW w:w="609" w:type="pct"/>
            <w:tcBorders>
              <w:top w:val="single" w:sz="4" w:space="0" w:color="auto"/>
              <w:left w:val="single" w:sz="4" w:space="0" w:color="auto"/>
              <w:bottom w:val="single" w:sz="4" w:space="0" w:color="auto"/>
              <w:right w:val="single" w:sz="4" w:space="0" w:color="auto"/>
            </w:tcBorders>
            <w:vAlign w:val="center"/>
            <w:hideMark/>
          </w:tcPr>
          <w:p w14:paraId="7E4B6F0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134</w:t>
            </w:r>
          </w:p>
        </w:tc>
        <w:tc>
          <w:tcPr>
            <w:tcW w:w="628" w:type="pct"/>
            <w:tcBorders>
              <w:top w:val="single" w:sz="4" w:space="0" w:color="auto"/>
              <w:left w:val="single" w:sz="4" w:space="0" w:color="auto"/>
              <w:bottom w:val="single" w:sz="4" w:space="0" w:color="auto"/>
              <w:right w:val="single" w:sz="4" w:space="0" w:color="auto"/>
            </w:tcBorders>
            <w:vAlign w:val="center"/>
            <w:hideMark/>
          </w:tcPr>
          <w:p w14:paraId="2EEE589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159</w:t>
            </w:r>
          </w:p>
        </w:tc>
        <w:tc>
          <w:tcPr>
            <w:tcW w:w="628" w:type="pct"/>
            <w:tcBorders>
              <w:top w:val="single" w:sz="4" w:space="0" w:color="auto"/>
              <w:left w:val="single" w:sz="4" w:space="0" w:color="auto"/>
              <w:bottom w:val="single" w:sz="4" w:space="0" w:color="auto"/>
              <w:right w:val="single" w:sz="4" w:space="0" w:color="auto"/>
            </w:tcBorders>
            <w:vAlign w:val="center"/>
            <w:hideMark/>
          </w:tcPr>
          <w:p w14:paraId="08C9BA5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150</w:t>
            </w:r>
          </w:p>
        </w:tc>
        <w:tc>
          <w:tcPr>
            <w:tcW w:w="579" w:type="pct"/>
            <w:tcBorders>
              <w:top w:val="single" w:sz="4" w:space="0" w:color="auto"/>
              <w:left w:val="single" w:sz="4" w:space="0" w:color="auto"/>
              <w:bottom w:val="single" w:sz="4" w:space="0" w:color="auto"/>
              <w:right w:val="single" w:sz="4" w:space="0" w:color="auto"/>
            </w:tcBorders>
            <w:vAlign w:val="center"/>
            <w:hideMark/>
          </w:tcPr>
          <w:p w14:paraId="3DFDECB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180</w:t>
            </w:r>
          </w:p>
        </w:tc>
      </w:tr>
      <w:tr w:rsidR="008862C7" w14:paraId="7B20ACA7" w14:textId="77777777" w:rsidTr="008862C7">
        <w:trPr>
          <w:jc w:val="center"/>
        </w:trPr>
        <w:tc>
          <w:tcPr>
            <w:tcW w:w="1476" w:type="pct"/>
            <w:tcBorders>
              <w:top w:val="single" w:sz="4" w:space="0" w:color="auto"/>
              <w:left w:val="single" w:sz="4" w:space="0" w:color="auto"/>
              <w:bottom w:val="single" w:sz="4" w:space="0" w:color="auto"/>
              <w:right w:val="single" w:sz="4" w:space="0" w:color="auto"/>
            </w:tcBorders>
            <w:vAlign w:val="center"/>
            <w:hideMark/>
          </w:tcPr>
          <w:p w14:paraId="15690AED"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Autres coûts</w:t>
            </w:r>
          </w:p>
        </w:tc>
        <w:tc>
          <w:tcPr>
            <w:tcW w:w="539" w:type="pct"/>
            <w:tcBorders>
              <w:top w:val="single" w:sz="4" w:space="0" w:color="auto"/>
              <w:left w:val="single" w:sz="4" w:space="0" w:color="auto"/>
              <w:bottom w:val="single" w:sz="4" w:space="0" w:color="auto"/>
              <w:right w:val="single" w:sz="4" w:space="0" w:color="auto"/>
            </w:tcBorders>
            <w:vAlign w:val="center"/>
            <w:hideMark/>
          </w:tcPr>
          <w:p w14:paraId="79D4D4C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726</w:t>
            </w:r>
          </w:p>
        </w:tc>
        <w:tc>
          <w:tcPr>
            <w:tcW w:w="542" w:type="pct"/>
            <w:tcBorders>
              <w:top w:val="single" w:sz="4" w:space="0" w:color="auto"/>
              <w:left w:val="single" w:sz="4" w:space="0" w:color="auto"/>
              <w:bottom w:val="single" w:sz="4" w:space="0" w:color="auto"/>
              <w:right w:val="single" w:sz="4" w:space="0" w:color="auto"/>
            </w:tcBorders>
            <w:vAlign w:val="center"/>
            <w:hideMark/>
          </w:tcPr>
          <w:p w14:paraId="74F3B65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703</w:t>
            </w:r>
          </w:p>
        </w:tc>
        <w:tc>
          <w:tcPr>
            <w:tcW w:w="609" w:type="pct"/>
            <w:tcBorders>
              <w:top w:val="single" w:sz="4" w:space="0" w:color="auto"/>
              <w:left w:val="single" w:sz="4" w:space="0" w:color="auto"/>
              <w:bottom w:val="single" w:sz="4" w:space="0" w:color="auto"/>
              <w:right w:val="single" w:sz="4" w:space="0" w:color="auto"/>
            </w:tcBorders>
            <w:vAlign w:val="center"/>
            <w:hideMark/>
          </w:tcPr>
          <w:p w14:paraId="44A76F7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632</w:t>
            </w:r>
          </w:p>
        </w:tc>
        <w:tc>
          <w:tcPr>
            <w:tcW w:w="628" w:type="pct"/>
            <w:tcBorders>
              <w:top w:val="single" w:sz="4" w:space="0" w:color="auto"/>
              <w:left w:val="single" w:sz="4" w:space="0" w:color="auto"/>
              <w:bottom w:val="single" w:sz="4" w:space="0" w:color="auto"/>
              <w:right w:val="single" w:sz="4" w:space="0" w:color="auto"/>
            </w:tcBorders>
            <w:vAlign w:val="center"/>
            <w:hideMark/>
          </w:tcPr>
          <w:p w14:paraId="666B064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480</w:t>
            </w:r>
          </w:p>
        </w:tc>
        <w:tc>
          <w:tcPr>
            <w:tcW w:w="628" w:type="pct"/>
            <w:tcBorders>
              <w:top w:val="single" w:sz="4" w:space="0" w:color="auto"/>
              <w:left w:val="single" w:sz="4" w:space="0" w:color="auto"/>
              <w:bottom w:val="single" w:sz="4" w:space="0" w:color="auto"/>
              <w:right w:val="single" w:sz="4" w:space="0" w:color="auto"/>
            </w:tcBorders>
            <w:vAlign w:val="center"/>
            <w:hideMark/>
          </w:tcPr>
          <w:p w14:paraId="32DDF0B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690</w:t>
            </w:r>
          </w:p>
        </w:tc>
        <w:tc>
          <w:tcPr>
            <w:tcW w:w="579" w:type="pct"/>
            <w:tcBorders>
              <w:top w:val="single" w:sz="4" w:space="0" w:color="auto"/>
              <w:left w:val="single" w:sz="4" w:space="0" w:color="auto"/>
              <w:bottom w:val="single" w:sz="4" w:space="0" w:color="auto"/>
              <w:right w:val="single" w:sz="4" w:space="0" w:color="auto"/>
            </w:tcBorders>
            <w:vAlign w:val="center"/>
            <w:hideMark/>
          </w:tcPr>
          <w:p w14:paraId="0769A66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654</w:t>
            </w:r>
          </w:p>
        </w:tc>
      </w:tr>
      <w:tr w:rsidR="008862C7" w14:paraId="4CA2CC16" w14:textId="77777777" w:rsidTr="008862C7">
        <w:trPr>
          <w:jc w:val="center"/>
        </w:trPr>
        <w:tc>
          <w:tcPr>
            <w:tcW w:w="1476" w:type="pct"/>
            <w:tcBorders>
              <w:top w:val="single" w:sz="4" w:space="0" w:color="auto"/>
              <w:left w:val="single" w:sz="4" w:space="0" w:color="auto"/>
              <w:bottom w:val="single" w:sz="4" w:space="0" w:color="auto"/>
              <w:right w:val="single" w:sz="4" w:space="0" w:color="auto"/>
            </w:tcBorders>
            <w:vAlign w:val="center"/>
            <w:hideMark/>
          </w:tcPr>
          <w:p w14:paraId="2F8C8592"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Dont transport</w:t>
            </w:r>
          </w:p>
        </w:tc>
        <w:tc>
          <w:tcPr>
            <w:tcW w:w="539" w:type="pct"/>
            <w:tcBorders>
              <w:top w:val="single" w:sz="4" w:space="0" w:color="auto"/>
              <w:left w:val="single" w:sz="4" w:space="0" w:color="auto"/>
              <w:bottom w:val="single" w:sz="4" w:space="0" w:color="auto"/>
              <w:right w:val="single" w:sz="4" w:space="0" w:color="auto"/>
            </w:tcBorders>
            <w:vAlign w:val="center"/>
            <w:hideMark/>
          </w:tcPr>
          <w:p w14:paraId="3CECF21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98</w:t>
            </w:r>
          </w:p>
        </w:tc>
        <w:tc>
          <w:tcPr>
            <w:tcW w:w="542" w:type="pct"/>
            <w:tcBorders>
              <w:top w:val="single" w:sz="4" w:space="0" w:color="auto"/>
              <w:left w:val="single" w:sz="4" w:space="0" w:color="auto"/>
              <w:bottom w:val="single" w:sz="4" w:space="0" w:color="auto"/>
              <w:right w:val="single" w:sz="4" w:space="0" w:color="auto"/>
            </w:tcBorders>
            <w:vAlign w:val="center"/>
            <w:hideMark/>
          </w:tcPr>
          <w:p w14:paraId="6910B4E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77</w:t>
            </w:r>
          </w:p>
        </w:tc>
        <w:tc>
          <w:tcPr>
            <w:tcW w:w="609" w:type="pct"/>
            <w:tcBorders>
              <w:top w:val="single" w:sz="4" w:space="0" w:color="auto"/>
              <w:left w:val="single" w:sz="4" w:space="0" w:color="auto"/>
              <w:bottom w:val="single" w:sz="4" w:space="0" w:color="auto"/>
              <w:right w:val="single" w:sz="4" w:space="0" w:color="auto"/>
            </w:tcBorders>
            <w:vAlign w:val="center"/>
            <w:hideMark/>
          </w:tcPr>
          <w:p w14:paraId="40F8B32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120</w:t>
            </w:r>
          </w:p>
        </w:tc>
        <w:tc>
          <w:tcPr>
            <w:tcW w:w="628" w:type="pct"/>
            <w:tcBorders>
              <w:top w:val="single" w:sz="4" w:space="0" w:color="auto"/>
              <w:left w:val="single" w:sz="4" w:space="0" w:color="auto"/>
              <w:bottom w:val="single" w:sz="4" w:space="0" w:color="auto"/>
              <w:right w:val="single" w:sz="4" w:space="0" w:color="auto"/>
            </w:tcBorders>
            <w:vAlign w:val="center"/>
            <w:hideMark/>
          </w:tcPr>
          <w:p w14:paraId="1FFD793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61</w:t>
            </w:r>
          </w:p>
        </w:tc>
        <w:tc>
          <w:tcPr>
            <w:tcW w:w="628" w:type="pct"/>
            <w:tcBorders>
              <w:top w:val="single" w:sz="4" w:space="0" w:color="auto"/>
              <w:left w:val="single" w:sz="4" w:space="0" w:color="auto"/>
              <w:bottom w:val="single" w:sz="4" w:space="0" w:color="auto"/>
              <w:right w:val="single" w:sz="4" w:space="0" w:color="auto"/>
            </w:tcBorders>
            <w:vAlign w:val="center"/>
            <w:hideMark/>
          </w:tcPr>
          <w:p w14:paraId="5A21217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130</w:t>
            </w:r>
          </w:p>
        </w:tc>
        <w:tc>
          <w:tcPr>
            <w:tcW w:w="579" w:type="pct"/>
            <w:tcBorders>
              <w:top w:val="single" w:sz="4" w:space="0" w:color="auto"/>
              <w:left w:val="single" w:sz="4" w:space="0" w:color="auto"/>
              <w:bottom w:val="single" w:sz="4" w:space="0" w:color="auto"/>
              <w:right w:val="single" w:sz="4" w:space="0" w:color="auto"/>
            </w:tcBorders>
            <w:vAlign w:val="center"/>
            <w:hideMark/>
          </w:tcPr>
          <w:p w14:paraId="440D487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75</w:t>
            </w:r>
          </w:p>
        </w:tc>
      </w:tr>
      <w:tr w:rsidR="008862C7" w14:paraId="119C8215" w14:textId="77777777" w:rsidTr="008862C7">
        <w:trPr>
          <w:jc w:val="center"/>
        </w:trPr>
        <w:tc>
          <w:tcPr>
            <w:tcW w:w="1476" w:type="pct"/>
            <w:tcBorders>
              <w:top w:val="single" w:sz="4" w:space="0" w:color="auto"/>
              <w:left w:val="single" w:sz="4" w:space="0" w:color="auto"/>
              <w:bottom w:val="single" w:sz="4" w:space="0" w:color="auto"/>
              <w:right w:val="single" w:sz="4" w:space="0" w:color="auto"/>
            </w:tcBorders>
            <w:vAlign w:val="center"/>
            <w:hideMark/>
          </w:tcPr>
          <w:p w14:paraId="1C7C3851"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Proportion (%)</w:t>
            </w:r>
          </w:p>
        </w:tc>
        <w:tc>
          <w:tcPr>
            <w:tcW w:w="539" w:type="pct"/>
            <w:tcBorders>
              <w:top w:val="single" w:sz="4" w:space="0" w:color="auto"/>
              <w:left w:val="single" w:sz="4" w:space="0" w:color="auto"/>
              <w:bottom w:val="single" w:sz="4" w:space="0" w:color="auto"/>
              <w:right w:val="single" w:sz="4" w:space="0" w:color="auto"/>
            </w:tcBorders>
            <w:vAlign w:val="center"/>
            <w:hideMark/>
          </w:tcPr>
          <w:p w14:paraId="64894A7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w:t>
            </w:r>
          </w:p>
        </w:tc>
        <w:tc>
          <w:tcPr>
            <w:tcW w:w="542" w:type="pct"/>
            <w:tcBorders>
              <w:top w:val="single" w:sz="4" w:space="0" w:color="auto"/>
              <w:left w:val="single" w:sz="4" w:space="0" w:color="auto"/>
              <w:bottom w:val="single" w:sz="4" w:space="0" w:color="auto"/>
              <w:right w:val="single" w:sz="4" w:space="0" w:color="auto"/>
            </w:tcBorders>
            <w:vAlign w:val="center"/>
            <w:hideMark/>
          </w:tcPr>
          <w:p w14:paraId="01FAF60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w:t>
            </w:r>
          </w:p>
        </w:tc>
        <w:tc>
          <w:tcPr>
            <w:tcW w:w="609" w:type="pct"/>
            <w:tcBorders>
              <w:top w:val="single" w:sz="4" w:space="0" w:color="auto"/>
              <w:left w:val="single" w:sz="4" w:space="0" w:color="auto"/>
              <w:bottom w:val="single" w:sz="4" w:space="0" w:color="auto"/>
              <w:right w:val="single" w:sz="4" w:space="0" w:color="auto"/>
            </w:tcBorders>
            <w:vAlign w:val="center"/>
            <w:hideMark/>
          </w:tcPr>
          <w:p w14:paraId="13BC230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16</w:t>
            </w:r>
          </w:p>
        </w:tc>
        <w:tc>
          <w:tcPr>
            <w:tcW w:w="628" w:type="pct"/>
            <w:tcBorders>
              <w:top w:val="single" w:sz="4" w:space="0" w:color="auto"/>
              <w:left w:val="single" w:sz="4" w:space="0" w:color="auto"/>
              <w:bottom w:val="single" w:sz="4" w:space="0" w:color="auto"/>
              <w:right w:val="single" w:sz="4" w:space="0" w:color="auto"/>
            </w:tcBorders>
            <w:vAlign w:val="center"/>
            <w:hideMark/>
          </w:tcPr>
          <w:p w14:paraId="3397E8B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w:t>
            </w:r>
          </w:p>
        </w:tc>
        <w:tc>
          <w:tcPr>
            <w:tcW w:w="628" w:type="pct"/>
            <w:tcBorders>
              <w:top w:val="single" w:sz="4" w:space="0" w:color="auto"/>
              <w:left w:val="single" w:sz="4" w:space="0" w:color="auto"/>
              <w:bottom w:val="single" w:sz="4" w:space="0" w:color="auto"/>
              <w:right w:val="single" w:sz="4" w:space="0" w:color="auto"/>
            </w:tcBorders>
            <w:vAlign w:val="center"/>
            <w:hideMark/>
          </w:tcPr>
          <w:p w14:paraId="65C8391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16</w:t>
            </w:r>
          </w:p>
        </w:tc>
        <w:tc>
          <w:tcPr>
            <w:tcW w:w="579" w:type="pct"/>
            <w:tcBorders>
              <w:top w:val="single" w:sz="4" w:space="0" w:color="auto"/>
              <w:left w:val="single" w:sz="4" w:space="0" w:color="auto"/>
              <w:bottom w:val="single" w:sz="4" w:space="0" w:color="auto"/>
              <w:right w:val="single" w:sz="4" w:space="0" w:color="auto"/>
            </w:tcBorders>
            <w:vAlign w:val="center"/>
            <w:hideMark/>
          </w:tcPr>
          <w:p w14:paraId="4D42AAB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9</w:t>
            </w:r>
          </w:p>
        </w:tc>
      </w:tr>
      <w:tr w:rsidR="008862C7" w14:paraId="2061DD78" w14:textId="77777777" w:rsidTr="008862C7">
        <w:trPr>
          <w:jc w:val="center"/>
        </w:trPr>
        <w:tc>
          <w:tcPr>
            <w:tcW w:w="1476" w:type="pct"/>
            <w:tcBorders>
              <w:top w:val="single" w:sz="4" w:space="0" w:color="auto"/>
              <w:left w:val="single" w:sz="4" w:space="0" w:color="auto"/>
              <w:bottom w:val="single" w:sz="4" w:space="0" w:color="auto"/>
              <w:right w:val="single" w:sz="4" w:space="0" w:color="auto"/>
            </w:tcBorders>
            <w:vAlign w:val="center"/>
            <w:hideMark/>
          </w:tcPr>
          <w:p w14:paraId="3C37114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Coût total FOB</w:t>
            </w:r>
          </w:p>
        </w:tc>
        <w:tc>
          <w:tcPr>
            <w:tcW w:w="539" w:type="pct"/>
            <w:tcBorders>
              <w:top w:val="single" w:sz="4" w:space="0" w:color="auto"/>
              <w:left w:val="single" w:sz="4" w:space="0" w:color="auto"/>
              <w:bottom w:val="single" w:sz="4" w:space="0" w:color="auto"/>
              <w:right w:val="single" w:sz="4" w:space="0" w:color="auto"/>
            </w:tcBorders>
            <w:vAlign w:val="center"/>
            <w:hideMark/>
          </w:tcPr>
          <w:p w14:paraId="279FC79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825</w:t>
            </w:r>
          </w:p>
        </w:tc>
        <w:tc>
          <w:tcPr>
            <w:tcW w:w="542" w:type="pct"/>
            <w:tcBorders>
              <w:top w:val="single" w:sz="4" w:space="0" w:color="auto"/>
              <w:left w:val="single" w:sz="4" w:space="0" w:color="auto"/>
              <w:bottom w:val="single" w:sz="4" w:space="0" w:color="auto"/>
              <w:right w:val="single" w:sz="4" w:space="0" w:color="auto"/>
            </w:tcBorders>
            <w:vAlign w:val="center"/>
            <w:hideMark/>
          </w:tcPr>
          <w:p w14:paraId="37B88EB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780</w:t>
            </w:r>
          </w:p>
        </w:tc>
        <w:tc>
          <w:tcPr>
            <w:tcW w:w="609" w:type="pct"/>
            <w:tcBorders>
              <w:top w:val="single" w:sz="4" w:space="0" w:color="auto"/>
              <w:left w:val="single" w:sz="4" w:space="0" w:color="auto"/>
              <w:bottom w:val="single" w:sz="4" w:space="0" w:color="auto"/>
              <w:right w:val="single" w:sz="4" w:space="0" w:color="auto"/>
            </w:tcBorders>
            <w:vAlign w:val="center"/>
            <w:hideMark/>
          </w:tcPr>
          <w:p w14:paraId="3E472E4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766</w:t>
            </w:r>
          </w:p>
        </w:tc>
        <w:tc>
          <w:tcPr>
            <w:tcW w:w="628" w:type="pct"/>
            <w:tcBorders>
              <w:top w:val="single" w:sz="4" w:space="0" w:color="auto"/>
              <w:left w:val="single" w:sz="4" w:space="0" w:color="auto"/>
              <w:bottom w:val="single" w:sz="4" w:space="0" w:color="auto"/>
              <w:right w:val="single" w:sz="4" w:space="0" w:color="auto"/>
            </w:tcBorders>
            <w:vAlign w:val="center"/>
            <w:hideMark/>
          </w:tcPr>
          <w:p w14:paraId="4BC693E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639</w:t>
            </w:r>
          </w:p>
        </w:tc>
        <w:tc>
          <w:tcPr>
            <w:tcW w:w="628" w:type="pct"/>
            <w:tcBorders>
              <w:top w:val="single" w:sz="4" w:space="0" w:color="auto"/>
              <w:left w:val="single" w:sz="4" w:space="0" w:color="auto"/>
              <w:bottom w:val="single" w:sz="4" w:space="0" w:color="auto"/>
              <w:right w:val="single" w:sz="4" w:space="0" w:color="auto"/>
            </w:tcBorders>
            <w:vAlign w:val="center"/>
            <w:hideMark/>
          </w:tcPr>
          <w:p w14:paraId="1C24334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840</w:t>
            </w:r>
          </w:p>
        </w:tc>
        <w:tc>
          <w:tcPr>
            <w:tcW w:w="579" w:type="pct"/>
            <w:tcBorders>
              <w:top w:val="single" w:sz="4" w:space="0" w:color="auto"/>
              <w:left w:val="single" w:sz="4" w:space="0" w:color="auto"/>
              <w:bottom w:val="single" w:sz="4" w:space="0" w:color="auto"/>
              <w:right w:val="single" w:sz="4" w:space="0" w:color="auto"/>
            </w:tcBorders>
            <w:vAlign w:val="center"/>
            <w:hideMark/>
          </w:tcPr>
          <w:p w14:paraId="33CED22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824</w:t>
            </w:r>
          </w:p>
        </w:tc>
      </w:tr>
    </w:tbl>
    <w:p w14:paraId="657A0541"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Source : Cellule Coton et base de données FMI</w:t>
      </w:r>
    </w:p>
    <w:p w14:paraId="1528857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Deux passages peuvent être utilisés pour l’acheminement du coton centrafricain sur le marché extérieur. Mais la seule alternative qui est utilisée depuis plus d’une décennie est la voie routière Bangui-Douala, ce qui est loin d’être moins chère comparée à la voie fluviale Bangui-Brazzaville.</w:t>
      </w:r>
    </w:p>
    <w:p w14:paraId="4E9469C3"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En comparant les coûts de transport avec ceux d’un pays sans littoral comme le Tchad, la RCA est une fois de plus désavantagée sur cette dimension de la compétitivité. Par exemple, lors de la compagne 2001/02, le transport du coton coûte 21% plus cher en Centrafrique qu’au Tchad. Le coût de transport représente donc 12% du coût total en RCA alors qu’il n’est que de 10% au Tchad. Ce constat est le même pour la compagne 2005/06 et 2009/10 où les coûts de transport représentent respectivement 16% et 16% des coûts en RCA contre seulement 10% et 9% au Tchad. Si l’on constate un accroissement continu en valeur absolue de la part des coûts de transport dans la structure des coûts en RCA, celui-ci diminue par contre en valeur relative </w:t>
      </w:r>
      <w:r>
        <w:rPr>
          <w:rFonts w:ascii="Arial" w:hAnsi="Arial" w:cs="Arial"/>
          <w:sz w:val="24"/>
          <w:szCs w:val="24"/>
        </w:rPr>
        <w:lastRenderedPageBreak/>
        <w:t>passant de 12% en 2002 à 10% des coûts en 2010 au Tchad. Toutefois la hausse des coûts de transport est due en partie à la hausse des prix à la pompe des carburants en RCA plus qu’ailleurs.</w:t>
      </w:r>
    </w:p>
    <w:p w14:paraId="2EAA47A4" w14:textId="77777777" w:rsidR="008862C7" w:rsidRDefault="008862C7" w:rsidP="008862C7">
      <w:pPr>
        <w:pStyle w:val="Titre8"/>
        <w:numPr>
          <w:ilvl w:val="0"/>
          <w:numId w:val="43"/>
        </w:numPr>
        <w:spacing w:before="120" w:after="120"/>
        <w:rPr>
          <w:rFonts w:ascii="Arial" w:hAnsi="Arial" w:cs="Arial"/>
          <w:b/>
          <w:color w:val="auto"/>
          <w:sz w:val="24"/>
          <w:szCs w:val="24"/>
        </w:rPr>
      </w:pPr>
      <w:bookmarkStart w:id="267" w:name="_Toc395107680"/>
      <w:bookmarkStart w:id="268" w:name="_Toc321251085"/>
      <w:r>
        <w:rPr>
          <w:rFonts w:ascii="Arial" w:hAnsi="Arial" w:cs="Arial"/>
          <w:b/>
          <w:color w:val="auto"/>
          <w:sz w:val="24"/>
          <w:szCs w:val="24"/>
        </w:rPr>
        <w:t>Coût de l’énergie</w:t>
      </w:r>
      <w:bookmarkEnd w:id="267"/>
      <w:bookmarkEnd w:id="268"/>
    </w:p>
    <w:p w14:paraId="558B2456"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Le second facteur qui alourdit les coûts de commercialisation du coton en RCA, est celui lié à l’énergie. D’une manière générale, l’usine d’égrenage est fournie en électricité par des générateurs de courant électrique. Pour leur fonctionnement, ces derniers consomment du carburant. Or, la RCA est importateur de pétrole alors que ces principaux concurrents sont des pays importateur et exportateur de pétrole. De ce fait la RCA devrait supporter des coûts supplémentaires lié aux fluctuations du cours mondial du pétrole.  </w:t>
      </w:r>
    </w:p>
    <w:p w14:paraId="55FDD534" w14:textId="77777777" w:rsidR="008862C7" w:rsidRDefault="008862C7" w:rsidP="008862C7">
      <w:pPr>
        <w:spacing w:after="0" w:line="360" w:lineRule="auto"/>
        <w:jc w:val="both"/>
        <w:rPr>
          <w:rFonts w:ascii="Arial" w:hAnsi="Arial" w:cs="Arial"/>
          <w:b/>
          <w:sz w:val="24"/>
          <w:szCs w:val="24"/>
        </w:rPr>
      </w:pPr>
      <w:r>
        <w:rPr>
          <w:rFonts w:ascii="Arial" w:hAnsi="Arial" w:cs="Arial"/>
          <w:b/>
          <w:sz w:val="24"/>
          <w:szCs w:val="24"/>
        </w:rPr>
        <w:t xml:space="preserve">Tableau 4.3 : </w:t>
      </w:r>
      <w:r>
        <w:rPr>
          <w:rFonts w:ascii="Arial" w:hAnsi="Arial" w:cs="Arial"/>
          <w:sz w:val="24"/>
          <w:szCs w:val="24"/>
        </w:rPr>
        <w:t>Evolution des prix du carburant en RCA (en FCFA/L)</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1451"/>
        <w:gridCol w:w="1451"/>
        <w:gridCol w:w="1451"/>
        <w:gridCol w:w="1409"/>
      </w:tblGrid>
      <w:tr w:rsidR="008862C7" w14:paraId="18DBCBCB" w14:textId="77777777" w:rsidTr="008862C7">
        <w:trPr>
          <w:trHeight w:val="257"/>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05E8FD31"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Libelle</w:t>
            </w:r>
          </w:p>
        </w:tc>
        <w:tc>
          <w:tcPr>
            <w:tcW w:w="705" w:type="pct"/>
            <w:tcBorders>
              <w:top w:val="single" w:sz="4" w:space="0" w:color="auto"/>
              <w:left w:val="single" w:sz="4" w:space="0" w:color="auto"/>
              <w:bottom w:val="single" w:sz="4" w:space="0" w:color="auto"/>
              <w:right w:val="single" w:sz="4" w:space="0" w:color="auto"/>
            </w:tcBorders>
            <w:vAlign w:val="center"/>
            <w:hideMark/>
          </w:tcPr>
          <w:p w14:paraId="5645F75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Déc. 1999</w:t>
            </w:r>
          </w:p>
        </w:tc>
        <w:tc>
          <w:tcPr>
            <w:tcW w:w="705" w:type="pct"/>
            <w:tcBorders>
              <w:top w:val="single" w:sz="4" w:space="0" w:color="auto"/>
              <w:left w:val="single" w:sz="4" w:space="0" w:color="auto"/>
              <w:bottom w:val="single" w:sz="4" w:space="0" w:color="auto"/>
              <w:right w:val="single" w:sz="4" w:space="0" w:color="auto"/>
            </w:tcBorders>
            <w:vAlign w:val="center"/>
            <w:hideMark/>
          </w:tcPr>
          <w:p w14:paraId="552EF42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Sept 2000</w:t>
            </w:r>
          </w:p>
        </w:tc>
        <w:tc>
          <w:tcPr>
            <w:tcW w:w="705" w:type="pct"/>
            <w:tcBorders>
              <w:top w:val="single" w:sz="4" w:space="0" w:color="auto"/>
              <w:left w:val="single" w:sz="4" w:space="0" w:color="auto"/>
              <w:bottom w:val="single" w:sz="4" w:space="0" w:color="auto"/>
              <w:right w:val="single" w:sz="4" w:space="0" w:color="auto"/>
            </w:tcBorders>
            <w:vAlign w:val="center"/>
            <w:hideMark/>
          </w:tcPr>
          <w:p w14:paraId="0559B92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Oct. 2000</w:t>
            </w:r>
          </w:p>
        </w:tc>
        <w:tc>
          <w:tcPr>
            <w:tcW w:w="685" w:type="pct"/>
            <w:tcBorders>
              <w:top w:val="single" w:sz="4" w:space="0" w:color="auto"/>
              <w:left w:val="single" w:sz="4" w:space="0" w:color="auto"/>
              <w:bottom w:val="single" w:sz="4" w:space="0" w:color="auto"/>
              <w:right w:val="single" w:sz="4" w:space="0" w:color="auto"/>
            </w:tcBorders>
            <w:vAlign w:val="center"/>
            <w:hideMark/>
          </w:tcPr>
          <w:p w14:paraId="5E20514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Mai 2001</w:t>
            </w:r>
          </w:p>
        </w:tc>
      </w:tr>
      <w:tr w:rsidR="008862C7" w14:paraId="38952236"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4325F5E6"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Prix à l’importation au port de Douala</w:t>
            </w:r>
          </w:p>
        </w:tc>
        <w:tc>
          <w:tcPr>
            <w:tcW w:w="705" w:type="pct"/>
            <w:tcBorders>
              <w:top w:val="single" w:sz="4" w:space="0" w:color="auto"/>
              <w:left w:val="single" w:sz="4" w:space="0" w:color="auto"/>
              <w:bottom w:val="single" w:sz="4" w:space="0" w:color="auto"/>
              <w:right w:val="single" w:sz="4" w:space="0" w:color="auto"/>
            </w:tcBorders>
            <w:vAlign w:val="center"/>
            <w:hideMark/>
          </w:tcPr>
          <w:p w14:paraId="2257598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117</w:t>
            </w:r>
          </w:p>
        </w:tc>
        <w:tc>
          <w:tcPr>
            <w:tcW w:w="705" w:type="pct"/>
            <w:tcBorders>
              <w:top w:val="single" w:sz="4" w:space="0" w:color="auto"/>
              <w:left w:val="single" w:sz="4" w:space="0" w:color="auto"/>
              <w:bottom w:val="single" w:sz="4" w:space="0" w:color="auto"/>
              <w:right w:val="single" w:sz="4" w:space="0" w:color="auto"/>
            </w:tcBorders>
            <w:vAlign w:val="center"/>
            <w:hideMark/>
          </w:tcPr>
          <w:p w14:paraId="0C11D21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241</w:t>
            </w:r>
          </w:p>
        </w:tc>
        <w:tc>
          <w:tcPr>
            <w:tcW w:w="705" w:type="pct"/>
            <w:tcBorders>
              <w:top w:val="single" w:sz="4" w:space="0" w:color="auto"/>
              <w:left w:val="single" w:sz="4" w:space="0" w:color="auto"/>
              <w:bottom w:val="single" w:sz="4" w:space="0" w:color="auto"/>
              <w:right w:val="single" w:sz="4" w:space="0" w:color="auto"/>
            </w:tcBorders>
            <w:vAlign w:val="center"/>
            <w:hideMark/>
          </w:tcPr>
          <w:p w14:paraId="22B51AC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241</w:t>
            </w:r>
          </w:p>
        </w:tc>
        <w:tc>
          <w:tcPr>
            <w:tcW w:w="685" w:type="pct"/>
            <w:tcBorders>
              <w:top w:val="single" w:sz="4" w:space="0" w:color="auto"/>
              <w:left w:val="single" w:sz="4" w:space="0" w:color="auto"/>
              <w:bottom w:val="single" w:sz="4" w:space="0" w:color="auto"/>
              <w:right w:val="single" w:sz="4" w:space="0" w:color="auto"/>
            </w:tcBorders>
            <w:vAlign w:val="center"/>
            <w:hideMark/>
          </w:tcPr>
          <w:p w14:paraId="18D182D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165</w:t>
            </w:r>
          </w:p>
        </w:tc>
      </w:tr>
      <w:tr w:rsidR="008862C7" w14:paraId="6EF666BC"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4C4E3C9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Coût de transport (Douala-Bangui)</w:t>
            </w:r>
          </w:p>
        </w:tc>
        <w:tc>
          <w:tcPr>
            <w:tcW w:w="705" w:type="pct"/>
            <w:tcBorders>
              <w:top w:val="single" w:sz="4" w:space="0" w:color="auto"/>
              <w:left w:val="single" w:sz="4" w:space="0" w:color="auto"/>
              <w:bottom w:val="single" w:sz="4" w:space="0" w:color="auto"/>
              <w:right w:val="single" w:sz="4" w:space="0" w:color="auto"/>
            </w:tcBorders>
            <w:vAlign w:val="center"/>
            <w:hideMark/>
          </w:tcPr>
          <w:p w14:paraId="707872C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62</w:t>
            </w:r>
          </w:p>
        </w:tc>
        <w:tc>
          <w:tcPr>
            <w:tcW w:w="705" w:type="pct"/>
            <w:tcBorders>
              <w:top w:val="single" w:sz="4" w:space="0" w:color="auto"/>
              <w:left w:val="single" w:sz="4" w:space="0" w:color="auto"/>
              <w:bottom w:val="single" w:sz="4" w:space="0" w:color="auto"/>
              <w:right w:val="single" w:sz="4" w:space="0" w:color="auto"/>
            </w:tcBorders>
            <w:vAlign w:val="center"/>
            <w:hideMark/>
          </w:tcPr>
          <w:p w14:paraId="57D8466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125</w:t>
            </w:r>
          </w:p>
        </w:tc>
        <w:tc>
          <w:tcPr>
            <w:tcW w:w="705" w:type="pct"/>
            <w:tcBorders>
              <w:top w:val="single" w:sz="4" w:space="0" w:color="auto"/>
              <w:left w:val="single" w:sz="4" w:space="0" w:color="auto"/>
              <w:bottom w:val="single" w:sz="4" w:space="0" w:color="auto"/>
              <w:right w:val="single" w:sz="4" w:space="0" w:color="auto"/>
            </w:tcBorders>
            <w:vAlign w:val="center"/>
            <w:hideMark/>
          </w:tcPr>
          <w:p w14:paraId="1F1114D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125</w:t>
            </w:r>
          </w:p>
        </w:tc>
        <w:tc>
          <w:tcPr>
            <w:tcW w:w="685" w:type="pct"/>
            <w:tcBorders>
              <w:top w:val="single" w:sz="4" w:space="0" w:color="auto"/>
              <w:left w:val="single" w:sz="4" w:space="0" w:color="auto"/>
              <w:bottom w:val="single" w:sz="4" w:space="0" w:color="auto"/>
              <w:right w:val="single" w:sz="4" w:space="0" w:color="auto"/>
            </w:tcBorders>
            <w:vAlign w:val="center"/>
            <w:hideMark/>
          </w:tcPr>
          <w:p w14:paraId="6D58490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140</w:t>
            </w:r>
          </w:p>
        </w:tc>
      </w:tr>
      <w:tr w:rsidR="008862C7" w14:paraId="1E5A05B9"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7DD0285D"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Marge de distribution</w:t>
            </w:r>
          </w:p>
        </w:tc>
        <w:tc>
          <w:tcPr>
            <w:tcW w:w="705" w:type="pct"/>
            <w:tcBorders>
              <w:top w:val="single" w:sz="4" w:space="0" w:color="auto"/>
              <w:left w:val="single" w:sz="4" w:space="0" w:color="auto"/>
              <w:bottom w:val="single" w:sz="4" w:space="0" w:color="auto"/>
              <w:right w:val="single" w:sz="4" w:space="0" w:color="auto"/>
            </w:tcBorders>
            <w:vAlign w:val="center"/>
            <w:hideMark/>
          </w:tcPr>
          <w:p w14:paraId="35A9718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36</w:t>
            </w:r>
          </w:p>
        </w:tc>
        <w:tc>
          <w:tcPr>
            <w:tcW w:w="705" w:type="pct"/>
            <w:tcBorders>
              <w:top w:val="single" w:sz="4" w:space="0" w:color="auto"/>
              <w:left w:val="single" w:sz="4" w:space="0" w:color="auto"/>
              <w:bottom w:val="single" w:sz="4" w:space="0" w:color="auto"/>
              <w:right w:val="single" w:sz="4" w:space="0" w:color="auto"/>
            </w:tcBorders>
            <w:vAlign w:val="center"/>
            <w:hideMark/>
          </w:tcPr>
          <w:p w14:paraId="4075C1C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66</w:t>
            </w:r>
          </w:p>
        </w:tc>
        <w:tc>
          <w:tcPr>
            <w:tcW w:w="705" w:type="pct"/>
            <w:tcBorders>
              <w:top w:val="single" w:sz="4" w:space="0" w:color="auto"/>
              <w:left w:val="single" w:sz="4" w:space="0" w:color="auto"/>
              <w:bottom w:val="single" w:sz="4" w:space="0" w:color="auto"/>
              <w:right w:val="single" w:sz="4" w:space="0" w:color="auto"/>
            </w:tcBorders>
            <w:vAlign w:val="center"/>
            <w:hideMark/>
          </w:tcPr>
          <w:p w14:paraId="0097D8C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66</w:t>
            </w:r>
          </w:p>
        </w:tc>
        <w:tc>
          <w:tcPr>
            <w:tcW w:w="685" w:type="pct"/>
            <w:tcBorders>
              <w:top w:val="single" w:sz="4" w:space="0" w:color="auto"/>
              <w:left w:val="single" w:sz="4" w:space="0" w:color="auto"/>
              <w:bottom w:val="single" w:sz="4" w:space="0" w:color="auto"/>
              <w:right w:val="single" w:sz="4" w:space="0" w:color="auto"/>
            </w:tcBorders>
            <w:vAlign w:val="center"/>
            <w:hideMark/>
          </w:tcPr>
          <w:p w14:paraId="5C64B3F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184</w:t>
            </w:r>
          </w:p>
        </w:tc>
      </w:tr>
      <w:tr w:rsidR="008862C7" w14:paraId="048F4556"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7E9A3F1A"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Coût du carburant à Bangui</w:t>
            </w:r>
          </w:p>
        </w:tc>
        <w:tc>
          <w:tcPr>
            <w:tcW w:w="705" w:type="pct"/>
            <w:tcBorders>
              <w:top w:val="single" w:sz="4" w:space="0" w:color="auto"/>
              <w:left w:val="single" w:sz="4" w:space="0" w:color="auto"/>
              <w:bottom w:val="single" w:sz="4" w:space="0" w:color="auto"/>
              <w:right w:val="single" w:sz="4" w:space="0" w:color="auto"/>
            </w:tcBorders>
            <w:vAlign w:val="center"/>
            <w:hideMark/>
          </w:tcPr>
          <w:p w14:paraId="7E73D1C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242</w:t>
            </w:r>
          </w:p>
        </w:tc>
        <w:tc>
          <w:tcPr>
            <w:tcW w:w="705" w:type="pct"/>
            <w:tcBorders>
              <w:top w:val="single" w:sz="4" w:space="0" w:color="auto"/>
              <w:left w:val="single" w:sz="4" w:space="0" w:color="auto"/>
              <w:bottom w:val="single" w:sz="4" w:space="0" w:color="auto"/>
              <w:right w:val="single" w:sz="4" w:space="0" w:color="auto"/>
            </w:tcBorders>
            <w:vAlign w:val="center"/>
            <w:hideMark/>
          </w:tcPr>
          <w:p w14:paraId="3C440A4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432</w:t>
            </w:r>
          </w:p>
        </w:tc>
        <w:tc>
          <w:tcPr>
            <w:tcW w:w="705" w:type="pct"/>
            <w:tcBorders>
              <w:top w:val="single" w:sz="4" w:space="0" w:color="auto"/>
              <w:left w:val="single" w:sz="4" w:space="0" w:color="auto"/>
              <w:bottom w:val="single" w:sz="4" w:space="0" w:color="auto"/>
              <w:right w:val="single" w:sz="4" w:space="0" w:color="auto"/>
            </w:tcBorders>
            <w:vAlign w:val="center"/>
            <w:hideMark/>
          </w:tcPr>
          <w:p w14:paraId="194AFBD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432</w:t>
            </w:r>
          </w:p>
        </w:tc>
        <w:tc>
          <w:tcPr>
            <w:tcW w:w="685" w:type="pct"/>
            <w:tcBorders>
              <w:top w:val="single" w:sz="4" w:space="0" w:color="auto"/>
              <w:left w:val="single" w:sz="4" w:space="0" w:color="auto"/>
              <w:bottom w:val="single" w:sz="4" w:space="0" w:color="auto"/>
              <w:right w:val="single" w:sz="4" w:space="0" w:color="auto"/>
            </w:tcBorders>
            <w:vAlign w:val="center"/>
            <w:hideMark/>
          </w:tcPr>
          <w:p w14:paraId="6CAB595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489</w:t>
            </w:r>
          </w:p>
        </w:tc>
      </w:tr>
      <w:tr w:rsidR="008862C7" w14:paraId="213D88DB"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0763A8EC"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Taxe ou subvention</w:t>
            </w:r>
          </w:p>
        </w:tc>
        <w:tc>
          <w:tcPr>
            <w:tcW w:w="705" w:type="pct"/>
            <w:tcBorders>
              <w:top w:val="single" w:sz="4" w:space="0" w:color="auto"/>
              <w:left w:val="single" w:sz="4" w:space="0" w:color="auto"/>
              <w:bottom w:val="single" w:sz="4" w:space="0" w:color="auto"/>
              <w:right w:val="single" w:sz="4" w:space="0" w:color="auto"/>
            </w:tcBorders>
            <w:vAlign w:val="center"/>
            <w:hideMark/>
          </w:tcPr>
          <w:p w14:paraId="15540D7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45</w:t>
            </w:r>
          </w:p>
        </w:tc>
        <w:tc>
          <w:tcPr>
            <w:tcW w:w="705" w:type="pct"/>
            <w:tcBorders>
              <w:top w:val="single" w:sz="4" w:space="0" w:color="auto"/>
              <w:left w:val="single" w:sz="4" w:space="0" w:color="auto"/>
              <w:bottom w:val="single" w:sz="4" w:space="0" w:color="auto"/>
              <w:right w:val="single" w:sz="4" w:space="0" w:color="auto"/>
            </w:tcBorders>
            <w:vAlign w:val="center"/>
            <w:hideMark/>
          </w:tcPr>
          <w:p w14:paraId="5494B29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-172</w:t>
            </w:r>
          </w:p>
        </w:tc>
        <w:tc>
          <w:tcPr>
            <w:tcW w:w="705" w:type="pct"/>
            <w:tcBorders>
              <w:top w:val="single" w:sz="4" w:space="0" w:color="auto"/>
              <w:left w:val="single" w:sz="4" w:space="0" w:color="auto"/>
              <w:bottom w:val="single" w:sz="4" w:space="0" w:color="auto"/>
              <w:right w:val="single" w:sz="4" w:space="0" w:color="auto"/>
            </w:tcBorders>
            <w:vAlign w:val="center"/>
            <w:hideMark/>
          </w:tcPr>
          <w:p w14:paraId="6794457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-82</w:t>
            </w:r>
          </w:p>
        </w:tc>
        <w:tc>
          <w:tcPr>
            <w:tcW w:w="685" w:type="pct"/>
            <w:tcBorders>
              <w:top w:val="single" w:sz="4" w:space="0" w:color="auto"/>
              <w:left w:val="single" w:sz="4" w:space="0" w:color="auto"/>
              <w:bottom w:val="single" w:sz="4" w:space="0" w:color="auto"/>
              <w:right w:val="single" w:sz="4" w:space="0" w:color="auto"/>
            </w:tcBorders>
            <w:vAlign w:val="center"/>
            <w:hideMark/>
          </w:tcPr>
          <w:p w14:paraId="3E38B9D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-139</w:t>
            </w:r>
          </w:p>
        </w:tc>
      </w:tr>
      <w:tr w:rsidR="008862C7" w14:paraId="77A24E05" w14:textId="77777777" w:rsidTr="008862C7">
        <w:trPr>
          <w:jc w:val="center"/>
        </w:trPr>
        <w:tc>
          <w:tcPr>
            <w:tcW w:w="2199" w:type="pct"/>
            <w:tcBorders>
              <w:top w:val="single" w:sz="4" w:space="0" w:color="auto"/>
              <w:left w:val="single" w:sz="4" w:space="0" w:color="auto"/>
              <w:bottom w:val="single" w:sz="4" w:space="0" w:color="auto"/>
              <w:right w:val="single" w:sz="4" w:space="0" w:color="auto"/>
            </w:tcBorders>
            <w:vAlign w:val="center"/>
            <w:hideMark/>
          </w:tcPr>
          <w:p w14:paraId="50B7EBAF"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Prix à la pompe à Bangui</w:t>
            </w:r>
          </w:p>
        </w:tc>
        <w:tc>
          <w:tcPr>
            <w:tcW w:w="705" w:type="pct"/>
            <w:tcBorders>
              <w:top w:val="single" w:sz="4" w:space="0" w:color="auto"/>
              <w:left w:val="single" w:sz="4" w:space="0" w:color="auto"/>
              <w:bottom w:val="single" w:sz="4" w:space="0" w:color="auto"/>
              <w:right w:val="single" w:sz="4" w:space="0" w:color="auto"/>
            </w:tcBorders>
            <w:vAlign w:val="center"/>
            <w:hideMark/>
          </w:tcPr>
          <w:p w14:paraId="3AD9864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260</w:t>
            </w:r>
          </w:p>
        </w:tc>
        <w:tc>
          <w:tcPr>
            <w:tcW w:w="705" w:type="pct"/>
            <w:tcBorders>
              <w:top w:val="single" w:sz="4" w:space="0" w:color="auto"/>
              <w:left w:val="single" w:sz="4" w:space="0" w:color="auto"/>
              <w:bottom w:val="single" w:sz="4" w:space="0" w:color="auto"/>
              <w:right w:val="single" w:sz="4" w:space="0" w:color="auto"/>
            </w:tcBorders>
            <w:vAlign w:val="center"/>
            <w:hideMark/>
          </w:tcPr>
          <w:p w14:paraId="4600DBE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260</w:t>
            </w:r>
          </w:p>
        </w:tc>
        <w:tc>
          <w:tcPr>
            <w:tcW w:w="705" w:type="pct"/>
            <w:tcBorders>
              <w:top w:val="single" w:sz="4" w:space="0" w:color="auto"/>
              <w:left w:val="single" w:sz="4" w:space="0" w:color="auto"/>
              <w:bottom w:val="single" w:sz="4" w:space="0" w:color="auto"/>
              <w:right w:val="single" w:sz="4" w:space="0" w:color="auto"/>
            </w:tcBorders>
            <w:vAlign w:val="center"/>
            <w:hideMark/>
          </w:tcPr>
          <w:p w14:paraId="2A01412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350</w:t>
            </w:r>
          </w:p>
        </w:tc>
        <w:tc>
          <w:tcPr>
            <w:tcW w:w="685" w:type="pct"/>
            <w:tcBorders>
              <w:top w:val="single" w:sz="4" w:space="0" w:color="auto"/>
              <w:left w:val="single" w:sz="4" w:space="0" w:color="auto"/>
              <w:bottom w:val="single" w:sz="4" w:space="0" w:color="auto"/>
              <w:right w:val="single" w:sz="4" w:space="0" w:color="auto"/>
            </w:tcBorders>
            <w:vAlign w:val="center"/>
            <w:hideMark/>
          </w:tcPr>
          <w:p w14:paraId="0D2C4D6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350</w:t>
            </w:r>
          </w:p>
        </w:tc>
      </w:tr>
    </w:tbl>
    <w:p w14:paraId="2897FB59"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sz w:val="20"/>
          <w:szCs w:val="24"/>
        </w:rPr>
        <w:t xml:space="preserve"> Source : Banque mondiale</w:t>
      </w:r>
    </w:p>
    <w:p w14:paraId="69923D9A"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tableau nous permet de voir clairement que le prix à la pompe du carburant à Bangui est deux fois plus cher que le prix à l’importation au port de Douala et cela est d’autant plus grave lorsqu’on s’éloigne de la capitale. Ainsi, on peut facilement comprendre que le coût de l’énergie en Centrafrique est nettement plus élevé que chez ces concurrents potentiels le Cameroun et le Tchad.</w:t>
      </w:r>
    </w:p>
    <w:p w14:paraId="2A522699" w14:textId="77777777" w:rsidR="008862C7" w:rsidRDefault="008862C7" w:rsidP="008862C7">
      <w:pPr>
        <w:pStyle w:val="Titre8"/>
        <w:numPr>
          <w:ilvl w:val="0"/>
          <w:numId w:val="43"/>
        </w:numPr>
        <w:spacing w:before="120" w:line="360" w:lineRule="auto"/>
        <w:jc w:val="both"/>
        <w:rPr>
          <w:rFonts w:ascii="Arial" w:hAnsi="Arial" w:cs="Arial"/>
          <w:b/>
          <w:color w:val="auto"/>
          <w:sz w:val="24"/>
          <w:szCs w:val="24"/>
        </w:rPr>
      </w:pPr>
      <w:bookmarkStart w:id="269" w:name="_Toc395107681"/>
      <w:bookmarkStart w:id="270" w:name="_Toc321251086"/>
      <w:r>
        <w:rPr>
          <w:rFonts w:ascii="Arial" w:hAnsi="Arial" w:cs="Arial"/>
          <w:b/>
          <w:color w:val="auto"/>
          <w:sz w:val="24"/>
          <w:szCs w:val="24"/>
        </w:rPr>
        <w:t>Coût salarial effectif</w:t>
      </w:r>
      <w:bookmarkEnd w:id="269"/>
      <w:bookmarkEnd w:id="270"/>
    </w:p>
    <w:p w14:paraId="2C9F7368"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 coût salarial effectif dans l’économie centrafricaine est en général très élevé. Ceci est d’autant plus vrai lorsqu’on le rapporte dans la filière cotonnière centrafricaine. Une étude menée par la Banque mondiale sur la surévaluation des salaires dans les pays de la zone francs montrait déjà que le niveau du salaire dans ces pays est plus élevé que dans les pays ayant un niveau de développement similaire. En plus, parmi les pays de la zone franc, la RCA figure parmi ceux dont les coûts salariaux effectifs sont les plus élevés comme en témoigne la graphique suivante. </w:t>
      </w:r>
    </w:p>
    <w:p w14:paraId="7C1B1C9E" w14:textId="77777777" w:rsidR="0079544B" w:rsidRDefault="0079544B" w:rsidP="008862C7">
      <w:pPr>
        <w:spacing w:before="120" w:after="0" w:line="360" w:lineRule="auto"/>
        <w:jc w:val="both"/>
        <w:rPr>
          <w:rFonts w:ascii="Arial" w:hAnsi="Arial" w:cs="Arial"/>
          <w:sz w:val="24"/>
          <w:szCs w:val="24"/>
        </w:rPr>
      </w:pPr>
    </w:p>
    <w:p w14:paraId="3725D04F"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lastRenderedPageBreak/>
        <w:t>Graphique 4.1 :</w:t>
      </w:r>
      <w:r>
        <w:rPr>
          <w:rFonts w:ascii="Arial" w:hAnsi="Arial" w:cs="Arial"/>
          <w:sz w:val="24"/>
          <w:szCs w:val="24"/>
        </w:rPr>
        <w:t xml:space="preserve"> Salaire moyen effectif de la RCA, Cameroun et du Congo </w:t>
      </w:r>
    </w:p>
    <w:p w14:paraId="40B54ABB" w14:textId="77777777" w:rsidR="008862C7" w:rsidRDefault="00E72C3F" w:rsidP="008862C7">
      <w:pPr>
        <w:spacing w:before="120" w:after="0" w:line="360" w:lineRule="auto"/>
        <w:jc w:val="both"/>
        <w:rPr>
          <w:rFonts w:ascii="Arial" w:hAnsi="Arial" w:cs="Arial"/>
          <w:sz w:val="20"/>
          <w:szCs w:val="24"/>
        </w:rPr>
      </w:pPr>
      <w:r>
        <w:rPr>
          <w:rFonts w:ascii="Calibri" w:hAnsi="Calibri" w:cs="Times New Roman"/>
          <w:noProof/>
          <w:lang w:eastAsia="fr-FR"/>
        </w:rPr>
        <mc:AlternateContent>
          <mc:Choice Requires="wps">
            <w:drawing>
              <wp:anchor distT="0" distB="0" distL="114300" distR="114300" simplePos="0" relativeHeight="251672576" behindDoc="0" locked="0" layoutInCell="1" allowOverlap="1" wp14:anchorId="498829CF" wp14:editId="07B8BCEC">
                <wp:simplePos x="0" y="0"/>
                <wp:positionH relativeFrom="column">
                  <wp:posOffset>2779395</wp:posOffset>
                </wp:positionH>
                <wp:positionV relativeFrom="paragraph">
                  <wp:posOffset>611505</wp:posOffset>
                </wp:positionV>
                <wp:extent cx="1031240" cy="265430"/>
                <wp:effectExtent l="7620" t="11430" r="8890" b="889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5430"/>
                        </a:xfrm>
                        <a:prstGeom prst="rect">
                          <a:avLst/>
                        </a:prstGeom>
                        <a:solidFill>
                          <a:srgbClr val="FFFFFF"/>
                        </a:solidFill>
                        <a:ln w="9525">
                          <a:solidFill>
                            <a:srgbClr val="000000"/>
                          </a:solidFill>
                          <a:miter lim="800000"/>
                          <a:headEnd/>
                          <a:tailEnd/>
                        </a:ln>
                      </wps:spPr>
                      <wps:txbx>
                        <w:txbxContent>
                          <w:p w14:paraId="78C60F05" w14:textId="77777777" w:rsidR="00B63507" w:rsidRDefault="00B63507" w:rsidP="008862C7">
                            <w:pPr>
                              <w:rPr>
                                <w:sz w:val="20"/>
                              </w:rPr>
                            </w:pPr>
                            <w:r>
                              <w:rPr>
                                <w:b/>
                                <w:sz w:val="20"/>
                              </w:rPr>
                              <w:t>CAMEROUN</w:t>
                            </w:r>
                          </w:p>
                          <w:p w14:paraId="613B3304" w14:textId="77777777" w:rsidR="00B63507" w:rsidRDefault="00B63507" w:rsidP="008862C7">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829CF" id="Text Box 64" o:spid="_x0000_s1107" type="#_x0000_t202" style="position:absolute;left:0;text-align:left;margin-left:218.85pt;margin-top:48.15pt;width:81.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">
                <v:textbox>
                  <w:txbxContent>
                    <w:p w14:paraId="78C60F05" w14:textId="77777777" w:rsidR="00B63507" w:rsidRDefault="00B63507" w:rsidP="008862C7">
                      <w:pPr>
                        <w:rPr>
                          <w:sz w:val="20"/>
                        </w:rPr>
                      </w:pPr>
                      <w:r>
                        <w:rPr>
                          <w:b/>
                          <w:sz w:val="20"/>
                        </w:rPr>
                        <w:t>CAMEROUN</w:t>
                      </w:r>
                    </w:p>
                    <w:p w14:paraId="613B3304" w14:textId="77777777" w:rsidR="00B63507" w:rsidRDefault="00B63507" w:rsidP="008862C7">
                      <w:pPr>
                        <w:rPr>
                          <w:sz w:val="20"/>
                        </w:rPr>
                      </w:pP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75648" behindDoc="0" locked="0" layoutInCell="1" allowOverlap="1" wp14:anchorId="55347197" wp14:editId="57F68F1C">
                <wp:simplePos x="0" y="0"/>
                <wp:positionH relativeFrom="column">
                  <wp:posOffset>2010410</wp:posOffset>
                </wp:positionH>
                <wp:positionV relativeFrom="paragraph">
                  <wp:posOffset>507365</wp:posOffset>
                </wp:positionV>
                <wp:extent cx="497205" cy="297815"/>
                <wp:effectExtent l="10160" t="12065" r="6985" b="13970"/>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7815"/>
                        </a:xfrm>
                        <a:prstGeom prst="rect">
                          <a:avLst/>
                        </a:prstGeom>
                        <a:solidFill>
                          <a:srgbClr val="FFFFFF"/>
                        </a:solidFill>
                        <a:ln w="9525">
                          <a:solidFill>
                            <a:srgbClr val="000000"/>
                          </a:solidFill>
                          <a:miter lim="800000"/>
                          <a:headEnd/>
                          <a:tailEnd/>
                        </a:ln>
                      </wps:spPr>
                      <wps:txbx>
                        <w:txbxContent>
                          <w:p w14:paraId="0BB82CAC" w14:textId="77777777" w:rsidR="00B63507" w:rsidRDefault="00B63507" w:rsidP="008862C7">
                            <w:pPr>
                              <w:rPr>
                                <w:sz w:val="18"/>
                              </w:rPr>
                            </w:pPr>
                            <w:r>
                              <w:rPr>
                                <w:b/>
                                <w:sz w:val="20"/>
                              </w:rPr>
                              <w:t>RCA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47197" id="Text Box 66" o:spid="_x0000_s1108" type="#_x0000_t202" style="position:absolute;left:0;text-align:left;margin-left:158.3pt;margin-top:39.95pt;width:39.15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">
                <v:textbox>
                  <w:txbxContent>
                    <w:p w14:paraId="0BB82CAC" w14:textId="77777777" w:rsidR="00B63507" w:rsidRDefault="00B63507" w:rsidP="008862C7">
                      <w:pPr>
                        <w:rPr>
                          <w:sz w:val="18"/>
                        </w:rPr>
                      </w:pPr>
                      <w:r>
                        <w:rPr>
                          <w:b/>
                          <w:sz w:val="20"/>
                        </w:rPr>
                        <w:t>RCA</w:t>
                      </w:r>
                    </w:p>
                  </w:txbxContent>
                </v:textbox>
              </v:shape>
            </w:pict>
          </mc:Fallback>
        </mc:AlternateContent>
      </w:r>
      <w:r>
        <w:rPr>
          <w:rFonts w:ascii="Calibri" w:hAnsi="Calibri" w:cs="Times New Roman"/>
          <w:noProof/>
          <w:lang w:eastAsia="fr-FR"/>
        </w:rPr>
        <mc:AlternateContent>
          <mc:Choice Requires="wps">
            <w:drawing>
              <wp:anchor distT="0" distB="0" distL="114300" distR="114300" simplePos="0" relativeHeight="251674624" behindDoc="0" locked="0" layoutInCell="1" allowOverlap="1" wp14:anchorId="28DD1C89" wp14:editId="459C74CF">
                <wp:simplePos x="0" y="0"/>
                <wp:positionH relativeFrom="column">
                  <wp:posOffset>-2802255</wp:posOffset>
                </wp:positionH>
                <wp:positionV relativeFrom="paragraph">
                  <wp:posOffset>3020695</wp:posOffset>
                </wp:positionV>
                <wp:extent cx="1031240" cy="265430"/>
                <wp:effectExtent l="7620" t="10795" r="8890" b="9525"/>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5430"/>
                        </a:xfrm>
                        <a:prstGeom prst="rect">
                          <a:avLst/>
                        </a:prstGeom>
                        <a:solidFill>
                          <a:srgbClr val="FFFFFF"/>
                        </a:solidFill>
                        <a:ln w="9525">
                          <a:solidFill>
                            <a:srgbClr val="000000"/>
                          </a:solidFill>
                          <a:miter lim="800000"/>
                          <a:headEnd/>
                          <a:tailEnd/>
                        </a:ln>
                      </wps:spPr>
                      <wps:txbx>
                        <w:txbxContent>
                          <w:p w14:paraId="319C48FC" w14:textId="77777777" w:rsidR="00B63507" w:rsidRDefault="00B63507" w:rsidP="008862C7">
                            <w:r>
                              <w:t>CAMEROUN</w:t>
                            </w:r>
                          </w:p>
                          <w:p w14:paraId="53A8B400" w14:textId="77777777" w:rsidR="00B63507" w:rsidRDefault="00B63507" w:rsidP="008862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D1C89" id="Text Box 65" o:spid="_x0000_s1109" type="#_x0000_t202" style="position:absolute;left:0;text-align:left;margin-left:-220.65pt;margin-top:237.85pt;width:81.2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">
                <v:textbox>
                  <w:txbxContent>
                    <w:p w14:paraId="319C48FC" w14:textId="77777777" w:rsidR="00B63507" w:rsidRDefault="00B63507" w:rsidP="008862C7">
                      <w:r>
                        <w:t>CAMEROUN</w:t>
                      </w:r>
                    </w:p>
                    <w:p w14:paraId="53A8B400" w14:textId="77777777" w:rsidR="00B63507" w:rsidRDefault="00B63507" w:rsidP="008862C7"/>
                  </w:txbxContent>
                </v:textbox>
              </v:shape>
            </w:pict>
          </mc:Fallback>
        </mc:AlternateContent>
      </w:r>
      <w:r w:rsidR="008862C7">
        <w:rPr>
          <w:rFonts w:ascii="Calibri" w:eastAsia="Times New Roman" w:hAnsi="Calibri" w:cs="Times New Roman"/>
          <w:noProof/>
          <w:lang w:eastAsia="fr-FR"/>
        </w:rPr>
        <w:drawing>
          <wp:inline distT="0" distB="0" distL="0" distR="0" wp14:anchorId="1E39F627" wp14:editId="30A4FE8D">
            <wp:extent cx="5890260" cy="2042795"/>
            <wp:effectExtent l="0" t="0" r="0" b="0"/>
            <wp:docPr id="69" name="Graphique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862C7">
        <w:rPr>
          <w:rFonts w:ascii="Arial" w:hAnsi="Arial" w:cs="Arial"/>
          <w:sz w:val="20"/>
          <w:szCs w:val="24"/>
        </w:rPr>
        <w:t>Source : Banque Mondiale, 2002.</w:t>
      </w:r>
    </w:p>
    <w:p w14:paraId="0600AE38"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 coût salarial effectif est de 1,7 fois plus élevé en RCA qu’au Cameroun et 2 fois plus en RCA qu’au Congo. Ce désavantage général de l’économie centrafricaine se répercute aussi sur la compétitivité de ces produits exportables dont le coton. Ainsi en RCA le salaire moyen effectif est de 89 FCFA pour une unité de coton fibre produite contre 60 FCFA pour 1,6 unité de coton fibre produit au Cameroun. </w:t>
      </w:r>
    </w:p>
    <w:p w14:paraId="63285C5B" w14:textId="77777777" w:rsidR="008862C7" w:rsidRDefault="008862C7" w:rsidP="008862C7">
      <w:pPr>
        <w:pStyle w:val="Paragraphedeliste"/>
        <w:autoSpaceDE w:val="0"/>
        <w:autoSpaceDN w:val="0"/>
        <w:adjustRightInd w:val="0"/>
        <w:spacing w:before="120" w:after="0" w:line="360" w:lineRule="auto"/>
        <w:ind w:left="0"/>
        <w:jc w:val="both"/>
        <w:outlineLvl w:val="6"/>
        <w:rPr>
          <w:rFonts w:ascii="Arial" w:hAnsi="Arial" w:cs="Arial"/>
          <w:b/>
          <w:sz w:val="24"/>
          <w:szCs w:val="24"/>
        </w:rPr>
      </w:pPr>
      <w:bookmarkStart w:id="271" w:name="_Toc395107682"/>
      <w:r>
        <w:rPr>
          <w:rFonts w:ascii="Arial" w:hAnsi="Arial" w:cs="Arial"/>
          <w:b/>
          <w:sz w:val="24"/>
          <w:szCs w:val="24"/>
        </w:rPr>
        <w:t>b. Technologie</w:t>
      </w:r>
      <w:bookmarkEnd w:id="271"/>
    </w:p>
    <w:p w14:paraId="1E6BE9E0"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L’un des domaines sur lequel le coton centrafricain est en retrait sur les dimensions de la compétitivité est celui de la technologie. On sait que la compétitivité d’une entreprise ou d’une économie dépend de plus en plus de sa capacité à mettre sur le marché de nouveaux produits de bonnes qualités. Or, si le coton centrafricain est réputé être de meilleures qualités cela est essentiellement dû aux pratiques culturales utilisées en Centrafrique (culture manuelle et attelée et récolte à la main) et non aux technologies incorporées dans le produit (investissement dans la recherche, et dans les capacités humaines). </w:t>
      </w:r>
    </w:p>
    <w:p w14:paraId="2CF7EF8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Ainsi, le faible niveau et la faible qualité de la formation professionnelle en RCA associés aux contraintes budgétaires de la société cotonnière, sont les principaux facteurs qui handicapent l’accès de la filière à de technologies innovantes.</w:t>
      </w:r>
    </w:p>
    <w:p w14:paraId="3EAD980A"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4"/>
          <w:szCs w:val="24"/>
        </w:rPr>
      </w:pPr>
      <w:bookmarkStart w:id="272" w:name="_Toc395107683"/>
      <w:r>
        <w:rPr>
          <w:rFonts w:ascii="Arial" w:hAnsi="Arial" w:cs="Arial"/>
          <w:b/>
          <w:sz w:val="24"/>
          <w:szCs w:val="24"/>
        </w:rPr>
        <w:t>Investissements Directs Etrangers</w:t>
      </w:r>
      <w:bookmarkEnd w:id="272"/>
      <w:r>
        <w:rPr>
          <w:rFonts w:ascii="Arial" w:hAnsi="Arial" w:cs="Arial"/>
          <w:b/>
          <w:sz w:val="24"/>
          <w:szCs w:val="24"/>
        </w:rPr>
        <w:t xml:space="preserve"> </w:t>
      </w:r>
    </w:p>
    <w:p w14:paraId="24AE8AB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L’acquisition de nouvelles technologies peut être de plusieurs sources, au nombre desquelles les Investissements Directs Etrangers (IDE) ne sont pas des moindres. En effet les IDE constituent selon les auteurs une véritable source de transfert de technologies innovantes et donc de la compétitivité d’une économie. En effet l’IDE peut constituer soit à une délocalisation de la filiale des Firme Multinational (FMN) et leur implantation dans le pays d’accueil ce qui pourrait avoir un </w:t>
      </w:r>
      <w:r>
        <w:rPr>
          <w:rFonts w:ascii="Arial" w:hAnsi="Arial" w:cs="Arial"/>
          <w:sz w:val="24"/>
          <w:szCs w:val="24"/>
        </w:rPr>
        <w:lastRenderedPageBreak/>
        <w:t>effet d’entrainement positif sur les autres secteurs de l’économie par le transfert de technologie source de compétitivité structurelle. Il peut aussi être une construction/extension de la filiale mère. Dans les deux cas il est clair que l’IDE est un facteur déterminant pour l’accroissement de la compétitivité d’une économie.</w:t>
      </w:r>
    </w:p>
    <w:p w14:paraId="570CEC4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Sur ce point, la RCA est une destination très marginale pour les IDE avec des flux annuels classés parmi les plus faibles de la sous-région. Toutefois, les indices montrent que le gros des IDE entrant en RCA s’est orienté dans l’exportation forestière et le traitement du bois, le secteur fluvial et le secteur cotonnier. En effet, l’acquisition ou la prise de participation de la SDIC une compagnie chinoise dans la société cotonnière alors privatisée s’est aussi traduit par la construction d’une nouvelle usine d’égrainage à Bossangoa et l’introduction de deux nouvelles variétés de coton avec de rendement dépassant les 1.500 kg/ha. </w:t>
      </w:r>
    </w:p>
    <w:p w14:paraId="25D0DFB8" w14:textId="77777777" w:rsidR="008862C7" w:rsidRDefault="008862C7" w:rsidP="008862C7">
      <w:pPr>
        <w:pStyle w:val="Default"/>
        <w:numPr>
          <w:ilvl w:val="0"/>
          <w:numId w:val="41"/>
        </w:numPr>
        <w:spacing w:before="120" w:line="360" w:lineRule="auto"/>
        <w:jc w:val="both"/>
        <w:outlineLvl w:val="7"/>
        <w:rPr>
          <w:b/>
          <w:color w:val="auto"/>
        </w:rPr>
      </w:pPr>
      <w:bookmarkStart w:id="273" w:name="_Toc395107684"/>
      <w:r>
        <w:rPr>
          <w:b/>
          <w:color w:val="auto"/>
        </w:rPr>
        <w:t>Technologie de production cotonnière</w:t>
      </w:r>
      <w:bookmarkEnd w:id="273"/>
    </w:p>
    <w:p w14:paraId="592368B7" w14:textId="77777777" w:rsidR="008862C7" w:rsidRDefault="008862C7" w:rsidP="008862C7">
      <w:pPr>
        <w:pStyle w:val="Default"/>
        <w:spacing w:before="120" w:line="360" w:lineRule="auto"/>
        <w:jc w:val="both"/>
        <w:rPr>
          <w:color w:val="auto"/>
        </w:rPr>
      </w:pPr>
      <w:r>
        <w:rPr>
          <w:color w:val="auto"/>
        </w:rPr>
        <w:t xml:space="preserve">L’efficacité et l’efficience des exploitations cotonnières en Centrafrique dépendent en grande partie de la maîtrise de bonnes pratiques agricoles (technologie de production), des technologies post-récoltes, de la mode de gestion des exploitations cotonnières. </w:t>
      </w:r>
    </w:p>
    <w:p w14:paraId="3E750A46" w14:textId="77777777" w:rsidR="008862C7" w:rsidRDefault="008862C7" w:rsidP="008862C7">
      <w:pPr>
        <w:pStyle w:val="Default"/>
        <w:spacing w:before="120" w:line="360" w:lineRule="auto"/>
        <w:jc w:val="both"/>
        <w:rPr>
          <w:color w:val="auto"/>
        </w:rPr>
      </w:pPr>
      <w:r>
        <w:rPr>
          <w:color w:val="auto"/>
        </w:rPr>
        <w:t xml:space="preserve">Des études menées dans le secteur agricole et agroalimentaire de par le monde révèlent : (i) l’incidence positive de l’intensité factorielle sur l’efficience technique des exploitations agricoles. Sur ce point, la faiblesse des actifs agricoles familiaux, le mode de culture à dominante manuelle et le faible niveau d’intensification par les intrants des exploitations cotonnières centrafricaines ne leur permettent pas d’être techniquement efficients ; (ii) le mode de gestion de la main-d’œuvre comme déterminant de l’efficience technique. </w:t>
      </w:r>
    </w:p>
    <w:p w14:paraId="2B17F872" w14:textId="77777777" w:rsidR="008862C7" w:rsidRDefault="008862C7" w:rsidP="008862C7">
      <w:pPr>
        <w:pStyle w:val="Default"/>
        <w:spacing w:before="120" w:line="360" w:lineRule="auto"/>
        <w:jc w:val="both"/>
        <w:rPr>
          <w:color w:val="auto"/>
        </w:rPr>
      </w:pPr>
      <w:r>
        <w:rPr>
          <w:color w:val="auto"/>
        </w:rPr>
        <w:t>L’étude du mode gestion de la main-d’œuvre révèle que la faiblesse de la main-d’œuvre familiale est généralement compensée par la main-d’œuvre extérieure sous toutes ses formes. Si le coût de la convocation de la main d’œuvre extérieure vient alourdir le coût de la production, il permet par contre le respect du calendrier cultural source de gain de productivité ; (iii) l’effet bénéfique de la spécialisation des exploitations agricoles et agroalimentaire. (Carroll et al, 2009 ; Latruffe et al. 2009). L’étude du système productif du coton en Centrafrique révèle que  les producteurs des zones éloignées des centres urbains adoptent des stratégies d’intensification de la production cotonnière, ce qui leur permet d’avoir des rendements élevés. Ainsi l’accroissement de l’effectif de ces producteurs et l’entretien des infrastructures routières des zones reculées pourront être des sources de gains de compétitivité.</w:t>
      </w:r>
    </w:p>
    <w:p w14:paraId="51A2FF29" w14:textId="77777777" w:rsidR="008862C7" w:rsidRDefault="008862C7" w:rsidP="008862C7">
      <w:pPr>
        <w:pStyle w:val="Paragraphedeliste"/>
        <w:autoSpaceDE w:val="0"/>
        <w:autoSpaceDN w:val="0"/>
        <w:adjustRightInd w:val="0"/>
        <w:spacing w:before="120" w:after="0" w:line="360" w:lineRule="auto"/>
        <w:ind w:left="0"/>
        <w:jc w:val="both"/>
        <w:outlineLvl w:val="6"/>
        <w:rPr>
          <w:rFonts w:ascii="Arial" w:hAnsi="Arial" w:cs="Arial"/>
          <w:b/>
          <w:sz w:val="24"/>
          <w:szCs w:val="24"/>
        </w:rPr>
      </w:pPr>
      <w:bookmarkStart w:id="274" w:name="_Toc395107685"/>
      <w:r>
        <w:rPr>
          <w:rFonts w:ascii="Arial" w:hAnsi="Arial" w:cs="Arial"/>
          <w:b/>
          <w:sz w:val="24"/>
          <w:szCs w:val="24"/>
        </w:rPr>
        <w:t>c. Economies d’échelle : t</w:t>
      </w:r>
      <w:r>
        <w:rPr>
          <w:rFonts w:ascii="Arial" w:hAnsi="Arial" w:cs="Arial"/>
          <w:b/>
          <w:iCs/>
          <w:sz w:val="24"/>
          <w:szCs w:val="24"/>
        </w:rPr>
        <w:t>aille des exploitations cotonnières</w:t>
      </w:r>
      <w:bookmarkEnd w:id="274"/>
      <w:r>
        <w:rPr>
          <w:rFonts w:ascii="Arial" w:hAnsi="Arial" w:cs="Arial"/>
          <w:b/>
          <w:iCs/>
          <w:sz w:val="24"/>
          <w:szCs w:val="24"/>
        </w:rPr>
        <w:t xml:space="preserve"> </w:t>
      </w:r>
    </w:p>
    <w:p w14:paraId="7523A840"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lastRenderedPageBreak/>
        <w:t xml:space="preserve">La question de savoir si les petites exploitations sont plus performantes que les grandes exploitations reste d’actualité dans le monde entier. Le débat a été lancé par la démonstration empirique d’une relation inverse entre la taille des exploitations et leur productivité (Cornia, 1985). Le principal argument avancé pour expliquer cette relation est que les petites exploitations ne sont pas affectées par les problèmes de supervision et d’organisation de la main-d’œuvre et que la main-d’œuvre familiale est très motivée puisqu’elle bénéficie des profits de l’exploitation. </w:t>
      </w:r>
    </w:p>
    <w:p w14:paraId="73FA8FB7"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Toutefois, cette relation inverse entre la taille et la performance est régulièrement remise en question, au motif que les grandes exploitations réaliseraient des économies d’échelle et jouiraient d’un accès préférentiel aux marchés des intrants et des extrants (Latruffe, 2010). </w:t>
      </w:r>
    </w:p>
    <w:p w14:paraId="6E68520B"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Ces résultats se confirment si on les rapporte à la filière cotonnière en RCA. Quel que soit le ou les indicateurs retenus, la taille des exploitations constitue un véritable levier pour améliorer l’efficience allocative et technique ainsi que la productivité des facteurs. D’ailleurs selon les données, si grâce par la petite taille de ces exploitations, l’Afrique dispose d’un coût de production à l’hectare nettement inférieur à la moyenne des pays disposant de grandes exploitations (395 USD contre 617 USD par hectare en moyenne), cet avantage à l’hectare disparait lorsqu’on rapporte le coût à la production (0,36 USD contre 0,33 USD par Kg de coton graine en moyenne mondiale). Ces résultats sont exacerbés par les problèmes structurels auxquels la filière fait face depuis plus d’une décennie. De plus, une comparaison des rendements moyens obtenus dans les principaux pays et zones de production permet de se rendre à l’évidence que les pays disposant de grandes superficies bénéficient de meilleurs rendements à l’hectare. </w:t>
      </w:r>
    </w:p>
    <w:p w14:paraId="332065DC"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En prenant comme base de comparaison les compagnes 1980/81 et 2004/05, il est remarquable de constater les progressions des pays emblavant les grandes superficies. Aux Etats-Unis, les rendements sont passés de 453 à 958 kg par hectare. En Inde, ils sont passés de 169 à 463 kg/ha, alors qu’en Pakistan, ces rendements sont passés de 339 à 769 kg/ha. C’est au Brésil où les rendements sont multipliés par cinq passant de 208 à 1.101 kg par hectare. </w:t>
      </w:r>
    </w:p>
    <w:p w14:paraId="7CF0781E" w14:textId="77777777" w:rsidR="008862C7" w:rsidRDefault="008862C7" w:rsidP="008862C7">
      <w:pPr>
        <w:pStyle w:val="Paragraphedeliste"/>
        <w:autoSpaceDE w:val="0"/>
        <w:autoSpaceDN w:val="0"/>
        <w:adjustRightInd w:val="0"/>
        <w:spacing w:before="120" w:after="0" w:line="360" w:lineRule="auto"/>
        <w:ind w:left="0"/>
        <w:jc w:val="both"/>
        <w:outlineLvl w:val="6"/>
        <w:rPr>
          <w:rFonts w:ascii="Arial" w:hAnsi="Arial" w:cs="Arial"/>
          <w:b/>
          <w:sz w:val="24"/>
          <w:szCs w:val="24"/>
        </w:rPr>
      </w:pPr>
      <w:bookmarkStart w:id="275" w:name="_Toc395107686"/>
      <w:r>
        <w:rPr>
          <w:rFonts w:ascii="Arial" w:hAnsi="Arial" w:cs="Arial"/>
          <w:b/>
          <w:sz w:val="24"/>
          <w:szCs w:val="24"/>
        </w:rPr>
        <w:t>d. Régulation et politiques des échanges</w:t>
      </w:r>
      <w:bookmarkEnd w:id="275"/>
    </w:p>
    <w:p w14:paraId="303D16E1"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Les politiques et réglementations publiques ont une incidence directe sur les décisions des producteurs de coton dans l’allocation de leurs ressources productives. Ces interventions des pouvoirs publics impactent la loi du marché et faussent ainsi le jeu de la libre concurrence entre les acteurs. Au nombre des moyens à la disposition du pouvoir public en Centrafrique, on peut citer entre autres : les interventions directes des pouvoirs publics dans la filière (octroi de </w:t>
      </w:r>
      <w:r>
        <w:rPr>
          <w:rFonts w:ascii="Arial" w:hAnsi="Arial" w:cs="Arial"/>
          <w:sz w:val="24"/>
          <w:szCs w:val="24"/>
        </w:rPr>
        <w:lastRenderedPageBreak/>
        <w:t xml:space="preserve">subventions, allégement et ou suppression des droits de douane) et les dépenses en recherche, vulgarisation et infrastructures. </w:t>
      </w:r>
    </w:p>
    <w:p w14:paraId="32A37282" w14:textId="77777777" w:rsidR="008862C7" w:rsidRDefault="008862C7" w:rsidP="008862C7">
      <w:pPr>
        <w:pStyle w:val="Paragraphedeliste"/>
        <w:numPr>
          <w:ilvl w:val="0"/>
          <w:numId w:val="41"/>
        </w:numPr>
        <w:autoSpaceDE w:val="0"/>
        <w:autoSpaceDN w:val="0"/>
        <w:adjustRightInd w:val="0"/>
        <w:spacing w:before="120" w:after="0" w:line="360" w:lineRule="auto"/>
        <w:jc w:val="both"/>
        <w:outlineLvl w:val="7"/>
        <w:rPr>
          <w:rFonts w:ascii="Arial" w:hAnsi="Arial" w:cs="Arial"/>
          <w:b/>
          <w:sz w:val="24"/>
          <w:szCs w:val="24"/>
        </w:rPr>
      </w:pPr>
      <w:bookmarkStart w:id="276" w:name="_Toc395107687"/>
      <w:r>
        <w:rPr>
          <w:rFonts w:ascii="Arial" w:hAnsi="Arial" w:cs="Arial"/>
          <w:b/>
          <w:sz w:val="24"/>
          <w:szCs w:val="24"/>
        </w:rPr>
        <w:t>Interventions directes des pouvoirs publics dans la filière</w:t>
      </w:r>
      <w:bookmarkEnd w:id="276"/>
    </w:p>
    <w:p w14:paraId="436CA49E"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L’intervention des pouvoirs publics centrafricains dans la filière cotonnière se fait principalement par voie des subventions internes accordées à des segments de la filière. Les subventions accordées à la filière cotonnière centrafricaine par le pouvoir public et les partenaires au développement ont généralement pour but de relancer et d’accroître la qualité et le volume de la production cotonnière. Cet accroissent en volume couplé avec l’amélioration de la qualité des fibres produit devrait permettre à la Centrafrique d’accroître par la même occasion ses parts de marché et ses revenus d’exportation. Ce qui lui permettra alors d’améliorer la compétitivité de l’économie nationale et plus précisément celle de la filière cotonnière nationale.</w:t>
      </w:r>
    </w:p>
    <w:p w14:paraId="39F40E80" w14:textId="77777777" w:rsidR="008862C7" w:rsidRDefault="008862C7" w:rsidP="008862C7">
      <w:pPr>
        <w:pStyle w:val="Paragraphedeliste"/>
        <w:numPr>
          <w:ilvl w:val="2"/>
          <w:numId w:val="47"/>
        </w:numPr>
        <w:spacing w:before="120" w:after="0" w:line="360" w:lineRule="auto"/>
        <w:ind w:left="709" w:hanging="284"/>
        <w:jc w:val="both"/>
        <w:outlineLvl w:val="8"/>
        <w:rPr>
          <w:rFonts w:ascii="Arial" w:hAnsi="Arial" w:cs="Arial"/>
          <w:b/>
          <w:sz w:val="24"/>
          <w:szCs w:val="24"/>
        </w:rPr>
      </w:pPr>
      <w:bookmarkStart w:id="277" w:name="_Toc395107688"/>
      <w:r>
        <w:rPr>
          <w:rFonts w:ascii="Arial" w:hAnsi="Arial" w:cs="Arial"/>
          <w:b/>
          <w:sz w:val="24"/>
          <w:szCs w:val="24"/>
        </w:rPr>
        <w:t>Impact sur la superficie</w:t>
      </w:r>
      <w:bookmarkEnd w:id="277"/>
    </w:p>
    <w:p w14:paraId="62DD1AD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La culture du coton est coûteuse en main-d’œuvre, en capital physique et financier mais surtout en intrant chimique. Le coût de ce dernier est une fonction croissante de la superficie. Ainsi une réduction des coûts de ceux-ci devrait avoir un impact positif sur la taille des exploitations cotonnières. Pour nous permettre d’avoir une  vue claire de cet impact, il est utile de mettre en corrélation la superficie et le volume des subventions. </w:t>
      </w:r>
    </w:p>
    <w:p w14:paraId="575AA75B"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Graphique 4.2 :</w:t>
      </w:r>
      <w:r>
        <w:rPr>
          <w:rFonts w:ascii="Arial" w:hAnsi="Arial" w:cs="Arial"/>
          <w:sz w:val="24"/>
          <w:szCs w:val="24"/>
        </w:rPr>
        <w:t xml:space="preserve"> Evolution des subventions et de la superficie coton en RCA</w:t>
      </w:r>
    </w:p>
    <w:p w14:paraId="4BD32952" w14:textId="77777777" w:rsidR="008862C7" w:rsidRDefault="008862C7" w:rsidP="008862C7">
      <w:pPr>
        <w:spacing w:before="120" w:after="0" w:line="360" w:lineRule="auto"/>
        <w:jc w:val="both"/>
        <w:rPr>
          <w:rFonts w:ascii="Arial" w:hAnsi="Arial" w:cs="Arial"/>
          <w:sz w:val="24"/>
          <w:szCs w:val="24"/>
        </w:rPr>
      </w:pPr>
      <w:r>
        <w:rPr>
          <w:rFonts w:ascii="Calibri" w:eastAsia="Times New Roman" w:hAnsi="Calibri" w:cs="Times New Roman"/>
          <w:noProof/>
          <w:lang w:eastAsia="fr-FR"/>
        </w:rPr>
        <w:drawing>
          <wp:inline distT="0" distB="0" distL="0" distR="0" wp14:anchorId="44C62C88" wp14:editId="01A737EC">
            <wp:extent cx="5795010" cy="1924050"/>
            <wp:effectExtent l="0" t="0" r="0" b="0"/>
            <wp:docPr id="70" name="Graphique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Arial" w:hAnsi="Arial" w:cs="Arial"/>
          <w:sz w:val="20"/>
          <w:szCs w:val="20"/>
        </w:rPr>
        <w:t xml:space="preserve">Source : </w:t>
      </w:r>
      <w:r w:rsidR="0079544B">
        <w:rPr>
          <w:rFonts w:ascii="Arial" w:hAnsi="Arial" w:cs="Arial"/>
          <w:sz w:val="20"/>
          <w:szCs w:val="20"/>
        </w:rPr>
        <w:t xml:space="preserve">source : </w:t>
      </w:r>
      <w:r>
        <w:rPr>
          <w:rFonts w:ascii="Arial" w:hAnsi="Arial" w:cs="Arial"/>
          <w:sz w:val="20"/>
          <w:szCs w:val="20"/>
        </w:rPr>
        <w:t>Cellule coton</w:t>
      </w:r>
      <w:r w:rsidR="0079544B">
        <w:rPr>
          <w:rFonts w:ascii="Arial" w:hAnsi="Arial" w:cs="Arial"/>
          <w:sz w:val="20"/>
          <w:szCs w:val="20"/>
        </w:rPr>
        <w:t>, 2012</w:t>
      </w:r>
    </w:p>
    <w:p w14:paraId="7EE511C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Comme nous pouvons le constater au travers des courbes ci-haut, il existe une corrélation nettement marquée entre l’évolution du volume des subventions et celle des superficies consacrées à la culture du coton. Ainsi pour un montant total de 1,350 milliards de FCFA de subvention en 2005/06, la superficie consacrée à la culture du coton est d’environ 75,170 </w:t>
      </w:r>
      <w:commentRangeStart w:id="278"/>
      <w:r>
        <w:rPr>
          <w:rFonts w:ascii="Arial" w:hAnsi="Arial" w:cs="Arial"/>
          <w:sz w:val="24"/>
          <w:szCs w:val="24"/>
        </w:rPr>
        <w:t xml:space="preserve">mille Ha. </w:t>
      </w:r>
      <w:commentRangeEnd w:id="278"/>
      <w:r>
        <w:rPr>
          <w:rStyle w:val="Marquedecommentaire"/>
          <w:rFonts w:eastAsia="Times New Roman" w:cs="Times New Roman"/>
        </w:rPr>
        <w:commentReference w:id="278"/>
      </w:r>
      <w:r>
        <w:rPr>
          <w:rFonts w:ascii="Arial" w:hAnsi="Arial" w:cs="Arial"/>
          <w:sz w:val="24"/>
          <w:szCs w:val="24"/>
        </w:rPr>
        <w:t xml:space="preserve">De même en 2008/09 et 2009/10 où le montant des subventions était respectivement de </w:t>
      </w:r>
      <w:r>
        <w:rPr>
          <w:rFonts w:ascii="Arial" w:hAnsi="Arial" w:cs="Arial"/>
          <w:sz w:val="24"/>
          <w:szCs w:val="24"/>
        </w:rPr>
        <w:lastRenderedPageBreak/>
        <w:t xml:space="preserve">1,855 milliards de FCFA et 1,500  milliards de FCFA de subvention. L’évolution des superficies en coton est la même sur la période pour s’établir respectivement autour de 28,880 mille m² et 169,660 mille m².  Ainsi, les subventions constituent un facteur déterminant de l’accroissement des superficies consacrées au coton. Mais cet accroissement de superficie ne permet à lui seul de conclure que les subventions sont un déterminant de la compétitivité du coton centrafricain. C’est pourquoi il serait intéressant de regarder son impact sur le rendement.  </w:t>
      </w:r>
    </w:p>
    <w:p w14:paraId="34E78A62" w14:textId="77777777" w:rsidR="008862C7" w:rsidRDefault="008862C7" w:rsidP="008862C7">
      <w:pPr>
        <w:pStyle w:val="Paragraphedeliste"/>
        <w:numPr>
          <w:ilvl w:val="2"/>
          <w:numId w:val="47"/>
        </w:numPr>
        <w:spacing w:before="120" w:after="0" w:line="360" w:lineRule="auto"/>
        <w:ind w:left="567"/>
        <w:jc w:val="both"/>
        <w:outlineLvl w:val="8"/>
        <w:rPr>
          <w:rFonts w:ascii="Arial" w:hAnsi="Arial" w:cs="Arial"/>
          <w:sz w:val="24"/>
          <w:szCs w:val="24"/>
        </w:rPr>
      </w:pPr>
      <w:bookmarkStart w:id="279" w:name="_Toc395107689"/>
      <w:r>
        <w:rPr>
          <w:rFonts w:ascii="Arial" w:hAnsi="Arial" w:cs="Arial"/>
          <w:b/>
          <w:sz w:val="24"/>
          <w:szCs w:val="24"/>
        </w:rPr>
        <w:t>Impact sur le rendement</w:t>
      </w:r>
      <w:bookmarkEnd w:id="279"/>
    </w:p>
    <w:p w14:paraId="31B4A6F2"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rendement à l’hectare d’une production agricole mesure la quantité d’output obtenue sur un hectare. De cette définition, il ressort que la qualité chimique et physiologique du sol est déterminante dans le niveau du rendement ; le degré d’apport en technologie, ce qui pour la culture du coton se traduit principalement par la quantité d’intrants utilisés par hectare, mais aussi par les équipements agricoles utilisés et le savoir-faire de l’agriculteur.</w:t>
      </w:r>
    </w:p>
    <w:p w14:paraId="7A75677B"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graphique suivant nous donne un aperçu de l’impact des subventions sur le rendement à l’hectare.</w:t>
      </w:r>
    </w:p>
    <w:p w14:paraId="050FC429"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Graphique 4.3 :</w:t>
      </w:r>
      <w:r>
        <w:rPr>
          <w:rFonts w:ascii="Arial" w:hAnsi="Arial" w:cs="Arial"/>
          <w:sz w:val="24"/>
          <w:szCs w:val="24"/>
        </w:rPr>
        <w:t xml:space="preserve"> Evolution des subventions et du rendement à l’hectare de coton </w:t>
      </w:r>
    </w:p>
    <w:p w14:paraId="48E510B7" w14:textId="77777777" w:rsidR="0079544B" w:rsidRDefault="008862C7" w:rsidP="008862C7">
      <w:pPr>
        <w:spacing w:after="0" w:line="360" w:lineRule="auto"/>
        <w:jc w:val="both"/>
        <w:rPr>
          <w:rFonts w:ascii="Arial" w:hAnsi="Arial" w:cs="Arial"/>
          <w:sz w:val="20"/>
          <w:szCs w:val="24"/>
        </w:rPr>
      </w:pPr>
      <w:r>
        <w:rPr>
          <w:rFonts w:ascii="Calibri" w:eastAsia="Times New Roman" w:hAnsi="Calibri" w:cs="Times New Roman"/>
          <w:noProof/>
          <w:lang w:eastAsia="fr-FR"/>
        </w:rPr>
        <w:drawing>
          <wp:inline distT="0" distB="0" distL="0" distR="0" wp14:anchorId="07191C66" wp14:editId="6963295B">
            <wp:extent cx="5747385" cy="1852295"/>
            <wp:effectExtent l="0" t="0" r="5715" b="0"/>
            <wp:docPr id="71" name="Graphique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BF22AF" w14:textId="77777777" w:rsidR="008862C7" w:rsidRDefault="008862C7" w:rsidP="008862C7">
      <w:pPr>
        <w:spacing w:after="0" w:line="360" w:lineRule="auto"/>
        <w:jc w:val="both"/>
        <w:rPr>
          <w:rFonts w:ascii="Arial" w:hAnsi="Arial" w:cs="Arial"/>
          <w:sz w:val="20"/>
          <w:szCs w:val="24"/>
        </w:rPr>
      </w:pPr>
      <w:r>
        <w:rPr>
          <w:rFonts w:ascii="Arial" w:hAnsi="Arial" w:cs="Arial"/>
          <w:sz w:val="20"/>
          <w:szCs w:val="24"/>
        </w:rPr>
        <w:t>Source : Cellule coton</w:t>
      </w:r>
      <w:r w:rsidR="0079544B">
        <w:rPr>
          <w:rFonts w:ascii="Arial" w:hAnsi="Arial" w:cs="Arial"/>
          <w:sz w:val="20"/>
          <w:szCs w:val="24"/>
        </w:rPr>
        <w:t>, 2012</w:t>
      </w:r>
    </w:p>
    <w:p w14:paraId="3DA2641F"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graphique ci-haut, nous permet de rendre compte de l’impact de la subvention sur rendement à l’hectare du coton. Ainsi on peut constater une similitude entre l’évolution du montant des subventions et celle du rendement. De même que les subventions sur la période connaissent une évolution cyclique entre 2005 et 2010 avec un pic de 3,165 milliards de FCFA en 2008, la variation du rendement à l’hectare suit un cycle avec un pic de 656 kg/ha en 2008.</w:t>
      </w:r>
    </w:p>
    <w:p w14:paraId="19E7DD38" w14:textId="77777777" w:rsidR="008862C7" w:rsidRDefault="008862C7" w:rsidP="008862C7">
      <w:pPr>
        <w:pStyle w:val="Paragraphedeliste"/>
        <w:numPr>
          <w:ilvl w:val="2"/>
          <w:numId w:val="47"/>
        </w:numPr>
        <w:spacing w:before="120" w:after="0" w:line="360" w:lineRule="auto"/>
        <w:ind w:left="567"/>
        <w:jc w:val="both"/>
        <w:outlineLvl w:val="8"/>
        <w:rPr>
          <w:rFonts w:ascii="Arial" w:hAnsi="Arial" w:cs="Arial"/>
          <w:sz w:val="24"/>
          <w:szCs w:val="24"/>
        </w:rPr>
      </w:pPr>
      <w:bookmarkStart w:id="280" w:name="_Toc395107690"/>
      <w:r>
        <w:rPr>
          <w:rFonts w:ascii="Arial" w:hAnsi="Arial" w:cs="Arial"/>
          <w:b/>
          <w:sz w:val="24"/>
          <w:szCs w:val="24"/>
        </w:rPr>
        <w:t>Impact sur le niveau de la production</w:t>
      </w:r>
      <w:bookmarkEnd w:id="280"/>
    </w:p>
    <w:p w14:paraId="6F1E6CA8"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agriculture, la variation de la production est fonction des inputs incorporés dans le processus de production. Il s’agit plus précisément de la superficie et du rendement à l’hectare. L’impact de la subvention sur ces deux facteurs a été analysé dans les parties qui précèdent, ainsi si toute </w:t>
      </w:r>
      <w:r>
        <w:rPr>
          <w:rFonts w:ascii="Arial" w:hAnsi="Arial" w:cs="Arial"/>
          <w:sz w:val="24"/>
          <w:szCs w:val="24"/>
        </w:rPr>
        <w:lastRenderedPageBreak/>
        <w:t>chose égale par ailleurs, l’évolution de la production devrait suivre la même allure comme en témoigne le graphique qui suit.</w:t>
      </w:r>
    </w:p>
    <w:p w14:paraId="7D3B5586" w14:textId="77777777" w:rsidR="008862C7" w:rsidRDefault="008862C7" w:rsidP="008862C7">
      <w:pPr>
        <w:spacing w:before="120" w:after="120" w:line="360" w:lineRule="auto"/>
        <w:jc w:val="both"/>
        <w:rPr>
          <w:rFonts w:ascii="Arial" w:hAnsi="Arial" w:cs="Arial"/>
          <w:sz w:val="24"/>
          <w:szCs w:val="24"/>
        </w:rPr>
      </w:pPr>
      <w:r>
        <w:rPr>
          <w:rFonts w:ascii="Arial" w:hAnsi="Arial" w:cs="Arial"/>
          <w:b/>
          <w:sz w:val="24"/>
          <w:szCs w:val="24"/>
        </w:rPr>
        <w:t xml:space="preserve">Graphique 4.4 : </w:t>
      </w:r>
      <w:r>
        <w:rPr>
          <w:rFonts w:ascii="Arial" w:hAnsi="Arial" w:cs="Arial"/>
          <w:sz w:val="24"/>
          <w:szCs w:val="24"/>
        </w:rPr>
        <w:t>Impact des subventions sur la production cotonnière en RCA</w:t>
      </w:r>
    </w:p>
    <w:p w14:paraId="684CF67B" w14:textId="77777777" w:rsidR="008862C7" w:rsidRDefault="00E72C3F" w:rsidP="008862C7">
      <w:pPr>
        <w:spacing w:after="0" w:line="360" w:lineRule="auto"/>
        <w:jc w:val="both"/>
        <w:rPr>
          <w:rFonts w:ascii="Arial" w:hAnsi="Arial" w:cs="Arial"/>
          <w:b/>
          <w:sz w:val="24"/>
          <w:szCs w:val="24"/>
        </w:rPr>
      </w:pPr>
      <w:r>
        <w:rPr>
          <w:rFonts w:ascii="Calibri" w:hAnsi="Calibri" w:cs="Times New Roman"/>
          <w:noProof/>
          <w:lang w:eastAsia="fr-FR"/>
        </w:rPr>
        <mc:AlternateContent>
          <mc:Choice Requires="wps">
            <w:drawing>
              <wp:anchor distT="0" distB="0" distL="114300" distR="114300" simplePos="0" relativeHeight="251700224" behindDoc="0" locked="0" layoutInCell="1" allowOverlap="1" wp14:anchorId="1C366529" wp14:editId="6DD390A3">
                <wp:simplePos x="0" y="0"/>
                <wp:positionH relativeFrom="column">
                  <wp:posOffset>767080</wp:posOffset>
                </wp:positionH>
                <wp:positionV relativeFrom="paragraph">
                  <wp:posOffset>1430020</wp:posOffset>
                </wp:positionV>
                <wp:extent cx="4133850" cy="226695"/>
                <wp:effectExtent l="0" t="1270" r="4445" b="63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EA7F8" w14:textId="77777777" w:rsidR="00B63507" w:rsidRDefault="00B63507" w:rsidP="008862C7">
                            <w:pPr>
                              <w:spacing w:after="0" w:line="240" w:lineRule="auto"/>
                              <w:rPr>
                                <w:sz w:val="16"/>
                              </w:rPr>
                            </w:pPr>
                            <w:r>
                              <w:rPr>
                                <w:sz w:val="16"/>
                              </w:rPr>
                              <w:t>05/06             06/07                 07/08                08/09                      09/10                  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66529" id="Rectangle 140" o:spid="_x0000_s1110" style="position:absolute;left:0;text-align:left;margin-left:60.4pt;margin-top:112.6pt;width:325.5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" stroked="f">
                <v:textbox>
                  <w:txbxContent>
                    <w:p w14:paraId="631EA7F8" w14:textId="77777777" w:rsidR="00B63507" w:rsidRDefault="00B63507" w:rsidP="008862C7">
                      <w:pPr>
                        <w:spacing w:after="0" w:line="240" w:lineRule="auto"/>
                        <w:rPr>
                          <w:sz w:val="16"/>
                        </w:rPr>
                      </w:pPr>
                      <w:r>
                        <w:rPr>
                          <w:sz w:val="16"/>
                        </w:rPr>
                        <w:t>05/06             06/07                 07/08                08/09                      09/10                  10/11</w:t>
                      </w:r>
                    </w:p>
                  </w:txbxContent>
                </v:textbox>
              </v:rect>
            </w:pict>
          </mc:Fallback>
        </mc:AlternateContent>
      </w:r>
      <w:r w:rsidR="008862C7">
        <w:rPr>
          <w:rFonts w:ascii="Calibri" w:eastAsia="Times New Roman" w:hAnsi="Calibri" w:cs="Times New Roman"/>
          <w:b/>
          <w:noProof/>
          <w:lang w:eastAsia="fr-FR"/>
        </w:rPr>
        <w:drawing>
          <wp:inline distT="0" distB="0" distL="0" distR="0" wp14:anchorId="6860A6A3" wp14:editId="5EE5AAEE">
            <wp:extent cx="5735955" cy="1733550"/>
            <wp:effectExtent l="0" t="0" r="0" b="0"/>
            <wp:docPr id="72" name="Graphique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98AFD0" w14:textId="77777777" w:rsidR="008862C7" w:rsidRDefault="008862C7" w:rsidP="008862C7">
      <w:pPr>
        <w:spacing w:after="0" w:line="360" w:lineRule="auto"/>
        <w:jc w:val="both"/>
        <w:rPr>
          <w:rFonts w:ascii="Arial" w:hAnsi="Arial" w:cs="Arial"/>
          <w:sz w:val="20"/>
          <w:szCs w:val="24"/>
        </w:rPr>
      </w:pPr>
      <w:r>
        <w:rPr>
          <w:rFonts w:ascii="Arial" w:hAnsi="Arial" w:cs="Arial"/>
          <w:sz w:val="20"/>
          <w:szCs w:val="24"/>
        </w:rPr>
        <w:t xml:space="preserve">Source : Cellule coton et notre calcul </w:t>
      </w:r>
    </w:p>
    <w:p w14:paraId="5B9DA450"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L’impact des subventions sur la production cotonnière de Bossangoa est positif comme nous le montre le graphique ci-haut. Selon ce graphique, en cas de hausse du montant des subventions, son effet sur l’augmentation de la production cotonnière est moins que proportionnel. En cas de baisse du montant de la subvention, c’est la chute du niveau général de la production. Cette disproportionnalité entre ces deux variables peut s’expliquer par des facteurs exogènes qui ont un impact significatif sur le niveau de la production.</w:t>
      </w:r>
    </w:p>
    <w:p w14:paraId="49B584AD" w14:textId="77777777" w:rsidR="008862C7" w:rsidRDefault="008862C7" w:rsidP="008862C7">
      <w:pPr>
        <w:pStyle w:val="Paragraphedeliste"/>
        <w:numPr>
          <w:ilvl w:val="0"/>
          <w:numId w:val="41"/>
        </w:numPr>
        <w:autoSpaceDE w:val="0"/>
        <w:autoSpaceDN w:val="0"/>
        <w:adjustRightInd w:val="0"/>
        <w:spacing w:before="120" w:after="0" w:line="360" w:lineRule="auto"/>
        <w:jc w:val="both"/>
        <w:outlineLvl w:val="7"/>
        <w:rPr>
          <w:rFonts w:ascii="Arial" w:hAnsi="Arial" w:cs="Arial"/>
          <w:b/>
          <w:sz w:val="24"/>
          <w:szCs w:val="24"/>
        </w:rPr>
      </w:pPr>
      <w:bookmarkStart w:id="281" w:name="_Toc395107691"/>
      <w:r>
        <w:rPr>
          <w:rFonts w:ascii="Arial" w:hAnsi="Arial" w:cs="Arial"/>
          <w:b/>
          <w:sz w:val="24"/>
          <w:szCs w:val="24"/>
        </w:rPr>
        <w:t>dépenses publique en recherche, vulgarisation et infrastructures</w:t>
      </w:r>
      <w:bookmarkEnd w:id="281"/>
    </w:p>
    <w:p w14:paraId="53AFC51A"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Les dépenses publiques en recherche et développement (R&amp;D) permettent la création de nouvelles technologies susceptibles d’améliorer la productivité des exploitations et de la société cotonnière et d’abaisser leurs coûts de production. Ces dépenses peuvent consister à la création ou à l’adoption de nouvelles variétés de semence, au développement de nouvelles pratiques agricoles et de mode de gestion les plus efficaces des exploitations.</w:t>
      </w:r>
    </w:p>
    <w:p w14:paraId="192951A3"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En Centrafrique, la filière cotonnière est en retard sur cette dimension de la compétitivité. A titre d’exemple les variétés de semences (F135) cultivées jusqu’à ce jour sont des variétés introduites </w:t>
      </w:r>
      <w:commentRangeStart w:id="282"/>
      <w:r>
        <w:rPr>
          <w:rFonts w:ascii="Arial" w:hAnsi="Arial" w:cs="Arial"/>
          <w:sz w:val="24"/>
          <w:szCs w:val="24"/>
        </w:rPr>
        <w:t xml:space="preserve">depuis les années 80 </w:t>
      </w:r>
      <w:commentRangeEnd w:id="282"/>
      <w:r>
        <w:rPr>
          <w:rStyle w:val="Marquedecommentaire"/>
          <w:rFonts w:eastAsia="Times New Roman" w:cs="Times New Roman"/>
        </w:rPr>
        <w:commentReference w:id="282"/>
      </w:r>
      <w:r>
        <w:rPr>
          <w:rFonts w:ascii="Arial" w:hAnsi="Arial" w:cs="Arial"/>
          <w:sz w:val="24"/>
          <w:szCs w:val="24"/>
        </w:rPr>
        <w:t>et dont le rendement à l’hectare n’excède difficilement 800 kg/ha. Contrairement à des variétés utilisées ailleurs dont le rendement à l’hectare oscille entre 1.300 à 1.500 kg/ha.</w:t>
      </w:r>
      <w:bookmarkStart w:id="283" w:name="_Toc395107692"/>
    </w:p>
    <w:p w14:paraId="612D8FDD" w14:textId="77777777" w:rsidR="008862C7" w:rsidRDefault="008862C7" w:rsidP="008862C7">
      <w:pPr>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e. Caractéristiques du produit</w:t>
      </w:r>
      <w:bookmarkStart w:id="284" w:name="_Toc321251054"/>
      <w:r>
        <w:rPr>
          <w:rFonts w:ascii="Arial" w:hAnsi="Arial" w:cs="Arial"/>
          <w:b/>
          <w:sz w:val="24"/>
          <w:szCs w:val="24"/>
        </w:rPr>
        <w:t> : q</w:t>
      </w:r>
      <w:r>
        <w:rPr>
          <w:rFonts w:ascii="Arial" w:hAnsi="Arial" w:cs="Arial"/>
          <w:b/>
          <w:sz w:val="24"/>
          <w:szCs w:val="28"/>
        </w:rPr>
        <w:t>ualité et décote du coton fibre exporté</w:t>
      </w:r>
      <w:bookmarkEnd w:id="283"/>
      <w:bookmarkEnd w:id="284"/>
    </w:p>
    <w:p w14:paraId="2BF4ED39"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La qualité du coton africain en général et celui du coton centrafricain en particulier est considéré comme plus homogène que celle du coton américain même s’il n’est pas aussi blanc du fait de conditions naturelles similaires et du nombre de variétés utilisées. Ainsi, le coton fibre </w:t>
      </w:r>
      <w:r>
        <w:rPr>
          <w:rFonts w:ascii="Arial" w:hAnsi="Arial" w:cs="Arial"/>
          <w:sz w:val="24"/>
          <w:szCs w:val="24"/>
        </w:rPr>
        <w:lastRenderedPageBreak/>
        <w:t xml:space="preserve">centrafricain est réputé pour sa bonne qualité en général. Cette qualité liée au mode de culture et de récolte manuelle est aujourd’hui menacée par la non-maîtrise des bonnes pratiques agricoles et des technologies post-récolte, les perturbations climatiques et la vétusté des égreneuses. Ces facteurs ont une incidence négative sur la longueur des soies altérant ainsi la qualité de la fibre, source de décote dans la fixation des prix du coton fibre centrafricain. </w:t>
      </w:r>
    </w:p>
    <w:p w14:paraId="6E3D78AC"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Selon le Comité Consultatif International du Coton (CCIC), les décotes dues à la dégradation de la qualité du coton fibre est à l’origine des pertes qui varient entre 10% et 40% des revenus nets d’exportation. </w:t>
      </w:r>
    </w:p>
    <w:p w14:paraId="474B5DF0"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Au niveau de la longueur des fibres, la part des différentes qualités de coton fibre dans l’exportation du coton centrafricain entre 2004 et 2009 montre qu’en moyenne 35% du coton fibre est de qualité supérieure au standard</w:t>
      </w:r>
      <w:r>
        <w:rPr>
          <w:rStyle w:val="Appelnotedebasdep"/>
          <w:rFonts w:ascii="Arial" w:hAnsi="Arial" w:cs="Arial"/>
          <w:sz w:val="24"/>
          <w:szCs w:val="24"/>
        </w:rPr>
        <w:footnoteReference w:id="47"/>
      </w:r>
      <w:r>
        <w:rPr>
          <w:rFonts w:ascii="Arial" w:hAnsi="Arial" w:cs="Arial"/>
          <w:sz w:val="24"/>
          <w:szCs w:val="24"/>
        </w:rPr>
        <w:t xml:space="preserve"> et 28,3% sont de qualité standard, soit en moyenne 40% du coton fibre exporté sur la période est de qualité inférieure au standard. Ces résultats sont faibles s’il faut les comparer à celui de la zone franc dont 60% se situe au-dessus du seuil de 1-3/32 pouce. Toutefois, elle est mieux placée que les Etats-Unis dont 40% de la récolte se range dans ou au-dessus de cette catégorie. </w:t>
      </w:r>
    </w:p>
    <w:p w14:paraId="315F98FB" w14:textId="77777777" w:rsidR="0079544B" w:rsidRDefault="0079544B" w:rsidP="008862C7">
      <w:pPr>
        <w:pStyle w:val="Textebrut"/>
        <w:spacing w:line="360" w:lineRule="auto"/>
        <w:jc w:val="both"/>
        <w:rPr>
          <w:rFonts w:ascii="Arial" w:hAnsi="Arial" w:cs="Arial"/>
          <w:szCs w:val="24"/>
        </w:rPr>
      </w:pPr>
      <w:r>
        <w:rPr>
          <w:noProof/>
        </w:rPr>
        <w:drawing>
          <wp:anchor distT="0" distB="3048" distL="114300" distR="114300" simplePos="0" relativeHeight="251677696" behindDoc="0" locked="0" layoutInCell="1" allowOverlap="1" wp14:anchorId="2BDB65FF" wp14:editId="1AE4B2F1">
            <wp:simplePos x="0" y="0"/>
            <wp:positionH relativeFrom="column">
              <wp:posOffset>286385</wp:posOffset>
            </wp:positionH>
            <wp:positionV relativeFrom="paragraph">
              <wp:posOffset>83820</wp:posOffset>
            </wp:positionV>
            <wp:extent cx="5858510" cy="3139440"/>
            <wp:effectExtent l="0" t="0" r="27940" b="22860"/>
            <wp:wrapSquare wrapText="bothSides"/>
            <wp:docPr id="138" name="Graphique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B7C9207" w14:textId="77777777" w:rsidR="0079544B" w:rsidRDefault="0079544B" w:rsidP="008862C7">
      <w:pPr>
        <w:pStyle w:val="Textebrut"/>
        <w:spacing w:line="360" w:lineRule="auto"/>
        <w:jc w:val="both"/>
        <w:rPr>
          <w:rFonts w:ascii="Arial" w:hAnsi="Arial" w:cs="Arial"/>
          <w:szCs w:val="24"/>
        </w:rPr>
      </w:pPr>
    </w:p>
    <w:p w14:paraId="34FADCE7" w14:textId="77777777" w:rsidR="0079544B" w:rsidRDefault="0079544B" w:rsidP="008862C7">
      <w:pPr>
        <w:pStyle w:val="Textebrut"/>
        <w:spacing w:line="360" w:lineRule="auto"/>
        <w:jc w:val="both"/>
        <w:rPr>
          <w:rFonts w:ascii="Arial" w:hAnsi="Arial" w:cs="Arial"/>
          <w:szCs w:val="24"/>
        </w:rPr>
      </w:pPr>
    </w:p>
    <w:p w14:paraId="16F952E7" w14:textId="77777777" w:rsidR="0079544B" w:rsidRDefault="0079544B" w:rsidP="008862C7">
      <w:pPr>
        <w:pStyle w:val="Textebrut"/>
        <w:spacing w:line="360" w:lineRule="auto"/>
        <w:jc w:val="both"/>
        <w:rPr>
          <w:rFonts w:ascii="Arial" w:hAnsi="Arial" w:cs="Arial"/>
          <w:szCs w:val="24"/>
        </w:rPr>
      </w:pPr>
    </w:p>
    <w:p w14:paraId="75EE183E" w14:textId="77777777" w:rsidR="0079544B" w:rsidRDefault="0079544B" w:rsidP="008862C7">
      <w:pPr>
        <w:pStyle w:val="Textebrut"/>
        <w:spacing w:line="360" w:lineRule="auto"/>
        <w:jc w:val="both"/>
        <w:rPr>
          <w:rFonts w:ascii="Arial" w:hAnsi="Arial" w:cs="Arial"/>
          <w:szCs w:val="24"/>
        </w:rPr>
      </w:pPr>
    </w:p>
    <w:p w14:paraId="4A2508CB" w14:textId="77777777" w:rsidR="0079544B" w:rsidRDefault="0079544B" w:rsidP="008862C7">
      <w:pPr>
        <w:pStyle w:val="Textebrut"/>
        <w:spacing w:line="360" w:lineRule="auto"/>
        <w:jc w:val="both"/>
        <w:rPr>
          <w:rFonts w:ascii="Arial" w:hAnsi="Arial" w:cs="Arial"/>
          <w:szCs w:val="24"/>
        </w:rPr>
      </w:pPr>
    </w:p>
    <w:p w14:paraId="09CF40C5" w14:textId="77777777" w:rsidR="0079544B" w:rsidRDefault="0079544B" w:rsidP="008862C7">
      <w:pPr>
        <w:pStyle w:val="Textebrut"/>
        <w:spacing w:line="360" w:lineRule="auto"/>
        <w:jc w:val="both"/>
        <w:rPr>
          <w:rFonts w:ascii="Arial" w:hAnsi="Arial" w:cs="Arial"/>
          <w:szCs w:val="24"/>
        </w:rPr>
      </w:pPr>
    </w:p>
    <w:p w14:paraId="6EF4840E" w14:textId="77777777" w:rsidR="0079544B" w:rsidRDefault="0079544B" w:rsidP="008862C7">
      <w:pPr>
        <w:pStyle w:val="Textebrut"/>
        <w:spacing w:line="360" w:lineRule="auto"/>
        <w:jc w:val="both"/>
        <w:rPr>
          <w:rFonts w:ascii="Arial" w:hAnsi="Arial" w:cs="Arial"/>
          <w:szCs w:val="24"/>
        </w:rPr>
      </w:pPr>
    </w:p>
    <w:p w14:paraId="357AF9A8" w14:textId="77777777" w:rsidR="0079544B" w:rsidRDefault="0079544B" w:rsidP="008862C7">
      <w:pPr>
        <w:pStyle w:val="Textebrut"/>
        <w:spacing w:line="360" w:lineRule="auto"/>
        <w:jc w:val="both"/>
        <w:rPr>
          <w:rFonts w:ascii="Arial" w:hAnsi="Arial" w:cs="Arial"/>
          <w:szCs w:val="24"/>
        </w:rPr>
      </w:pPr>
    </w:p>
    <w:p w14:paraId="49C88383" w14:textId="77777777" w:rsidR="0079544B" w:rsidRDefault="0079544B" w:rsidP="008862C7">
      <w:pPr>
        <w:pStyle w:val="Textebrut"/>
        <w:spacing w:line="360" w:lineRule="auto"/>
        <w:jc w:val="both"/>
        <w:rPr>
          <w:rFonts w:ascii="Arial" w:hAnsi="Arial" w:cs="Arial"/>
          <w:szCs w:val="24"/>
        </w:rPr>
      </w:pPr>
    </w:p>
    <w:p w14:paraId="2C6A1E7E" w14:textId="77777777" w:rsidR="0079544B" w:rsidRDefault="0079544B" w:rsidP="008862C7">
      <w:pPr>
        <w:pStyle w:val="Textebrut"/>
        <w:spacing w:line="360" w:lineRule="auto"/>
        <w:jc w:val="both"/>
        <w:rPr>
          <w:rFonts w:ascii="Arial" w:hAnsi="Arial" w:cs="Arial"/>
          <w:szCs w:val="24"/>
        </w:rPr>
      </w:pPr>
    </w:p>
    <w:p w14:paraId="7E20A2CF" w14:textId="77777777" w:rsidR="0079544B" w:rsidRDefault="0079544B" w:rsidP="008862C7">
      <w:pPr>
        <w:pStyle w:val="Textebrut"/>
        <w:spacing w:line="360" w:lineRule="auto"/>
        <w:jc w:val="both"/>
        <w:rPr>
          <w:rFonts w:ascii="Arial" w:hAnsi="Arial" w:cs="Arial"/>
          <w:szCs w:val="24"/>
        </w:rPr>
      </w:pPr>
    </w:p>
    <w:p w14:paraId="4512D3A3" w14:textId="77777777" w:rsidR="0079544B" w:rsidRDefault="0079544B" w:rsidP="008862C7">
      <w:pPr>
        <w:pStyle w:val="Textebrut"/>
        <w:spacing w:line="360" w:lineRule="auto"/>
        <w:jc w:val="both"/>
        <w:rPr>
          <w:rFonts w:ascii="Arial" w:hAnsi="Arial" w:cs="Arial"/>
          <w:szCs w:val="24"/>
        </w:rPr>
      </w:pPr>
    </w:p>
    <w:p w14:paraId="7E4DF88A" w14:textId="77777777" w:rsidR="0079544B" w:rsidRDefault="0079544B" w:rsidP="008862C7">
      <w:pPr>
        <w:pStyle w:val="Textebrut"/>
        <w:spacing w:line="360" w:lineRule="auto"/>
        <w:jc w:val="both"/>
        <w:rPr>
          <w:rFonts w:ascii="Arial" w:hAnsi="Arial" w:cs="Arial"/>
          <w:szCs w:val="24"/>
        </w:rPr>
      </w:pPr>
    </w:p>
    <w:p w14:paraId="1044CEA8" w14:textId="77777777" w:rsidR="0079544B" w:rsidRDefault="0079544B" w:rsidP="008862C7">
      <w:pPr>
        <w:pStyle w:val="Textebrut"/>
        <w:spacing w:line="360" w:lineRule="auto"/>
        <w:jc w:val="both"/>
        <w:rPr>
          <w:rFonts w:ascii="Arial" w:hAnsi="Arial" w:cs="Arial"/>
          <w:szCs w:val="24"/>
        </w:rPr>
      </w:pPr>
    </w:p>
    <w:p w14:paraId="3AB8B4B6" w14:textId="77777777" w:rsidR="0079544B" w:rsidRDefault="0079544B" w:rsidP="008862C7">
      <w:pPr>
        <w:pStyle w:val="Textebrut"/>
        <w:spacing w:line="360" w:lineRule="auto"/>
        <w:jc w:val="both"/>
        <w:rPr>
          <w:rFonts w:ascii="Arial" w:hAnsi="Arial" w:cs="Arial"/>
          <w:szCs w:val="24"/>
        </w:rPr>
      </w:pPr>
    </w:p>
    <w:p w14:paraId="5AF96E00" w14:textId="77777777" w:rsidR="008862C7" w:rsidRDefault="008862C7" w:rsidP="008862C7">
      <w:pPr>
        <w:pStyle w:val="Textebrut"/>
        <w:spacing w:line="360" w:lineRule="auto"/>
        <w:jc w:val="both"/>
        <w:rPr>
          <w:rFonts w:ascii="Arial" w:hAnsi="Arial" w:cs="Arial"/>
          <w:szCs w:val="24"/>
        </w:rPr>
      </w:pPr>
      <w:r>
        <w:rPr>
          <w:rFonts w:ascii="Arial" w:hAnsi="Arial" w:cs="Arial"/>
          <w:szCs w:val="24"/>
        </w:rPr>
        <w:t>Source : Cellule coton, 2012</w:t>
      </w:r>
    </w:p>
    <w:p w14:paraId="2DFDE592"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lastRenderedPageBreak/>
        <w:t>Plus la proportion des qualités inferieures au Jiba est élevée plus le prix moyen décroit et inversement. De ce graphique, il ressort qu’en 2004 plus de 64% de la production est composée des qualités inférieures au Jiba, 90% en 2005, 72% en 2009 excepté 2006 ou il n’était que de 37%, ce qui réduit considérablement les recettes d’exportation du coton centrafricain et par conséquence sa compétitivité qualité sur le marché mondial.</w:t>
      </w:r>
    </w:p>
    <w:p w14:paraId="005CD747"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Toutefois il est à noter que si le coton centrafricain à l’instar de celui cultivé partout en Afrique dispose d’un avantage en termes de qualité par rapport au coton américain, celui-ci n’est pas suffisamment valorisé dans la construction de l’indice A.</w:t>
      </w:r>
    </w:p>
    <w:p w14:paraId="04BB6BFB"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Il est donc clair que la qualité constitue un véritable levier de la compétitivité structurelle du coton centrafricain sur le marché mondial. Elle doit de ce fait être prise en compte non seulement dans notre modèle économétrique mais aussi dans toutes politiques ou stratégies d’accroissement de la compétitivité de cette filière.</w:t>
      </w:r>
    </w:p>
    <w:p w14:paraId="252A1D9B" w14:textId="77777777" w:rsidR="008862C7" w:rsidRDefault="008862C7" w:rsidP="008862C7">
      <w:pPr>
        <w:pStyle w:val="Paragraphedeliste"/>
        <w:numPr>
          <w:ilvl w:val="1"/>
          <w:numId w:val="46"/>
        </w:numPr>
        <w:spacing w:before="120" w:after="0" w:line="360" w:lineRule="auto"/>
        <w:jc w:val="both"/>
        <w:outlineLvl w:val="3"/>
        <w:rPr>
          <w:rFonts w:ascii="Arial" w:hAnsi="Arial" w:cs="Arial"/>
          <w:b/>
          <w:sz w:val="24"/>
          <w:szCs w:val="24"/>
        </w:rPr>
      </w:pPr>
      <w:bookmarkStart w:id="285" w:name="_Toc395107693"/>
      <w:r>
        <w:rPr>
          <w:rFonts w:ascii="Arial" w:hAnsi="Arial" w:cs="Arial"/>
          <w:b/>
          <w:sz w:val="24"/>
          <w:szCs w:val="24"/>
        </w:rPr>
        <w:t>Déterminants externe de la compétitivité du coton centrafricain.</w:t>
      </w:r>
      <w:bookmarkEnd w:id="285"/>
    </w:p>
    <w:p w14:paraId="5BBE859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Au nombre des facteurs externes qui peuvent influencer la compétitivité du coton centrafricain, on peut citer le taux de change notamment la parité du dollar par rapport au FCFA, les conditions du marché international et les préférences et arrangement entre les Etats.</w:t>
      </w:r>
    </w:p>
    <w:p w14:paraId="37186B1B" w14:textId="77777777" w:rsidR="008862C7" w:rsidRDefault="008862C7" w:rsidP="008862C7">
      <w:pPr>
        <w:pStyle w:val="Paragraphedeliste"/>
        <w:spacing w:before="120" w:after="0" w:line="360" w:lineRule="auto"/>
        <w:ind w:left="0"/>
        <w:jc w:val="both"/>
        <w:outlineLvl w:val="6"/>
        <w:rPr>
          <w:rFonts w:ascii="Arial" w:hAnsi="Arial" w:cs="Arial"/>
          <w:b/>
          <w:sz w:val="24"/>
          <w:szCs w:val="24"/>
        </w:rPr>
      </w:pPr>
      <w:bookmarkStart w:id="286" w:name="_Toc395107694"/>
      <w:r>
        <w:rPr>
          <w:rFonts w:ascii="Arial" w:hAnsi="Arial" w:cs="Arial"/>
          <w:b/>
          <w:sz w:val="24"/>
          <w:szCs w:val="24"/>
        </w:rPr>
        <w:t>a. Taux de change</w:t>
      </w:r>
      <w:bookmarkStart w:id="287" w:name="_Toc321251082"/>
      <w:bookmarkEnd w:id="286"/>
    </w:p>
    <w:p w14:paraId="3ED1BA3C" w14:textId="77777777" w:rsidR="008862C7" w:rsidRDefault="008862C7" w:rsidP="008862C7">
      <w:pPr>
        <w:pStyle w:val="Paragraphedeliste"/>
        <w:numPr>
          <w:ilvl w:val="0"/>
          <w:numId w:val="41"/>
        </w:numPr>
        <w:spacing w:before="120" w:after="0" w:line="360" w:lineRule="auto"/>
        <w:ind w:left="714" w:hanging="357"/>
        <w:jc w:val="both"/>
        <w:outlineLvl w:val="7"/>
        <w:rPr>
          <w:rFonts w:ascii="Arial" w:hAnsi="Arial" w:cs="Arial"/>
          <w:b/>
          <w:szCs w:val="24"/>
        </w:rPr>
      </w:pPr>
      <w:bookmarkStart w:id="288" w:name="_Toc395107695"/>
      <w:r>
        <w:rPr>
          <w:rFonts w:ascii="Arial" w:hAnsi="Arial" w:cs="Arial"/>
          <w:b/>
          <w:sz w:val="24"/>
          <w:szCs w:val="28"/>
        </w:rPr>
        <w:t>Taux de Change Effectif Réel de la filière coton (TCER)</w:t>
      </w:r>
      <w:bookmarkEnd w:id="287"/>
      <w:bookmarkEnd w:id="288"/>
    </w:p>
    <w:p w14:paraId="0EE257F5"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taux de change effectif réel est l’indice d’évaluation de la compétitivité d’une économie ou d’une entreprise. Il sert à indiquer l’évolution de la compétitivité dans le temps, permettant ainsi de déterminer si la compétitivité s’est améliorée ou détériorée aux files des ans. Mesuré par le rapport des prix internationaux sur les prix nationaux du coton, sur la décennie, le taux de change est donné par la courbe suivante.</w:t>
      </w:r>
    </w:p>
    <w:p w14:paraId="1C550269" w14:textId="77777777" w:rsidR="008862C7" w:rsidRDefault="008862C7" w:rsidP="008862C7">
      <w:pPr>
        <w:spacing w:before="120" w:after="0" w:line="360" w:lineRule="auto"/>
        <w:jc w:val="both"/>
        <w:rPr>
          <w:rFonts w:ascii="Arial" w:hAnsi="Arial" w:cs="Arial"/>
          <w:sz w:val="24"/>
          <w:szCs w:val="24"/>
        </w:rPr>
      </w:pPr>
      <w:r>
        <w:rPr>
          <w:rFonts w:ascii="Arial" w:hAnsi="Arial" w:cs="Arial"/>
          <w:b/>
          <w:sz w:val="24"/>
          <w:szCs w:val="24"/>
        </w:rPr>
        <w:t>Graphique 4.6 :</w:t>
      </w:r>
      <w:r>
        <w:rPr>
          <w:rFonts w:ascii="Arial" w:hAnsi="Arial" w:cs="Arial"/>
          <w:sz w:val="24"/>
          <w:szCs w:val="24"/>
        </w:rPr>
        <w:t xml:space="preserve"> Taux de change effectif réel de la filière cotonnière centrafricaine</w:t>
      </w:r>
    </w:p>
    <w:p w14:paraId="044A36A9" w14:textId="77777777" w:rsidR="008862C7" w:rsidRDefault="008862C7" w:rsidP="008862C7">
      <w:pPr>
        <w:spacing w:after="0"/>
        <w:jc w:val="both"/>
        <w:rPr>
          <w:rFonts w:ascii="Arial" w:hAnsi="Arial" w:cs="Arial"/>
          <w:sz w:val="24"/>
          <w:szCs w:val="24"/>
        </w:rPr>
      </w:pPr>
      <w:r>
        <w:rPr>
          <w:rFonts w:ascii="Calibri" w:eastAsia="Times New Roman" w:hAnsi="Calibri" w:cs="Times New Roman"/>
          <w:noProof/>
          <w:lang w:eastAsia="fr-FR"/>
        </w:rPr>
        <w:drawing>
          <wp:inline distT="0" distB="0" distL="0" distR="0" wp14:anchorId="52B19015" wp14:editId="00F148E1">
            <wp:extent cx="5700395" cy="1745615"/>
            <wp:effectExtent l="0" t="0" r="0" b="6985"/>
            <wp:docPr id="73" name="Graphique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1FB3EF" w14:textId="77777777" w:rsidR="008862C7" w:rsidRDefault="008862C7" w:rsidP="008862C7">
      <w:pPr>
        <w:spacing w:after="0" w:line="360" w:lineRule="auto"/>
        <w:jc w:val="both"/>
        <w:rPr>
          <w:rFonts w:ascii="Arial" w:hAnsi="Arial" w:cs="Arial"/>
          <w:b/>
          <w:sz w:val="8"/>
          <w:szCs w:val="24"/>
        </w:rPr>
      </w:pPr>
    </w:p>
    <w:p w14:paraId="114696B1" w14:textId="77777777" w:rsidR="008862C7" w:rsidRDefault="008862C7" w:rsidP="008862C7">
      <w:pPr>
        <w:spacing w:after="0" w:line="360" w:lineRule="auto"/>
        <w:jc w:val="both"/>
        <w:rPr>
          <w:rFonts w:ascii="Arial" w:hAnsi="Arial" w:cs="Arial"/>
          <w:sz w:val="20"/>
          <w:szCs w:val="24"/>
        </w:rPr>
      </w:pPr>
      <w:r>
        <w:rPr>
          <w:rFonts w:ascii="Arial" w:hAnsi="Arial" w:cs="Arial"/>
          <w:sz w:val="20"/>
          <w:szCs w:val="24"/>
        </w:rPr>
        <w:t>Source : Cellule coton, 2012</w:t>
      </w:r>
    </w:p>
    <w:p w14:paraId="5C0FC6F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lastRenderedPageBreak/>
        <w:t xml:space="preserve">Comme le montre la courbe, la baisse du TCER dans la filière coton indique  une amélioration de la compétitivité du coton centrafricain. Ainsi, le taux de change de la filière est passé de 5,01 en 2001 à environ 2,5 en 2011, ce qui marque une amélioration constante de la compétitivité générale du coton centrafricain sur le marché mondial. Mais l’indice taux de change indique seulement l’évolution de la compétitivité dans le temps et ne permet donc pas de saisir la capacité pour une entreprise de produire à moindre coût par rapport à ces concurrents. D’où, la nécessité de comparer les coûts avec les pays ayant les mêmes caractéristiques où les concurrents potentiels de la RCA et plus particulièrement les pays de la </w:t>
      </w:r>
      <w:r w:rsidR="0079544B">
        <w:rPr>
          <w:rFonts w:ascii="Arial" w:hAnsi="Arial" w:cs="Arial"/>
          <w:sz w:val="24"/>
          <w:szCs w:val="24"/>
        </w:rPr>
        <w:t>sous-région</w:t>
      </w:r>
      <w:r>
        <w:rPr>
          <w:rFonts w:ascii="Arial" w:hAnsi="Arial" w:cs="Arial"/>
          <w:sz w:val="24"/>
          <w:szCs w:val="24"/>
        </w:rPr>
        <w:t>.</w:t>
      </w:r>
    </w:p>
    <w:p w14:paraId="6451A4B6"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4"/>
          <w:szCs w:val="24"/>
        </w:rPr>
      </w:pPr>
      <w:bookmarkStart w:id="289" w:name="_Toc395107696"/>
      <w:r>
        <w:rPr>
          <w:rFonts w:ascii="Arial" w:hAnsi="Arial" w:cs="Arial"/>
          <w:b/>
          <w:sz w:val="24"/>
          <w:szCs w:val="24"/>
        </w:rPr>
        <w:t>Evolution du dollar américain et cours du coton centrafricain</w:t>
      </w:r>
      <w:bookmarkEnd w:id="289"/>
    </w:p>
    <w:p w14:paraId="2B28BAED"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Le prix du coton est fixé sur le marché mondial en dollar américain (indice A de Cotlook), ce qui nécessite que les recettes cotonnières pour un pays comme la RCA soient converties en monnaie locale. De ce fait, la parité du dollar par rapport au CFA a une incidence majeure sur la rentabilité, la viabilité et par voie de conséquence la compétitivité de cette filière.</w:t>
      </w:r>
    </w:p>
    <w:p w14:paraId="5497E3A6"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b/>
          <w:sz w:val="24"/>
          <w:szCs w:val="24"/>
        </w:rPr>
        <w:t xml:space="preserve">Tableau 4.4 : </w:t>
      </w:r>
      <w:r>
        <w:rPr>
          <w:rFonts w:ascii="Arial" w:hAnsi="Arial" w:cs="Arial"/>
          <w:sz w:val="24"/>
          <w:szCs w:val="24"/>
        </w:rPr>
        <w:t xml:space="preserve">Cours du dollar et de coton fibre Jiba (1-3/32 pouces) </w:t>
      </w:r>
      <w:r>
        <w:rPr>
          <w:rFonts w:ascii="Arial" w:hAnsi="Arial" w:cs="Arial"/>
          <w:sz w:val="24"/>
          <w:szCs w:val="28"/>
        </w:rPr>
        <w:t>centrafricain sur le marché mondial</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4"/>
        <w:gridCol w:w="809"/>
        <w:gridCol w:w="812"/>
        <w:gridCol w:w="812"/>
        <w:gridCol w:w="812"/>
        <w:gridCol w:w="812"/>
        <w:gridCol w:w="812"/>
        <w:gridCol w:w="812"/>
        <w:gridCol w:w="812"/>
        <w:gridCol w:w="831"/>
      </w:tblGrid>
      <w:tr w:rsidR="008862C7" w14:paraId="6675A30B" w14:textId="77777777" w:rsidTr="008862C7">
        <w:trPr>
          <w:trHeight w:val="251"/>
        </w:trPr>
        <w:tc>
          <w:tcPr>
            <w:tcW w:w="1482" w:type="pct"/>
            <w:tcBorders>
              <w:top w:val="single" w:sz="4" w:space="0" w:color="auto"/>
              <w:left w:val="single" w:sz="4" w:space="0" w:color="auto"/>
              <w:bottom w:val="single" w:sz="4" w:space="0" w:color="auto"/>
              <w:right w:val="single" w:sz="4" w:space="0" w:color="auto"/>
            </w:tcBorders>
            <w:vAlign w:val="center"/>
            <w:hideMark/>
          </w:tcPr>
          <w:p w14:paraId="62053111"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Rubrique</w:t>
            </w:r>
          </w:p>
        </w:tc>
        <w:tc>
          <w:tcPr>
            <w:tcW w:w="389" w:type="pct"/>
            <w:tcBorders>
              <w:top w:val="single" w:sz="4" w:space="0" w:color="auto"/>
              <w:left w:val="single" w:sz="4" w:space="0" w:color="auto"/>
              <w:bottom w:val="single" w:sz="4" w:space="0" w:color="auto"/>
              <w:right w:val="single" w:sz="4" w:space="0" w:color="auto"/>
            </w:tcBorders>
            <w:vAlign w:val="center"/>
            <w:hideMark/>
          </w:tcPr>
          <w:p w14:paraId="7C384A3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2001</w:t>
            </w:r>
          </w:p>
        </w:tc>
        <w:tc>
          <w:tcPr>
            <w:tcW w:w="390" w:type="pct"/>
            <w:tcBorders>
              <w:top w:val="single" w:sz="4" w:space="0" w:color="auto"/>
              <w:left w:val="single" w:sz="4" w:space="0" w:color="auto"/>
              <w:bottom w:val="single" w:sz="4" w:space="0" w:color="auto"/>
              <w:right w:val="single" w:sz="4" w:space="0" w:color="auto"/>
            </w:tcBorders>
            <w:vAlign w:val="center"/>
            <w:hideMark/>
          </w:tcPr>
          <w:p w14:paraId="16850A0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2002</w:t>
            </w:r>
          </w:p>
        </w:tc>
        <w:tc>
          <w:tcPr>
            <w:tcW w:w="390" w:type="pct"/>
            <w:tcBorders>
              <w:top w:val="single" w:sz="4" w:space="0" w:color="auto"/>
              <w:left w:val="single" w:sz="4" w:space="0" w:color="auto"/>
              <w:bottom w:val="single" w:sz="4" w:space="0" w:color="auto"/>
              <w:right w:val="single" w:sz="4" w:space="0" w:color="auto"/>
            </w:tcBorders>
            <w:vAlign w:val="center"/>
            <w:hideMark/>
          </w:tcPr>
          <w:p w14:paraId="08DEC920"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2003</w:t>
            </w:r>
          </w:p>
        </w:tc>
        <w:tc>
          <w:tcPr>
            <w:tcW w:w="390" w:type="pct"/>
            <w:tcBorders>
              <w:top w:val="single" w:sz="4" w:space="0" w:color="auto"/>
              <w:left w:val="single" w:sz="4" w:space="0" w:color="auto"/>
              <w:bottom w:val="single" w:sz="4" w:space="0" w:color="auto"/>
              <w:right w:val="single" w:sz="4" w:space="0" w:color="auto"/>
            </w:tcBorders>
            <w:vAlign w:val="center"/>
            <w:hideMark/>
          </w:tcPr>
          <w:p w14:paraId="65D6798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2004</w:t>
            </w:r>
          </w:p>
        </w:tc>
        <w:tc>
          <w:tcPr>
            <w:tcW w:w="390" w:type="pct"/>
            <w:tcBorders>
              <w:top w:val="single" w:sz="4" w:space="0" w:color="auto"/>
              <w:left w:val="single" w:sz="4" w:space="0" w:color="auto"/>
              <w:bottom w:val="single" w:sz="4" w:space="0" w:color="auto"/>
              <w:right w:val="single" w:sz="4" w:space="0" w:color="auto"/>
            </w:tcBorders>
            <w:vAlign w:val="center"/>
            <w:hideMark/>
          </w:tcPr>
          <w:p w14:paraId="70015D5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2005</w:t>
            </w:r>
          </w:p>
        </w:tc>
        <w:tc>
          <w:tcPr>
            <w:tcW w:w="390" w:type="pct"/>
            <w:tcBorders>
              <w:top w:val="single" w:sz="4" w:space="0" w:color="auto"/>
              <w:left w:val="single" w:sz="4" w:space="0" w:color="auto"/>
              <w:bottom w:val="single" w:sz="4" w:space="0" w:color="auto"/>
              <w:right w:val="single" w:sz="4" w:space="0" w:color="auto"/>
            </w:tcBorders>
            <w:vAlign w:val="center"/>
            <w:hideMark/>
          </w:tcPr>
          <w:p w14:paraId="7F6724B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2006</w:t>
            </w:r>
          </w:p>
        </w:tc>
        <w:tc>
          <w:tcPr>
            <w:tcW w:w="390" w:type="pct"/>
            <w:tcBorders>
              <w:top w:val="single" w:sz="4" w:space="0" w:color="auto"/>
              <w:left w:val="single" w:sz="4" w:space="0" w:color="auto"/>
              <w:bottom w:val="single" w:sz="4" w:space="0" w:color="auto"/>
              <w:right w:val="single" w:sz="4" w:space="0" w:color="auto"/>
            </w:tcBorders>
            <w:vAlign w:val="center"/>
            <w:hideMark/>
          </w:tcPr>
          <w:p w14:paraId="32F7F38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2007</w:t>
            </w:r>
          </w:p>
        </w:tc>
        <w:tc>
          <w:tcPr>
            <w:tcW w:w="390" w:type="pct"/>
            <w:tcBorders>
              <w:top w:val="single" w:sz="4" w:space="0" w:color="auto"/>
              <w:left w:val="single" w:sz="4" w:space="0" w:color="auto"/>
              <w:bottom w:val="single" w:sz="4" w:space="0" w:color="auto"/>
              <w:right w:val="single" w:sz="4" w:space="0" w:color="auto"/>
            </w:tcBorders>
            <w:vAlign w:val="center"/>
            <w:hideMark/>
          </w:tcPr>
          <w:p w14:paraId="6D45FEF8"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2008</w:t>
            </w:r>
          </w:p>
        </w:tc>
        <w:tc>
          <w:tcPr>
            <w:tcW w:w="399" w:type="pct"/>
            <w:tcBorders>
              <w:top w:val="single" w:sz="4" w:space="0" w:color="auto"/>
              <w:left w:val="single" w:sz="4" w:space="0" w:color="auto"/>
              <w:bottom w:val="single" w:sz="4" w:space="0" w:color="auto"/>
              <w:right w:val="single" w:sz="4" w:space="0" w:color="auto"/>
            </w:tcBorders>
            <w:vAlign w:val="center"/>
            <w:hideMark/>
          </w:tcPr>
          <w:p w14:paraId="31535F24"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2009</w:t>
            </w:r>
          </w:p>
        </w:tc>
      </w:tr>
      <w:tr w:rsidR="008862C7" w14:paraId="3295BC9A" w14:textId="77777777" w:rsidTr="008862C7">
        <w:trPr>
          <w:trHeight w:val="269"/>
        </w:trPr>
        <w:tc>
          <w:tcPr>
            <w:tcW w:w="1482" w:type="pct"/>
            <w:tcBorders>
              <w:top w:val="single" w:sz="4" w:space="0" w:color="auto"/>
              <w:left w:val="single" w:sz="4" w:space="0" w:color="auto"/>
              <w:bottom w:val="single" w:sz="4" w:space="0" w:color="auto"/>
              <w:right w:val="single" w:sz="4" w:space="0" w:color="auto"/>
            </w:tcBorders>
            <w:vAlign w:val="center"/>
            <w:hideMark/>
          </w:tcPr>
          <w:p w14:paraId="49FCDB53"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Cours du Jiba (</w:t>
            </w:r>
            <w:commentRangeStart w:id="290"/>
            <w:r>
              <w:rPr>
                <w:rFonts w:ascii="Arial" w:hAnsi="Arial" w:cs="Arial"/>
              </w:rPr>
              <w:t>ibs</w:t>
            </w:r>
            <w:commentRangeEnd w:id="290"/>
            <w:r>
              <w:rPr>
                <w:rStyle w:val="Marquedecommentaire"/>
                <w:rFonts w:eastAsia="Times New Roman" w:cs="Times New Roman"/>
              </w:rPr>
              <w:commentReference w:id="290"/>
            </w:r>
            <w:r>
              <w:rPr>
                <w:rFonts w:ascii="Arial" w:hAnsi="Arial" w:cs="Arial"/>
              </w:rPr>
              <w:t xml:space="preserve"> cent/livre)</w:t>
            </w:r>
          </w:p>
        </w:tc>
        <w:tc>
          <w:tcPr>
            <w:tcW w:w="389" w:type="pct"/>
            <w:tcBorders>
              <w:top w:val="single" w:sz="4" w:space="0" w:color="auto"/>
              <w:left w:val="single" w:sz="4" w:space="0" w:color="auto"/>
              <w:bottom w:val="single" w:sz="4" w:space="0" w:color="auto"/>
              <w:right w:val="single" w:sz="4" w:space="0" w:color="auto"/>
            </w:tcBorders>
            <w:vAlign w:val="center"/>
            <w:hideMark/>
          </w:tcPr>
          <w:p w14:paraId="0476E270"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62,1</w:t>
            </w:r>
          </w:p>
        </w:tc>
        <w:tc>
          <w:tcPr>
            <w:tcW w:w="390" w:type="pct"/>
            <w:tcBorders>
              <w:top w:val="single" w:sz="4" w:space="0" w:color="auto"/>
              <w:left w:val="single" w:sz="4" w:space="0" w:color="auto"/>
              <w:bottom w:val="single" w:sz="4" w:space="0" w:color="auto"/>
              <w:right w:val="single" w:sz="4" w:space="0" w:color="auto"/>
            </w:tcBorders>
            <w:vAlign w:val="center"/>
            <w:hideMark/>
          </w:tcPr>
          <w:p w14:paraId="5FD989A6"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46,3</w:t>
            </w:r>
          </w:p>
        </w:tc>
        <w:tc>
          <w:tcPr>
            <w:tcW w:w="390" w:type="pct"/>
            <w:tcBorders>
              <w:top w:val="single" w:sz="4" w:space="0" w:color="auto"/>
              <w:left w:val="single" w:sz="4" w:space="0" w:color="auto"/>
              <w:bottom w:val="single" w:sz="4" w:space="0" w:color="auto"/>
              <w:right w:val="single" w:sz="4" w:space="0" w:color="auto"/>
            </w:tcBorders>
            <w:vAlign w:val="center"/>
            <w:hideMark/>
          </w:tcPr>
          <w:p w14:paraId="37829087"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62,0</w:t>
            </w:r>
          </w:p>
        </w:tc>
        <w:tc>
          <w:tcPr>
            <w:tcW w:w="390" w:type="pct"/>
            <w:tcBorders>
              <w:top w:val="single" w:sz="4" w:space="0" w:color="auto"/>
              <w:left w:val="single" w:sz="4" w:space="0" w:color="auto"/>
              <w:bottom w:val="single" w:sz="4" w:space="0" w:color="auto"/>
              <w:right w:val="single" w:sz="4" w:space="0" w:color="auto"/>
            </w:tcBorders>
            <w:vAlign w:val="center"/>
            <w:hideMark/>
          </w:tcPr>
          <w:p w14:paraId="26EF621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49,1</w:t>
            </w:r>
          </w:p>
        </w:tc>
        <w:tc>
          <w:tcPr>
            <w:tcW w:w="390" w:type="pct"/>
            <w:tcBorders>
              <w:top w:val="single" w:sz="4" w:space="0" w:color="auto"/>
              <w:left w:val="single" w:sz="4" w:space="0" w:color="auto"/>
              <w:bottom w:val="single" w:sz="4" w:space="0" w:color="auto"/>
              <w:right w:val="single" w:sz="4" w:space="0" w:color="auto"/>
            </w:tcBorders>
            <w:vAlign w:val="center"/>
            <w:hideMark/>
          </w:tcPr>
          <w:p w14:paraId="4893A88F"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52,1</w:t>
            </w:r>
          </w:p>
        </w:tc>
        <w:tc>
          <w:tcPr>
            <w:tcW w:w="390" w:type="pct"/>
            <w:tcBorders>
              <w:top w:val="single" w:sz="4" w:space="0" w:color="auto"/>
              <w:left w:val="single" w:sz="4" w:space="0" w:color="auto"/>
              <w:bottom w:val="single" w:sz="4" w:space="0" w:color="auto"/>
              <w:right w:val="single" w:sz="4" w:space="0" w:color="auto"/>
            </w:tcBorders>
            <w:vAlign w:val="center"/>
            <w:hideMark/>
          </w:tcPr>
          <w:p w14:paraId="63B64E5D"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56,1</w:t>
            </w:r>
          </w:p>
        </w:tc>
        <w:tc>
          <w:tcPr>
            <w:tcW w:w="390" w:type="pct"/>
            <w:tcBorders>
              <w:top w:val="single" w:sz="4" w:space="0" w:color="auto"/>
              <w:left w:val="single" w:sz="4" w:space="0" w:color="auto"/>
              <w:bottom w:val="single" w:sz="4" w:space="0" w:color="auto"/>
              <w:right w:val="single" w:sz="4" w:space="0" w:color="auto"/>
            </w:tcBorders>
            <w:vAlign w:val="center"/>
            <w:hideMark/>
          </w:tcPr>
          <w:p w14:paraId="63E92C8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58,4</w:t>
            </w:r>
          </w:p>
        </w:tc>
        <w:tc>
          <w:tcPr>
            <w:tcW w:w="390" w:type="pct"/>
            <w:tcBorders>
              <w:top w:val="single" w:sz="4" w:space="0" w:color="auto"/>
              <w:left w:val="single" w:sz="4" w:space="0" w:color="auto"/>
              <w:bottom w:val="single" w:sz="4" w:space="0" w:color="auto"/>
              <w:right w:val="single" w:sz="4" w:space="0" w:color="auto"/>
            </w:tcBorders>
            <w:vAlign w:val="center"/>
            <w:hideMark/>
          </w:tcPr>
          <w:p w14:paraId="035D788F"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63,03</w:t>
            </w:r>
          </w:p>
        </w:tc>
        <w:tc>
          <w:tcPr>
            <w:tcW w:w="399" w:type="pct"/>
            <w:tcBorders>
              <w:top w:val="single" w:sz="4" w:space="0" w:color="auto"/>
              <w:left w:val="single" w:sz="4" w:space="0" w:color="auto"/>
              <w:bottom w:val="single" w:sz="4" w:space="0" w:color="auto"/>
              <w:right w:val="single" w:sz="4" w:space="0" w:color="auto"/>
            </w:tcBorders>
            <w:vAlign w:val="center"/>
            <w:hideMark/>
          </w:tcPr>
          <w:p w14:paraId="33E6A6B2"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57,71</w:t>
            </w:r>
          </w:p>
        </w:tc>
      </w:tr>
      <w:tr w:rsidR="008862C7" w14:paraId="0039F8CA" w14:textId="77777777" w:rsidTr="008862C7">
        <w:trPr>
          <w:trHeight w:val="287"/>
        </w:trPr>
        <w:tc>
          <w:tcPr>
            <w:tcW w:w="1482" w:type="pct"/>
            <w:tcBorders>
              <w:top w:val="single" w:sz="4" w:space="0" w:color="auto"/>
              <w:left w:val="single" w:sz="4" w:space="0" w:color="auto"/>
              <w:bottom w:val="single" w:sz="4" w:space="0" w:color="auto"/>
              <w:right w:val="single" w:sz="4" w:space="0" w:color="auto"/>
            </w:tcBorders>
            <w:vAlign w:val="center"/>
            <w:hideMark/>
          </w:tcPr>
          <w:p w14:paraId="357133CB"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 xml:space="preserve">Taux de change (USD/FCFA </w:t>
            </w:r>
          </w:p>
        </w:tc>
        <w:tc>
          <w:tcPr>
            <w:tcW w:w="389" w:type="pct"/>
            <w:tcBorders>
              <w:top w:val="single" w:sz="4" w:space="0" w:color="auto"/>
              <w:left w:val="single" w:sz="4" w:space="0" w:color="auto"/>
              <w:bottom w:val="single" w:sz="4" w:space="0" w:color="auto"/>
              <w:right w:val="single" w:sz="4" w:space="0" w:color="auto"/>
            </w:tcBorders>
            <w:vAlign w:val="center"/>
            <w:hideMark/>
          </w:tcPr>
          <w:p w14:paraId="52DCB00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732,4</w:t>
            </w:r>
          </w:p>
        </w:tc>
        <w:tc>
          <w:tcPr>
            <w:tcW w:w="390" w:type="pct"/>
            <w:tcBorders>
              <w:top w:val="single" w:sz="4" w:space="0" w:color="auto"/>
              <w:left w:val="single" w:sz="4" w:space="0" w:color="auto"/>
              <w:bottom w:val="single" w:sz="4" w:space="0" w:color="auto"/>
              <w:right w:val="single" w:sz="4" w:space="0" w:color="auto"/>
            </w:tcBorders>
            <w:vAlign w:val="center"/>
            <w:hideMark/>
          </w:tcPr>
          <w:p w14:paraId="775A396F"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694,8</w:t>
            </w:r>
          </w:p>
        </w:tc>
        <w:tc>
          <w:tcPr>
            <w:tcW w:w="390" w:type="pct"/>
            <w:tcBorders>
              <w:top w:val="single" w:sz="4" w:space="0" w:color="auto"/>
              <w:left w:val="single" w:sz="4" w:space="0" w:color="auto"/>
              <w:bottom w:val="single" w:sz="4" w:space="0" w:color="auto"/>
              <w:right w:val="single" w:sz="4" w:space="0" w:color="auto"/>
            </w:tcBorders>
            <w:vAlign w:val="center"/>
            <w:hideMark/>
          </w:tcPr>
          <w:p w14:paraId="5B5A544E"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580,1</w:t>
            </w:r>
          </w:p>
        </w:tc>
        <w:tc>
          <w:tcPr>
            <w:tcW w:w="390" w:type="pct"/>
            <w:tcBorders>
              <w:top w:val="single" w:sz="4" w:space="0" w:color="auto"/>
              <w:left w:val="single" w:sz="4" w:space="0" w:color="auto"/>
              <w:bottom w:val="single" w:sz="4" w:space="0" w:color="auto"/>
              <w:right w:val="single" w:sz="4" w:space="0" w:color="auto"/>
            </w:tcBorders>
            <w:vAlign w:val="center"/>
            <w:hideMark/>
          </w:tcPr>
          <w:p w14:paraId="33610D47"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527,6</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47279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525,3</w:t>
            </w:r>
          </w:p>
        </w:tc>
        <w:tc>
          <w:tcPr>
            <w:tcW w:w="390" w:type="pct"/>
            <w:tcBorders>
              <w:top w:val="single" w:sz="4" w:space="0" w:color="auto"/>
              <w:left w:val="single" w:sz="4" w:space="0" w:color="auto"/>
              <w:bottom w:val="single" w:sz="4" w:space="0" w:color="auto"/>
              <w:right w:val="single" w:sz="4" w:space="0" w:color="auto"/>
            </w:tcBorders>
            <w:vAlign w:val="center"/>
            <w:hideMark/>
          </w:tcPr>
          <w:p w14:paraId="1DC5F085"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530,1</w:t>
            </w:r>
          </w:p>
        </w:tc>
        <w:tc>
          <w:tcPr>
            <w:tcW w:w="390" w:type="pct"/>
            <w:tcBorders>
              <w:top w:val="single" w:sz="4" w:space="0" w:color="auto"/>
              <w:left w:val="single" w:sz="4" w:space="0" w:color="auto"/>
              <w:bottom w:val="single" w:sz="4" w:space="0" w:color="auto"/>
              <w:right w:val="single" w:sz="4" w:space="0" w:color="auto"/>
            </w:tcBorders>
            <w:vAlign w:val="center"/>
            <w:hideMark/>
          </w:tcPr>
          <w:p w14:paraId="4DA8E80C"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536,7</w:t>
            </w:r>
          </w:p>
        </w:tc>
        <w:tc>
          <w:tcPr>
            <w:tcW w:w="390" w:type="pct"/>
            <w:tcBorders>
              <w:top w:val="single" w:sz="4" w:space="0" w:color="auto"/>
              <w:left w:val="single" w:sz="4" w:space="0" w:color="auto"/>
              <w:bottom w:val="single" w:sz="4" w:space="0" w:color="auto"/>
              <w:right w:val="single" w:sz="4" w:space="0" w:color="auto"/>
            </w:tcBorders>
            <w:vAlign w:val="center"/>
            <w:hideMark/>
          </w:tcPr>
          <w:p w14:paraId="63DAE402"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705,3</w:t>
            </w:r>
          </w:p>
        </w:tc>
        <w:tc>
          <w:tcPr>
            <w:tcW w:w="399" w:type="pct"/>
            <w:tcBorders>
              <w:top w:val="single" w:sz="4" w:space="0" w:color="auto"/>
              <w:left w:val="single" w:sz="4" w:space="0" w:color="auto"/>
              <w:bottom w:val="single" w:sz="4" w:space="0" w:color="auto"/>
              <w:right w:val="single" w:sz="4" w:space="0" w:color="auto"/>
            </w:tcBorders>
            <w:vAlign w:val="center"/>
            <w:hideMark/>
          </w:tcPr>
          <w:p w14:paraId="5F69FDC9"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356,2</w:t>
            </w:r>
          </w:p>
        </w:tc>
      </w:tr>
    </w:tbl>
    <w:p w14:paraId="4B0A1F05" w14:textId="77777777" w:rsidR="008862C7" w:rsidRDefault="008862C7" w:rsidP="008862C7">
      <w:pPr>
        <w:spacing w:before="120" w:after="0" w:line="360" w:lineRule="auto"/>
        <w:rPr>
          <w:rFonts w:ascii="Arial" w:eastAsia="Times New Roman" w:hAnsi="Arial" w:cs="Arial"/>
          <w:sz w:val="20"/>
        </w:rPr>
      </w:pPr>
      <w:r>
        <w:rPr>
          <w:rFonts w:ascii="Arial" w:hAnsi="Arial" w:cs="Arial"/>
          <w:sz w:val="20"/>
        </w:rPr>
        <w:t xml:space="preserve">Source : Service d’étude et de documentation de la   BEAC </w:t>
      </w:r>
    </w:p>
    <w:p w14:paraId="5E54E127"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De ce tableau, il ressort  clairement qu’il existe une corrélation très marquée entre le cours du Jiba et le cours du dollar américain. En effet la chute du dollar entre 2002 et 2007 (passant de 1 USD = 580,1 FCFA à 1 USD = 536,7 FCFA) est accompagnée par une chute des cours mondiaux du coton passant de 46,3 Cents la livre  en 2002 à 58,4 Cents  la livre en 2007. En  2008, le dollar  connait à nouveau un regain face au FCFA (1USD = 705,3 FCFA) avant de sombrer en 2009 suite à la crise financière de 2008 (457,1 FCFA pour un dollar américain). </w:t>
      </w:r>
    </w:p>
    <w:p w14:paraId="794E7154" w14:textId="77777777" w:rsidR="008862C7" w:rsidRDefault="008862C7" w:rsidP="008862C7">
      <w:pPr>
        <w:pStyle w:val="Textebrut"/>
        <w:spacing w:before="120" w:line="360" w:lineRule="auto"/>
        <w:jc w:val="both"/>
        <w:rPr>
          <w:rFonts w:ascii="Arial" w:hAnsi="Arial" w:cs="Arial"/>
          <w:sz w:val="24"/>
          <w:szCs w:val="24"/>
        </w:rPr>
      </w:pPr>
      <w:r>
        <w:rPr>
          <w:rFonts w:ascii="Arial" w:hAnsi="Arial" w:cs="Arial"/>
          <w:sz w:val="24"/>
          <w:szCs w:val="24"/>
        </w:rPr>
        <w:t xml:space="preserve">D’une manière générale, les cours du dollar et du coton ont une évolution presque similaire ce qui fait que les variations du premier entraine nécessairement celui du second et une variation du dernier peut être expliquée par celle de la première. </w:t>
      </w:r>
    </w:p>
    <w:p w14:paraId="515E8D63"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4"/>
          <w:szCs w:val="28"/>
        </w:rPr>
      </w:pPr>
      <w:bookmarkStart w:id="291" w:name="_Toc395107697"/>
      <w:r>
        <w:rPr>
          <w:rFonts w:ascii="Arial" w:hAnsi="Arial" w:cs="Arial"/>
          <w:b/>
          <w:sz w:val="24"/>
          <w:szCs w:val="28"/>
        </w:rPr>
        <w:t>Fluctuation du dollar et recettes d’exportation cotonnière en Centrafrique</w:t>
      </w:r>
      <w:bookmarkEnd w:id="291"/>
      <w:r>
        <w:rPr>
          <w:rFonts w:ascii="Arial" w:hAnsi="Arial" w:cs="Arial"/>
          <w:b/>
          <w:sz w:val="24"/>
          <w:szCs w:val="28"/>
        </w:rPr>
        <w:t xml:space="preserve"> </w:t>
      </w:r>
    </w:p>
    <w:p w14:paraId="3363022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La RCA est un pays membre de la zone franc qui est une organisation monétaire originale regroupée autour de trois instituts d’émissions à savoir la Banque des Etats de l’Afrique Centrale </w:t>
      </w:r>
      <w:r>
        <w:rPr>
          <w:rFonts w:ascii="Arial" w:hAnsi="Arial" w:cs="Arial"/>
          <w:sz w:val="24"/>
          <w:szCs w:val="24"/>
        </w:rPr>
        <w:lastRenderedPageBreak/>
        <w:t xml:space="preserve">(BEAC), la Banque des Etats de l’Afrique de l’Ouest (BCEAO) et l’Institut d’émission de Comores. </w:t>
      </w:r>
    </w:p>
    <w:p w14:paraId="78558CC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Dans le cadre des accords qui liaient le FCFA au Franc Français</w:t>
      </w:r>
      <w:r>
        <w:rPr>
          <w:rStyle w:val="Appelnotedebasdep"/>
          <w:rFonts w:ascii="Arial" w:hAnsi="Arial" w:cs="Arial"/>
          <w:sz w:val="24"/>
          <w:szCs w:val="24"/>
        </w:rPr>
        <w:footnoteReference w:id="48"/>
      </w:r>
      <w:r>
        <w:rPr>
          <w:rFonts w:ascii="Arial" w:hAnsi="Arial" w:cs="Arial"/>
          <w:sz w:val="24"/>
          <w:szCs w:val="24"/>
        </w:rPr>
        <w:t xml:space="preserve"> (FF), le FCFA est aujourd’hui arrimé au dollar américain par l’entremise de l’Euro avec qui il bénéficie encore de convertibilité à taux fixe. </w:t>
      </w:r>
    </w:p>
    <w:p w14:paraId="05073BAA"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 système de change stable réduit le risque de dévaluation dites compétitives qui ne correspond pas à la compétitivité réelle, faussent le jeu de la concurrence et atténue les possibilités de spéculation monétaire. De plus il ne permet pas d’accorder un avantage commercial au pays de la ZFA, en diminuant le prix des biens exportés. Ainsi les  pays de la zone franc connaissent une surévaluation de leur monnaie. Les répercussions de celle-ci sur les produits exportés tels que le coton, sont renforcées par les  fluctuations du dollar. </w:t>
      </w:r>
    </w:p>
    <w:p w14:paraId="01889C3D" w14:textId="77777777" w:rsidR="008862C7" w:rsidRDefault="008862C7" w:rsidP="008862C7">
      <w:pPr>
        <w:spacing w:before="120" w:after="0" w:line="360" w:lineRule="auto"/>
        <w:jc w:val="both"/>
        <w:rPr>
          <w:rFonts w:ascii="Arial" w:hAnsi="Arial" w:cs="Arial"/>
        </w:rPr>
      </w:pPr>
      <w:r>
        <w:rPr>
          <w:rFonts w:ascii="Arial" w:hAnsi="Arial" w:cs="Arial"/>
          <w:b/>
          <w:sz w:val="24"/>
          <w:szCs w:val="24"/>
        </w:rPr>
        <w:t xml:space="preserve">Tableau 4.5 : </w:t>
      </w:r>
      <w:r>
        <w:rPr>
          <w:rFonts w:ascii="Arial" w:hAnsi="Arial" w:cs="Arial"/>
          <w:sz w:val="24"/>
          <w:szCs w:val="24"/>
        </w:rPr>
        <w:t xml:space="preserve">Impact de la variation du dollar sur </w:t>
      </w:r>
      <w:r>
        <w:rPr>
          <w:rFonts w:ascii="Arial" w:hAnsi="Arial" w:cs="Arial"/>
        </w:rPr>
        <w:t xml:space="preserve">le revenu cotonnier de la RCA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775"/>
        <w:gridCol w:w="1453"/>
        <w:gridCol w:w="1288"/>
        <w:gridCol w:w="2578"/>
        <w:gridCol w:w="2254"/>
      </w:tblGrid>
      <w:tr w:rsidR="008862C7" w14:paraId="5FBDE885" w14:textId="77777777" w:rsidTr="008862C7">
        <w:trPr>
          <w:cantSplit/>
          <w:trHeight w:val="470"/>
        </w:trPr>
        <w:tc>
          <w:tcPr>
            <w:tcW w:w="470" w:type="pct"/>
            <w:tcBorders>
              <w:top w:val="single" w:sz="4" w:space="0" w:color="auto"/>
              <w:left w:val="single" w:sz="4" w:space="0" w:color="auto"/>
              <w:bottom w:val="single" w:sz="4" w:space="0" w:color="auto"/>
              <w:right w:val="single" w:sz="4" w:space="0" w:color="auto"/>
            </w:tcBorders>
            <w:vAlign w:val="center"/>
            <w:hideMark/>
          </w:tcPr>
          <w:p w14:paraId="70DE7B7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Année</w:t>
            </w:r>
          </w:p>
        </w:tc>
        <w:tc>
          <w:tcPr>
            <w:tcW w:w="860" w:type="pct"/>
            <w:tcBorders>
              <w:top w:val="single" w:sz="4" w:space="0" w:color="auto"/>
              <w:left w:val="single" w:sz="4" w:space="0" w:color="auto"/>
              <w:bottom w:val="single" w:sz="4" w:space="0" w:color="auto"/>
              <w:right w:val="single" w:sz="4" w:space="0" w:color="auto"/>
            </w:tcBorders>
            <w:vAlign w:val="center"/>
            <w:hideMark/>
          </w:tcPr>
          <w:p w14:paraId="223383F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Prix courant en $</w:t>
            </w:r>
          </w:p>
        </w:tc>
        <w:tc>
          <w:tcPr>
            <w:tcW w:w="704" w:type="pct"/>
            <w:tcBorders>
              <w:top w:val="single" w:sz="4" w:space="0" w:color="auto"/>
              <w:left w:val="single" w:sz="4" w:space="0" w:color="auto"/>
              <w:bottom w:val="single" w:sz="4" w:space="0" w:color="auto"/>
              <w:right w:val="single" w:sz="4" w:space="0" w:color="auto"/>
            </w:tcBorders>
            <w:vAlign w:val="center"/>
            <w:hideMark/>
          </w:tcPr>
          <w:p w14:paraId="2D5B346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Taux de change</w:t>
            </w:r>
          </w:p>
        </w:tc>
        <w:tc>
          <w:tcPr>
            <w:tcW w:w="624" w:type="pct"/>
            <w:tcBorders>
              <w:top w:val="single" w:sz="4" w:space="0" w:color="auto"/>
              <w:left w:val="single" w:sz="4" w:space="0" w:color="auto"/>
              <w:bottom w:val="single" w:sz="4" w:space="0" w:color="auto"/>
              <w:right w:val="single" w:sz="4" w:space="0" w:color="auto"/>
            </w:tcBorders>
            <w:vAlign w:val="center"/>
            <w:hideMark/>
          </w:tcPr>
          <w:p w14:paraId="1EF58BA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Prix en FCFA</w:t>
            </w:r>
          </w:p>
        </w:tc>
        <w:tc>
          <w:tcPr>
            <w:tcW w:w="1249" w:type="pct"/>
            <w:tcBorders>
              <w:top w:val="single" w:sz="4" w:space="0" w:color="auto"/>
              <w:left w:val="single" w:sz="4" w:space="0" w:color="auto"/>
              <w:bottom w:val="single" w:sz="4" w:space="0" w:color="auto"/>
              <w:right w:val="single" w:sz="4" w:space="0" w:color="auto"/>
            </w:tcBorders>
            <w:vAlign w:val="center"/>
            <w:hideMark/>
          </w:tcPr>
          <w:p w14:paraId="4CFAC59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Exportation en millier de tonnes</w:t>
            </w:r>
          </w:p>
        </w:tc>
        <w:tc>
          <w:tcPr>
            <w:tcW w:w="1092" w:type="pct"/>
            <w:tcBorders>
              <w:top w:val="single" w:sz="4" w:space="0" w:color="auto"/>
              <w:left w:val="single" w:sz="4" w:space="0" w:color="auto"/>
              <w:bottom w:val="single" w:sz="4" w:space="0" w:color="auto"/>
              <w:right w:val="single" w:sz="4" w:space="0" w:color="auto"/>
            </w:tcBorders>
            <w:vAlign w:val="center"/>
            <w:hideMark/>
          </w:tcPr>
          <w:p w14:paraId="4B7B998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Valeur en milliards (FCFA)</w:t>
            </w:r>
          </w:p>
        </w:tc>
      </w:tr>
      <w:tr w:rsidR="008862C7" w14:paraId="7E1C8EA8" w14:textId="77777777" w:rsidTr="008862C7">
        <w:trPr>
          <w:trHeight w:val="197"/>
        </w:trPr>
        <w:tc>
          <w:tcPr>
            <w:tcW w:w="470" w:type="pct"/>
            <w:tcBorders>
              <w:top w:val="single" w:sz="4" w:space="0" w:color="auto"/>
              <w:left w:val="single" w:sz="4" w:space="0" w:color="auto"/>
              <w:bottom w:val="single" w:sz="4" w:space="0" w:color="auto"/>
              <w:right w:val="single" w:sz="4" w:space="0" w:color="auto"/>
            </w:tcBorders>
            <w:vAlign w:val="center"/>
            <w:hideMark/>
          </w:tcPr>
          <w:p w14:paraId="138E28A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2000</w:t>
            </w:r>
          </w:p>
        </w:tc>
        <w:tc>
          <w:tcPr>
            <w:tcW w:w="860" w:type="pct"/>
            <w:tcBorders>
              <w:top w:val="single" w:sz="4" w:space="0" w:color="auto"/>
              <w:left w:val="single" w:sz="4" w:space="0" w:color="auto"/>
              <w:bottom w:val="single" w:sz="4" w:space="0" w:color="auto"/>
              <w:right w:val="single" w:sz="4" w:space="0" w:color="auto"/>
            </w:tcBorders>
            <w:vAlign w:val="center"/>
            <w:hideMark/>
          </w:tcPr>
          <w:p w14:paraId="4FBA95E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62,1</w:t>
            </w:r>
          </w:p>
        </w:tc>
        <w:tc>
          <w:tcPr>
            <w:tcW w:w="704" w:type="pct"/>
            <w:tcBorders>
              <w:top w:val="single" w:sz="4" w:space="0" w:color="auto"/>
              <w:left w:val="single" w:sz="4" w:space="0" w:color="auto"/>
              <w:bottom w:val="single" w:sz="4" w:space="0" w:color="auto"/>
              <w:right w:val="single" w:sz="4" w:space="0" w:color="auto"/>
            </w:tcBorders>
            <w:vAlign w:val="center"/>
            <w:hideMark/>
          </w:tcPr>
          <w:p w14:paraId="4416068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732,4</w:t>
            </w:r>
          </w:p>
        </w:tc>
        <w:tc>
          <w:tcPr>
            <w:tcW w:w="624" w:type="pct"/>
            <w:tcBorders>
              <w:top w:val="single" w:sz="4" w:space="0" w:color="auto"/>
              <w:left w:val="single" w:sz="4" w:space="0" w:color="auto"/>
              <w:bottom w:val="single" w:sz="4" w:space="0" w:color="auto"/>
              <w:right w:val="single" w:sz="4" w:space="0" w:color="auto"/>
            </w:tcBorders>
            <w:vAlign w:val="center"/>
            <w:hideMark/>
          </w:tcPr>
          <w:p w14:paraId="1C053EB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656,4</w:t>
            </w:r>
          </w:p>
        </w:tc>
        <w:tc>
          <w:tcPr>
            <w:tcW w:w="1249" w:type="pct"/>
            <w:tcBorders>
              <w:top w:val="single" w:sz="4" w:space="0" w:color="auto"/>
              <w:left w:val="single" w:sz="4" w:space="0" w:color="auto"/>
              <w:bottom w:val="single" w:sz="4" w:space="0" w:color="auto"/>
              <w:right w:val="single" w:sz="4" w:space="0" w:color="auto"/>
            </w:tcBorders>
            <w:vAlign w:val="center"/>
            <w:hideMark/>
          </w:tcPr>
          <w:p w14:paraId="1042B10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8,8</w:t>
            </w:r>
          </w:p>
        </w:tc>
        <w:tc>
          <w:tcPr>
            <w:tcW w:w="1092" w:type="pct"/>
            <w:tcBorders>
              <w:top w:val="single" w:sz="4" w:space="0" w:color="auto"/>
              <w:left w:val="single" w:sz="4" w:space="0" w:color="auto"/>
              <w:bottom w:val="single" w:sz="4" w:space="0" w:color="auto"/>
              <w:right w:val="single" w:sz="4" w:space="0" w:color="auto"/>
            </w:tcBorders>
            <w:vAlign w:val="center"/>
            <w:hideMark/>
          </w:tcPr>
          <w:p w14:paraId="698DC07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7,4</w:t>
            </w:r>
          </w:p>
        </w:tc>
      </w:tr>
      <w:tr w:rsidR="008862C7" w14:paraId="52A30A18" w14:textId="77777777" w:rsidTr="008862C7">
        <w:trPr>
          <w:trHeight w:val="259"/>
        </w:trPr>
        <w:tc>
          <w:tcPr>
            <w:tcW w:w="470" w:type="pct"/>
            <w:tcBorders>
              <w:top w:val="single" w:sz="4" w:space="0" w:color="auto"/>
              <w:left w:val="single" w:sz="4" w:space="0" w:color="auto"/>
              <w:bottom w:val="single" w:sz="4" w:space="0" w:color="auto"/>
              <w:right w:val="single" w:sz="4" w:space="0" w:color="auto"/>
            </w:tcBorders>
            <w:vAlign w:val="center"/>
            <w:hideMark/>
          </w:tcPr>
          <w:p w14:paraId="2899BA8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2001</w:t>
            </w:r>
          </w:p>
        </w:tc>
        <w:tc>
          <w:tcPr>
            <w:tcW w:w="860" w:type="pct"/>
            <w:tcBorders>
              <w:top w:val="single" w:sz="4" w:space="0" w:color="auto"/>
              <w:left w:val="single" w:sz="4" w:space="0" w:color="auto"/>
              <w:bottom w:val="single" w:sz="4" w:space="0" w:color="auto"/>
              <w:right w:val="single" w:sz="4" w:space="0" w:color="auto"/>
            </w:tcBorders>
            <w:vAlign w:val="center"/>
            <w:hideMark/>
          </w:tcPr>
          <w:p w14:paraId="2C96358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46,3</w:t>
            </w:r>
          </w:p>
        </w:tc>
        <w:tc>
          <w:tcPr>
            <w:tcW w:w="704" w:type="pct"/>
            <w:tcBorders>
              <w:top w:val="single" w:sz="4" w:space="0" w:color="auto"/>
              <w:left w:val="single" w:sz="4" w:space="0" w:color="auto"/>
              <w:bottom w:val="single" w:sz="4" w:space="0" w:color="auto"/>
              <w:right w:val="single" w:sz="4" w:space="0" w:color="auto"/>
            </w:tcBorders>
            <w:vAlign w:val="center"/>
            <w:hideMark/>
          </w:tcPr>
          <w:p w14:paraId="1991078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694,8</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DAFE2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746,6</w:t>
            </w:r>
          </w:p>
        </w:tc>
        <w:tc>
          <w:tcPr>
            <w:tcW w:w="1249" w:type="pct"/>
            <w:tcBorders>
              <w:top w:val="single" w:sz="4" w:space="0" w:color="auto"/>
              <w:left w:val="single" w:sz="4" w:space="0" w:color="auto"/>
              <w:bottom w:val="single" w:sz="4" w:space="0" w:color="auto"/>
              <w:right w:val="single" w:sz="4" w:space="0" w:color="auto"/>
            </w:tcBorders>
            <w:vAlign w:val="center"/>
            <w:hideMark/>
          </w:tcPr>
          <w:p w14:paraId="4B54901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w:t>
            </w:r>
          </w:p>
        </w:tc>
        <w:tc>
          <w:tcPr>
            <w:tcW w:w="1092" w:type="pct"/>
            <w:tcBorders>
              <w:top w:val="single" w:sz="4" w:space="0" w:color="auto"/>
              <w:left w:val="single" w:sz="4" w:space="0" w:color="auto"/>
              <w:bottom w:val="single" w:sz="4" w:space="0" w:color="auto"/>
              <w:right w:val="single" w:sz="4" w:space="0" w:color="auto"/>
            </w:tcBorders>
            <w:vAlign w:val="center"/>
            <w:hideMark/>
          </w:tcPr>
          <w:p w14:paraId="062849C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5,1</w:t>
            </w:r>
          </w:p>
        </w:tc>
      </w:tr>
      <w:tr w:rsidR="008862C7" w14:paraId="3D95C642" w14:textId="77777777" w:rsidTr="008862C7">
        <w:trPr>
          <w:trHeight w:val="53"/>
        </w:trPr>
        <w:tc>
          <w:tcPr>
            <w:tcW w:w="470" w:type="pct"/>
            <w:tcBorders>
              <w:top w:val="single" w:sz="4" w:space="0" w:color="auto"/>
              <w:left w:val="single" w:sz="4" w:space="0" w:color="auto"/>
              <w:bottom w:val="single" w:sz="4" w:space="0" w:color="auto"/>
              <w:right w:val="single" w:sz="4" w:space="0" w:color="auto"/>
            </w:tcBorders>
            <w:vAlign w:val="center"/>
            <w:hideMark/>
          </w:tcPr>
          <w:p w14:paraId="53C71A6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2002</w:t>
            </w:r>
          </w:p>
        </w:tc>
        <w:tc>
          <w:tcPr>
            <w:tcW w:w="860" w:type="pct"/>
            <w:tcBorders>
              <w:top w:val="single" w:sz="4" w:space="0" w:color="auto"/>
              <w:left w:val="single" w:sz="4" w:space="0" w:color="auto"/>
              <w:bottom w:val="single" w:sz="4" w:space="0" w:color="auto"/>
              <w:right w:val="single" w:sz="4" w:space="0" w:color="auto"/>
            </w:tcBorders>
            <w:vAlign w:val="center"/>
            <w:hideMark/>
          </w:tcPr>
          <w:p w14:paraId="184CB98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43,0</w:t>
            </w:r>
          </w:p>
        </w:tc>
        <w:tc>
          <w:tcPr>
            <w:tcW w:w="704" w:type="pct"/>
            <w:tcBorders>
              <w:top w:val="single" w:sz="4" w:space="0" w:color="auto"/>
              <w:left w:val="single" w:sz="4" w:space="0" w:color="auto"/>
              <w:bottom w:val="single" w:sz="4" w:space="0" w:color="auto"/>
              <w:right w:val="single" w:sz="4" w:space="0" w:color="auto"/>
            </w:tcBorders>
            <w:vAlign w:val="center"/>
            <w:hideMark/>
          </w:tcPr>
          <w:p w14:paraId="5276879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580,1</w:t>
            </w:r>
          </w:p>
        </w:tc>
        <w:tc>
          <w:tcPr>
            <w:tcW w:w="624" w:type="pct"/>
            <w:tcBorders>
              <w:top w:val="single" w:sz="4" w:space="0" w:color="auto"/>
              <w:left w:val="single" w:sz="4" w:space="0" w:color="auto"/>
              <w:bottom w:val="single" w:sz="4" w:space="0" w:color="auto"/>
              <w:right w:val="single" w:sz="4" w:space="0" w:color="auto"/>
            </w:tcBorders>
            <w:vAlign w:val="center"/>
            <w:hideMark/>
          </w:tcPr>
          <w:p w14:paraId="283DCA36"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520,7</w:t>
            </w:r>
          </w:p>
        </w:tc>
        <w:tc>
          <w:tcPr>
            <w:tcW w:w="1249" w:type="pct"/>
            <w:tcBorders>
              <w:top w:val="single" w:sz="4" w:space="0" w:color="auto"/>
              <w:left w:val="single" w:sz="4" w:space="0" w:color="auto"/>
              <w:bottom w:val="single" w:sz="4" w:space="0" w:color="auto"/>
              <w:right w:val="single" w:sz="4" w:space="0" w:color="auto"/>
            </w:tcBorders>
            <w:vAlign w:val="center"/>
            <w:hideMark/>
          </w:tcPr>
          <w:p w14:paraId="65833F3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13,3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771D641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6,4</w:t>
            </w:r>
          </w:p>
        </w:tc>
      </w:tr>
      <w:tr w:rsidR="008862C7" w14:paraId="2021F4CE" w14:textId="77777777" w:rsidTr="008862C7">
        <w:trPr>
          <w:trHeight w:val="92"/>
        </w:trPr>
        <w:tc>
          <w:tcPr>
            <w:tcW w:w="470" w:type="pct"/>
            <w:tcBorders>
              <w:top w:val="single" w:sz="4" w:space="0" w:color="auto"/>
              <w:left w:val="single" w:sz="4" w:space="0" w:color="auto"/>
              <w:bottom w:val="single" w:sz="4" w:space="0" w:color="auto"/>
              <w:right w:val="single" w:sz="4" w:space="0" w:color="auto"/>
            </w:tcBorders>
            <w:vAlign w:val="center"/>
            <w:hideMark/>
          </w:tcPr>
          <w:p w14:paraId="35E3AE3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2003</w:t>
            </w:r>
          </w:p>
        </w:tc>
        <w:tc>
          <w:tcPr>
            <w:tcW w:w="860" w:type="pct"/>
            <w:tcBorders>
              <w:top w:val="single" w:sz="4" w:space="0" w:color="auto"/>
              <w:left w:val="single" w:sz="4" w:space="0" w:color="auto"/>
              <w:bottom w:val="single" w:sz="4" w:space="0" w:color="auto"/>
              <w:right w:val="single" w:sz="4" w:space="0" w:color="auto"/>
            </w:tcBorders>
            <w:vAlign w:val="center"/>
            <w:hideMark/>
          </w:tcPr>
          <w:p w14:paraId="7A9F3E7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62,0</w:t>
            </w:r>
          </w:p>
        </w:tc>
        <w:tc>
          <w:tcPr>
            <w:tcW w:w="704" w:type="pct"/>
            <w:tcBorders>
              <w:top w:val="single" w:sz="4" w:space="0" w:color="auto"/>
              <w:left w:val="single" w:sz="4" w:space="0" w:color="auto"/>
              <w:bottom w:val="single" w:sz="4" w:space="0" w:color="auto"/>
              <w:right w:val="single" w:sz="4" w:space="0" w:color="auto"/>
            </w:tcBorders>
            <w:vAlign w:val="center"/>
            <w:hideMark/>
          </w:tcPr>
          <w:p w14:paraId="4A2BFD7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527,6</w:t>
            </w:r>
          </w:p>
        </w:tc>
        <w:tc>
          <w:tcPr>
            <w:tcW w:w="624" w:type="pct"/>
            <w:tcBorders>
              <w:top w:val="single" w:sz="4" w:space="0" w:color="auto"/>
              <w:left w:val="single" w:sz="4" w:space="0" w:color="auto"/>
              <w:bottom w:val="single" w:sz="4" w:space="0" w:color="auto"/>
              <w:right w:val="single" w:sz="4" w:space="0" w:color="auto"/>
            </w:tcBorders>
            <w:vAlign w:val="center"/>
            <w:hideMark/>
          </w:tcPr>
          <w:p w14:paraId="14A7E54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622,7</w:t>
            </w:r>
          </w:p>
        </w:tc>
        <w:tc>
          <w:tcPr>
            <w:tcW w:w="1249" w:type="pct"/>
            <w:tcBorders>
              <w:top w:val="single" w:sz="4" w:space="0" w:color="auto"/>
              <w:left w:val="single" w:sz="4" w:space="0" w:color="auto"/>
              <w:bottom w:val="single" w:sz="4" w:space="0" w:color="auto"/>
              <w:right w:val="single" w:sz="4" w:space="0" w:color="auto"/>
            </w:tcBorders>
            <w:vAlign w:val="center"/>
            <w:hideMark/>
          </w:tcPr>
          <w:p w14:paraId="0812770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0,9</w:t>
            </w:r>
          </w:p>
        </w:tc>
        <w:tc>
          <w:tcPr>
            <w:tcW w:w="1092" w:type="pct"/>
            <w:tcBorders>
              <w:top w:val="single" w:sz="4" w:space="0" w:color="auto"/>
              <w:left w:val="single" w:sz="4" w:space="0" w:color="auto"/>
              <w:bottom w:val="single" w:sz="4" w:space="0" w:color="auto"/>
              <w:right w:val="single" w:sz="4" w:space="0" w:color="auto"/>
            </w:tcBorders>
            <w:vAlign w:val="center"/>
            <w:hideMark/>
          </w:tcPr>
          <w:p w14:paraId="476C486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0,6</w:t>
            </w:r>
          </w:p>
        </w:tc>
      </w:tr>
      <w:tr w:rsidR="008862C7" w14:paraId="4C01DC8B" w14:textId="77777777" w:rsidTr="008862C7">
        <w:trPr>
          <w:trHeight w:val="81"/>
        </w:trPr>
        <w:tc>
          <w:tcPr>
            <w:tcW w:w="470" w:type="pct"/>
            <w:tcBorders>
              <w:top w:val="single" w:sz="4" w:space="0" w:color="auto"/>
              <w:left w:val="single" w:sz="4" w:space="0" w:color="auto"/>
              <w:bottom w:val="single" w:sz="4" w:space="0" w:color="auto"/>
              <w:right w:val="single" w:sz="4" w:space="0" w:color="auto"/>
            </w:tcBorders>
            <w:vAlign w:val="center"/>
            <w:hideMark/>
          </w:tcPr>
          <w:p w14:paraId="51B93975"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2004</w:t>
            </w:r>
          </w:p>
        </w:tc>
        <w:tc>
          <w:tcPr>
            <w:tcW w:w="860" w:type="pct"/>
            <w:tcBorders>
              <w:top w:val="single" w:sz="4" w:space="0" w:color="auto"/>
              <w:left w:val="single" w:sz="4" w:space="0" w:color="auto"/>
              <w:bottom w:val="single" w:sz="4" w:space="0" w:color="auto"/>
              <w:right w:val="single" w:sz="4" w:space="0" w:color="auto"/>
            </w:tcBorders>
            <w:vAlign w:val="center"/>
            <w:hideMark/>
          </w:tcPr>
          <w:p w14:paraId="49DE274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49,1</w:t>
            </w:r>
          </w:p>
        </w:tc>
        <w:tc>
          <w:tcPr>
            <w:tcW w:w="704" w:type="pct"/>
            <w:tcBorders>
              <w:top w:val="single" w:sz="4" w:space="0" w:color="auto"/>
              <w:left w:val="single" w:sz="4" w:space="0" w:color="auto"/>
              <w:bottom w:val="single" w:sz="4" w:space="0" w:color="auto"/>
              <w:right w:val="single" w:sz="4" w:space="0" w:color="auto"/>
            </w:tcBorders>
            <w:vAlign w:val="center"/>
            <w:hideMark/>
          </w:tcPr>
          <w:p w14:paraId="6A96A11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525,3</w:t>
            </w:r>
          </w:p>
        </w:tc>
        <w:tc>
          <w:tcPr>
            <w:tcW w:w="624" w:type="pct"/>
            <w:tcBorders>
              <w:top w:val="single" w:sz="4" w:space="0" w:color="auto"/>
              <w:left w:val="single" w:sz="4" w:space="0" w:color="auto"/>
              <w:bottom w:val="single" w:sz="4" w:space="0" w:color="auto"/>
              <w:right w:val="single" w:sz="4" w:space="0" w:color="auto"/>
            </w:tcBorders>
            <w:vAlign w:val="center"/>
            <w:hideMark/>
          </w:tcPr>
          <w:p w14:paraId="2FAEF3A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612,3</w:t>
            </w:r>
          </w:p>
        </w:tc>
        <w:tc>
          <w:tcPr>
            <w:tcW w:w="1249" w:type="pct"/>
            <w:tcBorders>
              <w:top w:val="single" w:sz="4" w:space="0" w:color="auto"/>
              <w:left w:val="single" w:sz="4" w:space="0" w:color="auto"/>
              <w:bottom w:val="single" w:sz="4" w:space="0" w:color="auto"/>
              <w:right w:val="single" w:sz="4" w:space="0" w:color="auto"/>
            </w:tcBorders>
            <w:vAlign w:val="center"/>
            <w:hideMark/>
          </w:tcPr>
          <w:p w14:paraId="65C72B8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4DCF724"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1,8</w:t>
            </w:r>
          </w:p>
        </w:tc>
      </w:tr>
      <w:tr w:rsidR="008862C7" w14:paraId="61594032" w14:textId="77777777" w:rsidTr="008862C7">
        <w:trPr>
          <w:trHeight w:val="53"/>
        </w:trPr>
        <w:tc>
          <w:tcPr>
            <w:tcW w:w="470" w:type="pct"/>
            <w:tcBorders>
              <w:top w:val="single" w:sz="4" w:space="0" w:color="auto"/>
              <w:left w:val="single" w:sz="4" w:space="0" w:color="auto"/>
              <w:bottom w:val="single" w:sz="4" w:space="0" w:color="auto"/>
              <w:right w:val="single" w:sz="4" w:space="0" w:color="auto"/>
            </w:tcBorders>
            <w:vAlign w:val="center"/>
            <w:hideMark/>
          </w:tcPr>
          <w:p w14:paraId="7E76B0B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2005</w:t>
            </w:r>
          </w:p>
        </w:tc>
        <w:tc>
          <w:tcPr>
            <w:tcW w:w="860" w:type="pct"/>
            <w:tcBorders>
              <w:top w:val="single" w:sz="4" w:space="0" w:color="auto"/>
              <w:left w:val="single" w:sz="4" w:space="0" w:color="auto"/>
              <w:bottom w:val="single" w:sz="4" w:space="0" w:color="auto"/>
              <w:right w:val="single" w:sz="4" w:space="0" w:color="auto"/>
            </w:tcBorders>
            <w:vAlign w:val="center"/>
            <w:hideMark/>
          </w:tcPr>
          <w:p w14:paraId="2A67203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52,1</w:t>
            </w:r>
          </w:p>
        </w:tc>
        <w:tc>
          <w:tcPr>
            <w:tcW w:w="704" w:type="pct"/>
            <w:tcBorders>
              <w:top w:val="single" w:sz="4" w:space="0" w:color="auto"/>
              <w:left w:val="single" w:sz="4" w:space="0" w:color="auto"/>
              <w:bottom w:val="single" w:sz="4" w:space="0" w:color="auto"/>
              <w:right w:val="single" w:sz="4" w:space="0" w:color="auto"/>
            </w:tcBorders>
            <w:vAlign w:val="center"/>
            <w:hideMark/>
          </w:tcPr>
          <w:p w14:paraId="514CE5C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530,1</w:t>
            </w:r>
          </w:p>
        </w:tc>
        <w:tc>
          <w:tcPr>
            <w:tcW w:w="624" w:type="pct"/>
            <w:tcBorders>
              <w:top w:val="single" w:sz="4" w:space="0" w:color="auto"/>
              <w:left w:val="single" w:sz="4" w:space="0" w:color="auto"/>
              <w:bottom w:val="single" w:sz="4" w:space="0" w:color="auto"/>
              <w:right w:val="single" w:sz="4" w:space="0" w:color="auto"/>
            </w:tcBorders>
            <w:vAlign w:val="center"/>
            <w:hideMark/>
          </w:tcPr>
          <w:p w14:paraId="0E17FBC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541</w:t>
            </w:r>
          </w:p>
        </w:tc>
        <w:tc>
          <w:tcPr>
            <w:tcW w:w="1249" w:type="pct"/>
            <w:tcBorders>
              <w:top w:val="single" w:sz="4" w:space="0" w:color="auto"/>
              <w:left w:val="single" w:sz="4" w:space="0" w:color="auto"/>
              <w:bottom w:val="single" w:sz="4" w:space="0" w:color="auto"/>
              <w:right w:val="single" w:sz="4" w:space="0" w:color="auto"/>
            </w:tcBorders>
            <w:vAlign w:val="center"/>
            <w:hideMark/>
          </w:tcPr>
          <w:p w14:paraId="4922DE21"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9B073D9"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1,1</w:t>
            </w:r>
          </w:p>
        </w:tc>
      </w:tr>
      <w:tr w:rsidR="008862C7" w14:paraId="068D774C" w14:textId="77777777" w:rsidTr="008862C7">
        <w:trPr>
          <w:trHeight w:val="145"/>
        </w:trPr>
        <w:tc>
          <w:tcPr>
            <w:tcW w:w="470" w:type="pct"/>
            <w:tcBorders>
              <w:top w:val="single" w:sz="4" w:space="0" w:color="auto"/>
              <w:left w:val="single" w:sz="4" w:space="0" w:color="auto"/>
              <w:bottom w:val="single" w:sz="4" w:space="0" w:color="auto"/>
              <w:right w:val="single" w:sz="4" w:space="0" w:color="auto"/>
            </w:tcBorders>
            <w:vAlign w:val="center"/>
            <w:hideMark/>
          </w:tcPr>
          <w:p w14:paraId="38009B60"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2006</w:t>
            </w:r>
          </w:p>
        </w:tc>
        <w:tc>
          <w:tcPr>
            <w:tcW w:w="860" w:type="pct"/>
            <w:tcBorders>
              <w:top w:val="single" w:sz="4" w:space="0" w:color="auto"/>
              <w:left w:val="single" w:sz="4" w:space="0" w:color="auto"/>
              <w:bottom w:val="single" w:sz="4" w:space="0" w:color="auto"/>
              <w:right w:val="single" w:sz="4" w:space="0" w:color="auto"/>
            </w:tcBorders>
            <w:vAlign w:val="center"/>
            <w:hideMark/>
          </w:tcPr>
          <w:p w14:paraId="0A558A3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56,1</w:t>
            </w:r>
          </w:p>
        </w:tc>
        <w:tc>
          <w:tcPr>
            <w:tcW w:w="704" w:type="pct"/>
            <w:tcBorders>
              <w:top w:val="single" w:sz="4" w:space="0" w:color="auto"/>
              <w:left w:val="single" w:sz="4" w:space="0" w:color="auto"/>
              <w:bottom w:val="single" w:sz="4" w:space="0" w:color="auto"/>
              <w:right w:val="single" w:sz="4" w:space="0" w:color="auto"/>
            </w:tcBorders>
            <w:vAlign w:val="center"/>
            <w:hideMark/>
          </w:tcPr>
          <w:p w14:paraId="0EA43FB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536,7</w:t>
            </w:r>
          </w:p>
        </w:tc>
        <w:tc>
          <w:tcPr>
            <w:tcW w:w="624" w:type="pct"/>
            <w:tcBorders>
              <w:top w:val="single" w:sz="4" w:space="0" w:color="auto"/>
              <w:left w:val="single" w:sz="4" w:space="0" w:color="auto"/>
              <w:bottom w:val="single" w:sz="4" w:space="0" w:color="auto"/>
              <w:right w:val="single" w:sz="4" w:space="0" w:color="auto"/>
            </w:tcBorders>
            <w:vAlign w:val="center"/>
            <w:hideMark/>
          </w:tcPr>
          <w:p w14:paraId="4E2E14B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542,41</w:t>
            </w:r>
          </w:p>
        </w:tc>
        <w:tc>
          <w:tcPr>
            <w:tcW w:w="1249" w:type="pct"/>
            <w:tcBorders>
              <w:top w:val="single" w:sz="4" w:space="0" w:color="auto"/>
              <w:left w:val="single" w:sz="4" w:space="0" w:color="auto"/>
              <w:bottom w:val="single" w:sz="4" w:space="0" w:color="auto"/>
              <w:right w:val="single" w:sz="4" w:space="0" w:color="auto"/>
            </w:tcBorders>
            <w:vAlign w:val="center"/>
            <w:hideMark/>
          </w:tcPr>
          <w:p w14:paraId="58DEAA1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71312CB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0,5</w:t>
            </w:r>
          </w:p>
        </w:tc>
      </w:tr>
      <w:tr w:rsidR="008862C7" w14:paraId="15B3ABD1" w14:textId="77777777" w:rsidTr="008862C7">
        <w:trPr>
          <w:trHeight w:val="53"/>
        </w:trPr>
        <w:tc>
          <w:tcPr>
            <w:tcW w:w="470" w:type="pct"/>
            <w:tcBorders>
              <w:top w:val="single" w:sz="4" w:space="0" w:color="auto"/>
              <w:left w:val="single" w:sz="4" w:space="0" w:color="auto"/>
              <w:bottom w:val="single" w:sz="4" w:space="0" w:color="auto"/>
              <w:right w:val="single" w:sz="4" w:space="0" w:color="auto"/>
            </w:tcBorders>
            <w:vAlign w:val="center"/>
            <w:hideMark/>
          </w:tcPr>
          <w:p w14:paraId="7C265A2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2007</w:t>
            </w:r>
          </w:p>
        </w:tc>
        <w:tc>
          <w:tcPr>
            <w:tcW w:w="860" w:type="pct"/>
            <w:tcBorders>
              <w:top w:val="single" w:sz="4" w:space="0" w:color="auto"/>
              <w:left w:val="single" w:sz="4" w:space="0" w:color="auto"/>
              <w:bottom w:val="single" w:sz="4" w:space="0" w:color="auto"/>
              <w:right w:val="single" w:sz="4" w:space="0" w:color="auto"/>
            </w:tcBorders>
            <w:vAlign w:val="center"/>
            <w:hideMark/>
          </w:tcPr>
          <w:p w14:paraId="665E59B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58,4</w:t>
            </w:r>
          </w:p>
        </w:tc>
        <w:tc>
          <w:tcPr>
            <w:tcW w:w="704" w:type="pct"/>
            <w:tcBorders>
              <w:top w:val="single" w:sz="4" w:space="0" w:color="auto"/>
              <w:left w:val="single" w:sz="4" w:space="0" w:color="auto"/>
              <w:bottom w:val="single" w:sz="4" w:space="0" w:color="auto"/>
              <w:right w:val="single" w:sz="4" w:space="0" w:color="auto"/>
            </w:tcBorders>
            <w:vAlign w:val="center"/>
            <w:hideMark/>
          </w:tcPr>
          <w:p w14:paraId="4CA3EA7D"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705,3</w:t>
            </w:r>
          </w:p>
        </w:tc>
        <w:tc>
          <w:tcPr>
            <w:tcW w:w="624" w:type="pct"/>
            <w:tcBorders>
              <w:top w:val="single" w:sz="4" w:space="0" w:color="auto"/>
              <w:left w:val="single" w:sz="4" w:space="0" w:color="auto"/>
              <w:bottom w:val="single" w:sz="4" w:space="0" w:color="auto"/>
              <w:right w:val="single" w:sz="4" w:space="0" w:color="auto"/>
            </w:tcBorders>
            <w:vAlign w:val="center"/>
            <w:hideMark/>
          </w:tcPr>
          <w:p w14:paraId="47679BA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565,77</w:t>
            </w:r>
          </w:p>
        </w:tc>
        <w:tc>
          <w:tcPr>
            <w:tcW w:w="1249" w:type="pct"/>
            <w:tcBorders>
              <w:top w:val="single" w:sz="4" w:space="0" w:color="auto"/>
              <w:left w:val="single" w:sz="4" w:space="0" w:color="auto"/>
              <w:bottom w:val="single" w:sz="4" w:space="0" w:color="auto"/>
              <w:right w:val="single" w:sz="4" w:space="0" w:color="auto"/>
            </w:tcBorders>
            <w:vAlign w:val="center"/>
            <w:hideMark/>
          </w:tcPr>
          <w:p w14:paraId="6CCBDC4A"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0,7</w:t>
            </w:r>
          </w:p>
        </w:tc>
        <w:tc>
          <w:tcPr>
            <w:tcW w:w="1092" w:type="pct"/>
            <w:tcBorders>
              <w:top w:val="single" w:sz="4" w:space="0" w:color="auto"/>
              <w:left w:val="single" w:sz="4" w:space="0" w:color="auto"/>
              <w:bottom w:val="single" w:sz="4" w:space="0" w:color="auto"/>
              <w:right w:val="single" w:sz="4" w:space="0" w:color="auto"/>
            </w:tcBorders>
            <w:vAlign w:val="center"/>
            <w:hideMark/>
          </w:tcPr>
          <w:p w14:paraId="63CEF5A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0,6</w:t>
            </w:r>
          </w:p>
        </w:tc>
      </w:tr>
      <w:tr w:rsidR="008862C7" w14:paraId="11879774" w14:textId="77777777" w:rsidTr="008862C7">
        <w:trPr>
          <w:trHeight w:val="96"/>
        </w:trPr>
        <w:tc>
          <w:tcPr>
            <w:tcW w:w="470" w:type="pct"/>
            <w:tcBorders>
              <w:top w:val="single" w:sz="4" w:space="0" w:color="auto"/>
              <w:left w:val="single" w:sz="4" w:space="0" w:color="auto"/>
              <w:bottom w:val="single" w:sz="4" w:space="0" w:color="auto"/>
              <w:right w:val="single" w:sz="4" w:space="0" w:color="auto"/>
            </w:tcBorders>
            <w:vAlign w:val="center"/>
            <w:hideMark/>
          </w:tcPr>
          <w:p w14:paraId="28D32CB8"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2008</w:t>
            </w:r>
          </w:p>
        </w:tc>
        <w:tc>
          <w:tcPr>
            <w:tcW w:w="860" w:type="pct"/>
            <w:tcBorders>
              <w:top w:val="single" w:sz="4" w:space="0" w:color="auto"/>
              <w:left w:val="single" w:sz="4" w:space="0" w:color="auto"/>
              <w:bottom w:val="single" w:sz="4" w:space="0" w:color="auto"/>
              <w:right w:val="single" w:sz="4" w:space="0" w:color="auto"/>
            </w:tcBorders>
            <w:vAlign w:val="center"/>
            <w:hideMark/>
          </w:tcPr>
          <w:p w14:paraId="486766B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63,03</w:t>
            </w:r>
          </w:p>
        </w:tc>
        <w:tc>
          <w:tcPr>
            <w:tcW w:w="704" w:type="pct"/>
            <w:tcBorders>
              <w:top w:val="single" w:sz="4" w:space="0" w:color="auto"/>
              <w:left w:val="single" w:sz="4" w:space="0" w:color="auto"/>
              <w:bottom w:val="single" w:sz="4" w:space="0" w:color="auto"/>
              <w:right w:val="single" w:sz="4" w:space="0" w:color="auto"/>
            </w:tcBorders>
            <w:vAlign w:val="center"/>
            <w:hideMark/>
          </w:tcPr>
          <w:p w14:paraId="41DD169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546,7</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B9301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520,45</w:t>
            </w:r>
          </w:p>
        </w:tc>
        <w:tc>
          <w:tcPr>
            <w:tcW w:w="1249" w:type="pct"/>
            <w:tcBorders>
              <w:top w:val="single" w:sz="4" w:space="0" w:color="auto"/>
              <w:left w:val="single" w:sz="4" w:space="0" w:color="auto"/>
              <w:bottom w:val="single" w:sz="4" w:space="0" w:color="auto"/>
              <w:right w:val="single" w:sz="4" w:space="0" w:color="auto"/>
            </w:tcBorders>
            <w:vAlign w:val="center"/>
            <w:hideMark/>
          </w:tcPr>
          <w:p w14:paraId="3077D9B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1,7</w:t>
            </w:r>
          </w:p>
        </w:tc>
        <w:tc>
          <w:tcPr>
            <w:tcW w:w="1092" w:type="pct"/>
            <w:tcBorders>
              <w:top w:val="single" w:sz="4" w:space="0" w:color="auto"/>
              <w:left w:val="single" w:sz="4" w:space="0" w:color="auto"/>
              <w:bottom w:val="single" w:sz="4" w:space="0" w:color="auto"/>
              <w:right w:val="single" w:sz="4" w:space="0" w:color="auto"/>
            </w:tcBorders>
            <w:vAlign w:val="center"/>
            <w:hideMark/>
          </w:tcPr>
          <w:p w14:paraId="00E94EFB"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0,3</w:t>
            </w:r>
          </w:p>
        </w:tc>
      </w:tr>
      <w:tr w:rsidR="008862C7" w14:paraId="34D47753" w14:textId="77777777" w:rsidTr="008862C7">
        <w:trPr>
          <w:trHeight w:val="53"/>
        </w:trPr>
        <w:tc>
          <w:tcPr>
            <w:tcW w:w="470" w:type="pct"/>
            <w:tcBorders>
              <w:top w:val="single" w:sz="4" w:space="0" w:color="auto"/>
              <w:left w:val="single" w:sz="4" w:space="0" w:color="auto"/>
              <w:bottom w:val="single" w:sz="4" w:space="0" w:color="auto"/>
              <w:right w:val="single" w:sz="4" w:space="0" w:color="auto"/>
            </w:tcBorders>
            <w:vAlign w:val="center"/>
            <w:hideMark/>
          </w:tcPr>
          <w:p w14:paraId="19C9ED5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2009</w:t>
            </w:r>
          </w:p>
        </w:tc>
        <w:tc>
          <w:tcPr>
            <w:tcW w:w="860" w:type="pct"/>
            <w:tcBorders>
              <w:top w:val="single" w:sz="4" w:space="0" w:color="auto"/>
              <w:left w:val="single" w:sz="4" w:space="0" w:color="auto"/>
              <w:bottom w:val="single" w:sz="4" w:space="0" w:color="auto"/>
              <w:right w:val="single" w:sz="4" w:space="0" w:color="auto"/>
            </w:tcBorders>
            <w:vAlign w:val="center"/>
            <w:hideMark/>
          </w:tcPr>
          <w:p w14:paraId="72A2404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57,71</w:t>
            </w:r>
          </w:p>
        </w:tc>
        <w:tc>
          <w:tcPr>
            <w:tcW w:w="704" w:type="pct"/>
            <w:tcBorders>
              <w:top w:val="single" w:sz="4" w:space="0" w:color="auto"/>
              <w:left w:val="single" w:sz="4" w:space="0" w:color="auto"/>
              <w:bottom w:val="single" w:sz="4" w:space="0" w:color="auto"/>
              <w:right w:val="single" w:sz="4" w:space="0" w:color="auto"/>
            </w:tcBorders>
            <w:vAlign w:val="center"/>
            <w:hideMark/>
          </w:tcPr>
          <w:p w14:paraId="558827E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457,1</w:t>
            </w:r>
          </w:p>
        </w:tc>
        <w:tc>
          <w:tcPr>
            <w:tcW w:w="624" w:type="pct"/>
            <w:tcBorders>
              <w:top w:val="single" w:sz="4" w:space="0" w:color="auto"/>
              <w:left w:val="single" w:sz="4" w:space="0" w:color="auto"/>
              <w:bottom w:val="single" w:sz="4" w:space="0" w:color="auto"/>
              <w:right w:val="single" w:sz="4" w:space="0" w:color="auto"/>
            </w:tcBorders>
            <w:vAlign w:val="center"/>
            <w:hideMark/>
          </w:tcPr>
          <w:p w14:paraId="636F1417"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720</w:t>
            </w:r>
          </w:p>
        </w:tc>
        <w:tc>
          <w:tcPr>
            <w:tcW w:w="1249" w:type="pct"/>
            <w:tcBorders>
              <w:top w:val="single" w:sz="4" w:space="0" w:color="auto"/>
              <w:left w:val="single" w:sz="4" w:space="0" w:color="auto"/>
              <w:bottom w:val="single" w:sz="4" w:space="0" w:color="auto"/>
              <w:right w:val="single" w:sz="4" w:space="0" w:color="auto"/>
            </w:tcBorders>
            <w:vAlign w:val="center"/>
            <w:hideMark/>
          </w:tcPr>
          <w:p w14:paraId="3762B46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3,9</w:t>
            </w:r>
          </w:p>
        </w:tc>
        <w:tc>
          <w:tcPr>
            <w:tcW w:w="1092" w:type="pct"/>
            <w:tcBorders>
              <w:top w:val="single" w:sz="4" w:space="0" w:color="auto"/>
              <w:left w:val="single" w:sz="4" w:space="0" w:color="auto"/>
              <w:bottom w:val="single" w:sz="4" w:space="0" w:color="auto"/>
              <w:right w:val="single" w:sz="4" w:space="0" w:color="auto"/>
            </w:tcBorders>
            <w:vAlign w:val="center"/>
            <w:hideMark/>
          </w:tcPr>
          <w:p w14:paraId="60AF015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2,6</w:t>
            </w:r>
          </w:p>
        </w:tc>
      </w:tr>
    </w:tbl>
    <w:p w14:paraId="55F26E83" w14:textId="77777777" w:rsidR="008862C7" w:rsidRDefault="008862C7" w:rsidP="008862C7">
      <w:pPr>
        <w:spacing w:before="120" w:after="0" w:line="360" w:lineRule="auto"/>
        <w:jc w:val="both"/>
        <w:rPr>
          <w:rFonts w:ascii="Arial" w:eastAsia="Times New Roman" w:hAnsi="Arial" w:cs="Arial"/>
          <w:sz w:val="20"/>
          <w:szCs w:val="24"/>
        </w:rPr>
      </w:pPr>
      <w:r>
        <w:rPr>
          <w:rFonts w:ascii="Arial" w:hAnsi="Arial" w:cs="Arial"/>
          <w:b/>
          <w:sz w:val="20"/>
          <w:szCs w:val="24"/>
        </w:rPr>
        <w:t>Source :</w:t>
      </w:r>
      <w:r>
        <w:rPr>
          <w:rFonts w:ascii="Arial" w:hAnsi="Arial" w:cs="Arial"/>
          <w:sz w:val="20"/>
          <w:szCs w:val="24"/>
        </w:rPr>
        <w:t xml:space="preserve"> </w:t>
      </w:r>
      <w:commentRangeStart w:id="292"/>
      <w:r>
        <w:rPr>
          <w:rFonts w:ascii="Arial" w:hAnsi="Arial" w:cs="Arial"/>
          <w:sz w:val="20"/>
          <w:szCs w:val="24"/>
        </w:rPr>
        <w:t>BEAC</w:t>
      </w:r>
      <w:commentRangeEnd w:id="292"/>
      <w:r>
        <w:rPr>
          <w:rStyle w:val="Marquedecommentaire"/>
          <w:rFonts w:eastAsia="Times New Roman" w:cs="Times New Roman"/>
        </w:rPr>
        <w:commentReference w:id="292"/>
      </w:r>
      <w:r>
        <w:rPr>
          <w:rFonts w:ascii="Arial" w:hAnsi="Arial" w:cs="Arial"/>
          <w:sz w:val="20"/>
          <w:szCs w:val="24"/>
        </w:rPr>
        <w:t>, 2012</w:t>
      </w:r>
    </w:p>
    <w:p w14:paraId="50867CBE"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Ce tableau laisse entrevoir clairement qu’il existe une corrélation nettement marquée entre le prix en FCFA du coton centrafricain, le cours libellé en dollar et la parité du dollar par rapport au FCFA, et donc par rapport à l’Euro.</w:t>
      </w:r>
    </w:p>
    <w:p w14:paraId="526C671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Pour une production de 8,8 milliers de tonnes de coton fibre en 2000 la SOCOCA n’avait gagné que 7,4 milliards de FCFA alors qu’en 2002 pour 13,3 milliers tonnes elle n’avait encaissé que </w:t>
      </w:r>
      <w:r>
        <w:rPr>
          <w:rFonts w:ascii="Arial" w:hAnsi="Arial" w:cs="Arial"/>
          <w:sz w:val="24"/>
          <w:szCs w:val="24"/>
        </w:rPr>
        <w:lastRenderedPageBreak/>
        <w:t>6,4 milliard de FCFA. Le taux de change USD/FCFA était de 656,4 en 2000 et seulement de 520,7 en 2002. Par ailleurs en 2003 alors qu’un dollar valait 527,6 FCFA, pour 900 tonnes de coton fibre, la SOCOCA avait empoché 0,6 milliard de FCFA tandis qu’en 2007 alors que le taux de change USD/FCFA était de 557,8 pour 1.700 tonnes de coton fibre, la Cellule coton avait encaissé aussi 0,6 milliard de FCFA ce qui démontre l’importance des cours du dollar sur les recettes de la RCA. L’on peut se demander si en fin de compte c’est le dollar qui décide en grande partie de l’avenir de nos exportations cotonnières.</w:t>
      </w:r>
    </w:p>
    <w:p w14:paraId="23BC47B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De cette étude, il est donc claire que le taux de change USD/FCFA constitue l’un des facteurs les plus déterminants de la compétitivité du coton des pays de la ZFA et plus spécifique de la RCA. Ce faisant, il est un facteur crucial à prendre en compte dans la politique d’accroissement des parts de marché des pays africains producteurs de coton.</w:t>
      </w:r>
    </w:p>
    <w:p w14:paraId="0918B15F" w14:textId="77777777" w:rsidR="008862C7" w:rsidRDefault="008862C7" w:rsidP="008862C7">
      <w:pPr>
        <w:pStyle w:val="Paragraphedeliste"/>
        <w:spacing w:before="120" w:after="0" w:line="360" w:lineRule="auto"/>
        <w:ind w:left="0"/>
        <w:jc w:val="both"/>
        <w:outlineLvl w:val="8"/>
        <w:rPr>
          <w:rFonts w:ascii="Arial" w:hAnsi="Arial" w:cs="Arial"/>
          <w:b/>
          <w:sz w:val="24"/>
          <w:szCs w:val="24"/>
        </w:rPr>
      </w:pPr>
      <w:bookmarkStart w:id="293" w:name="_Toc395107698"/>
      <w:r>
        <w:rPr>
          <w:rFonts w:ascii="Arial" w:hAnsi="Arial" w:cs="Arial"/>
          <w:b/>
          <w:sz w:val="24"/>
          <w:szCs w:val="24"/>
        </w:rPr>
        <w:t>b. Conditions du marché international</w:t>
      </w:r>
      <w:bookmarkEnd w:id="293"/>
    </w:p>
    <w:p w14:paraId="13593439"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Au début du vingtième siècle, le coton dominait le marché mondial du textile, mais depuis le début du vingt-et-unième siècle, la tendance s’est renversée et le coton s’est vu supplanter par le polyester. Aujourd’hui la concurrence avec les fibres synthétiques se fait de plus en plus rude, la part du coton dans la consommation totale de fibres est en diminution constante depuis la fin des années 1950, passant de 70% à moins de 40% en 2005. Alors que le marché du textile a augmenté de 8 millions de tonnes au cours des années 1990, celui du coton ne s’est accru que de 500 milles tonnes. Si l’on tient compte du poids démographique, on peut considérer que la consommation de coton par habitant est pratiquement constante depuis quarante ans. Ce déclin de la part de marché du coton induit une pression à la baisse des cours mondiaux, pressions entretenues par les subventions accordées par les pays riches à leurs producteurs de coton et par la position de la Chine sur ce marché. </w:t>
      </w:r>
    </w:p>
    <w:p w14:paraId="603536B6"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4"/>
          <w:szCs w:val="24"/>
        </w:rPr>
      </w:pPr>
      <w:bookmarkStart w:id="294" w:name="_Toc395107699"/>
      <w:r>
        <w:rPr>
          <w:rFonts w:ascii="Arial" w:hAnsi="Arial" w:cs="Arial"/>
          <w:b/>
          <w:bCs/>
          <w:sz w:val="24"/>
          <w:szCs w:val="24"/>
        </w:rPr>
        <w:t>Concurrence des fibres synthétiques</w:t>
      </w:r>
      <w:bookmarkEnd w:id="294"/>
    </w:p>
    <w:p w14:paraId="7480D34F"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L’évolution de la part du coton dans la consommation mondiale de fibres textiles n’a </w:t>
      </w:r>
      <w:r w:rsidR="0079544B">
        <w:rPr>
          <w:rFonts w:ascii="Arial" w:hAnsi="Arial" w:cs="Arial"/>
          <w:sz w:val="24"/>
          <w:szCs w:val="24"/>
        </w:rPr>
        <w:t>cessé</w:t>
      </w:r>
      <w:r>
        <w:rPr>
          <w:rFonts w:ascii="Arial" w:hAnsi="Arial" w:cs="Arial"/>
          <w:sz w:val="24"/>
          <w:szCs w:val="24"/>
        </w:rPr>
        <w:t xml:space="preserve"> de décroitre depuis l’apparition des fibres synthétiques. Cette tendance s’est accentuée sur la décennie avec les progrès techniques réalisés dans le domaine de la production des fibres synthétiques, des laines et du coton biologique de qualité de plus en plus meilleure. Sa consommation mondiale est passée de plus de 70% dans les années 50 à moins de 50% à la fin des années 70. La situation s’est améliorée pendant les années 80, mais la part du coton dans la consommation mondiale de fibres textiles a reculé pour tomber à moins de 40% au début des années 2000. L’utilisation du coton a néanmoins connu un regain de popularité en 2004 et 2005 </w:t>
      </w:r>
      <w:r>
        <w:rPr>
          <w:rFonts w:ascii="Arial" w:hAnsi="Arial" w:cs="Arial"/>
          <w:sz w:val="24"/>
          <w:szCs w:val="24"/>
        </w:rPr>
        <w:lastRenderedPageBreak/>
        <w:t>du fait de prix moins élevés, et la part du coton dans la consommation de fibres a augmenté pour dépasser 40% en 2005. Cependant, à long terme, la structure du marché des fibres textiles devrait être totalement modifiée car le coton devrait selon toute vraisemblance continuer à perdre des parts de marché.</w:t>
      </w:r>
    </w:p>
    <w:p w14:paraId="0D376CD2" w14:textId="77777777" w:rsidR="008862C7" w:rsidRDefault="008862C7" w:rsidP="008862C7">
      <w:pPr>
        <w:autoSpaceDE w:val="0"/>
        <w:autoSpaceDN w:val="0"/>
        <w:adjustRightInd w:val="0"/>
        <w:spacing w:before="120" w:after="120" w:line="240" w:lineRule="auto"/>
        <w:jc w:val="both"/>
        <w:rPr>
          <w:rFonts w:ascii="Arial" w:hAnsi="Arial" w:cs="Arial"/>
          <w:noProof/>
          <w:sz w:val="24"/>
          <w:szCs w:val="24"/>
        </w:rPr>
      </w:pPr>
      <w:r>
        <w:rPr>
          <w:rFonts w:ascii="Arial" w:hAnsi="Arial" w:cs="Arial"/>
          <w:b/>
          <w:sz w:val="24"/>
          <w:szCs w:val="24"/>
        </w:rPr>
        <w:t>Graphique 4.7 :</w:t>
      </w:r>
      <w:r>
        <w:rPr>
          <w:rFonts w:ascii="Arial" w:hAnsi="Arial" w:cs="Arial"/>
          <w:sz w:val="24"/>
          <w:szCs w:val="24"/>
        </w:rPr>
        <w:t xml:space="preserve"> Evolution du cours mondial des fibres : coton et polyesters</w:t>
      </w:r>
    </w:p>
    <w:p w14:paraId="22567627" w14:textId="77777777" w:rsidR="008862C7" w:rsidRDefault="00E72C3F" w:rsidP="008862C7">
      <w:pPr>
        <w:autoSpaceDE w:val="0"/>
        <w:autoSpaceDN w:val="0"/>
        <w:adjustRightInd w:val="0"/>
        <w:spacing w:after="0" w:line="240" w:lineRule="auto"/>
        <w:jc w:val="both"/>
        <w:rPr>
          <w:rFonts w:ascii="Arial" w:hAnsi="Arial" w:cs="Arial"/>
          <w:noProof/>
          <w:sz w:val="24"/>
          <w:szCs w:val="24"/>
        </w:rPr>
      </w:pPr>
      <w:r>
        <w:rPr>
          <w:rFonts w:ascii="Calibri" w:hAnsi="Calibri" w:cs="Times New Roman"/>
          <w:noProof/>
          <w:lang w:eastAsia="fr-FR"/>
        </w:rPr>
        <mc:AlternateContent>
          <mc:Choice Requires="wps">
            <w:drawing>
              <wp:anchor distT="0" distB="0" distL="114300" distR="114300" simplePos="0" relativeHeight="251676672" behindDoc="0" locked="0" layoutInCell="1" allowOverlap="1" wp14:anchorId="43858BA5" wp14:editId="754B23B6">
                <wp:simplePos x="0" y="0"/>
                <wp:positionH relativeFrom="column">
                  <wp:posOffset>0</wp:posOffset>
                </wp:positionH>
                <wp:positionV relativeFrom="paragraph">
                  <wp:posOffset>45085</wp:posOffset>
                </wp:positionV>
                <wp:extent cx="5584190" cy="2516505"/>
                <wp:effectExtent l="9525" t="6985" r="6985" b="10160"/>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516505"/>
                        </a:xfrm>
                        <a:prstGeom prst="rect">
                          <a:avLst/>
                        </a:prstGeom>
                        <a:solidFill>
                          <a:srgbClr val="FFFFFF"/>
                        </a:solidFill>
                        <a:ln w="9525">
                          <a:solidFill>
                            <a:srgbClr val="000000"/>
                          </a:solidFill>
                          <a:miter lim="800000"/>
                          <a:headEnd/>
                          <a:tailEnd/>
                        </a:ln>
                      </wps:spPr>
                      <wps:txbx>
                        <w:txbxContent>
                          <w:p w14:paraId="78A51BE9" w14:textId="77777777" w:rsidR="00B63507" w:rsidRDefault="00B63507" w:rsidP="008862C7">
                            <w:r>
                              <w:rPr>
                                <w:rFonts w:eastAsia="Calibri" w:cs="Calibri"/>
                                <w:noProof/>
                                <w:sz w:val="20"/>
                                <w:szCs w:val="20"/>
                                <w:lang w:eastAsia="fr-FR"/>
                              </w:rPr>
                              <w:drawing>
                                <wp:inline distT="0" distB="0" distL="0" distR="0" wp14:anchorId="62B5D838" wp14:editId="7534D487">
                                  <wp:extent cx="5391150" cy="24580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4580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8BA5" id="Text Box 67" o:spid="_x0000_s1111" type="#_x0000_t202" style="position:absolute;left:0;text-align:left;margin-left:0;margin-top:3.55pt;width:439.7pt;height:198.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">
                <v:textbox>
                  <w:txbxContent>
                    <w:p w14:paraId="78A51BE9" w14:textId="77777777" w:rsidR="00B63507" w:rsidRDefault="00B63507" w:rsidP="008862C7">
                      <w:r>
                        <w:rPr>
                          <w:rFonts w:eastAsia="Calibri" w:cs="Calibri"/>
                          <w:noProof/>
                          <w:sz w:val="20"/>
                          <w:szCs w:val="20"/>
                          <w:lang w:eastAsia="fr-FR"/>
                        </w:rPr>
                        <w:drawing>
                          <wp:inline distT="0" distB="0" distL="0" distR="0" wp14:anchorId="62B5D838" wp14:editId="7534D487">
                            <wp:extent cx="5391150" cy="24580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458085"/>
                                    </a:xfrm>
                                    <a:prstGeom prst="rect">
                                      <a:avLst/>
                                    </a:prstGeom>
                                    <a:noFill/>
                                    <a:ln>
                                      <a:noFill/>
                                    </a:ln>
                                  </pic:spPr>
                                </pic:pic>
                              </a:graphicData>
                            </a:graphic>
                          </wp:inline>
                        </w:drawing>
                      </w:r>
                    </w:p>
                  </w:txbxContent>
                </v:textbox>
              </v:shape>
            </w:pict>
          </mc:Fallback>
        </mc:AlternateContent>
      </w:r>
    </w:p>
    <w:p w14:paraId="69FF830B"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0A5324C6"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32B6895C"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1FC06890"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3378237F"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22F6880B"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66CDDDB8"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02BFBFE1"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1130BAA9"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1575A769"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5DA43299"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7F35EE0C"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52FA33BA"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639F39AA" w14:textId="77777777" w:rsidR="008862C7" w:rsidRDefault="008862C7" w:rsidP="008862C7">
      <w:pPr>
        <w:autoSpaceDE w:val="0"/>
        <w:autoSpaceDN w:val="0"/>
        <w:adjustRightInd w:val="0"/>
        <w:spacing w:after="0" w:line="240" w:lineRule="auto"/>
        <w:jc w:val="both"/>
        <w:rPr>
          <w:rFonts w:ascii="Arial" w:hAnsi="Arial" w:cs="Arial"/>
          <w:noProof/>
          <w:sz w:val="24"/>
          <w:szCs w:val="24"/>
        </w:rPr>
      </w:pPr>
    </w:p>
    <w:p w14:paraId="6E741974" w14:textId="77777777" w:rsidR="008862C7" w:rsidRDefault="008862C7" w:rsidP="008862C7">
      <w:pPr>
        <w:autoSpaceDE w:val="0"/>
        <w:autoSpaceDN w:val="0"/>
        <w:adjustRightInd w:val="0"/>
        <w:spacing w:after="0" w:line="240" w:lineRule="auto"/>
        <w:jc w:val="both"/>
        <w:rPr>
          <w:rFonts w:ascii="Arial" w:hAnsi="Arial" w:cs="Arial"/>
          <w:sz w:val="20"/>
          <w:szCs w:val="24"/>
        </w:rPr>
      </w:pPr>
      <w:r>
        <w:rPr>
          <w:rFonts w:ascii="Arial" w:hAnsi="Arial" w:cs="Arial"/>
          <w:sz w:val="20"/>
          <w:szCs w:val="24"/>
        </w:rPr>
        <w:t>Source : CCIA</w:t>
      </w:r>
    </w:p>
    <w:p w14:paraId="77016A27"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La consommation de coton par habitant est restée pour ainsi dire inchangée depuis 1960, alors que la consommation totale de fibres textiles par habitant a plus que doublé. La consommation mondiale de toutes les fibres textiles, y compris de coton, les fibres synthétiques et la laine, a progressé à un rythme impressionnant, passant de 9,6 millions de tonnes en 1950 à 56 millions de tonnes en 2004. </w:t>
      </w:r>
    </w:p>
    <w:p w14:paraId="0C52537B"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Parmi les fibres en concurrence avec le coton figurent des fibres naturelles et les fibres synthétiques, principalement le polyester. </w:t>
      </w:r>
    </w:p>
    <w:p w14:paraId="4D594C28"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Il est à noter que contrairement à une idée dominante, la compétitivité-prix du coton par rapport aux fibres synthétiques n’aurait guère  d’incidence majeure sur la part de marché, surtout depuis une vingtaine d’années. Cela peut s’expliquer par les avantages dont dispose le coton par rapport à ses principaux concurrents parmi les fibres synthétiques. Il s’agit notamment de son confort, son aspect naturel, son pouvoir absorbant, le fait qu’il s’agit d’une ressource renouvelable et qu’il joue un rôle économique important dan</w:t>
      </w:r>
      <w:r w:rsidR="0079544B">
        <w:rPr>
          <w:rFonts w:ascii="Arial" w:hAnsi="Arial" w:cs="Arial"/>
          <w:sz w:val="24"/>
          <w:szCs w:val="24"/>
        </w:rPr>
        <w:t>s de nombreux pays producteurs.</w:t>
      </w:r>
    </w:p>
    <w:p w14:paraId="75CB7664" w14:textId="77777777" w:rsidR="0079544B" w:rsidRDefault="0079544B" w:rsidP="008862C7">
      <w:pPr>
        <w:autoSpaceDE w:val="0"/>
        <w:autoSpaceDN w:val="0"/>
        <w:adjustRightInd w:val="0"/>
        <w:spacing w:before="120" w:after="0" w:line="360" w:lineRule="auto"/>
        <w:jc w:val="both"/>
        <w:rPr>
          <w:rFonts w:ascii="Arial" w:hAnsi="Arial" w:cs="Arial"/>
          <w:sz w:val="24"/>
          <w:szCs w:val="24"/>
        </w:rPr>
      </w:pPr>
    </w:p>
    <w:p w14:paraId="1989CEB2" w14:textId="77777777" w:rsidR="0079544B" w:rsidRDefault="0079544B" w:rsidP="008862C7">
      <w:pPr>
        <w:autoSpaceDE w:val="0"/>
        <w:autoSpaceDN w:val="0"/>
        <w:adjustRightInd w:val="0"/>
        <w:spacing w:before="120" w:after="0" w:line="360" w:lineRule="auto"/>
        <w:jc w:val="both"/>
        <w:rPr>
          <w:rFonts w:ascii="Arial" w:hAnsi="Arial" w:cs="Arial"/>
          <w:sz w:val="24"/>
          <w:szCs w:val="24"/>
        </w:rPr>
      </w:pPr>
    </w:p>
    <w:p w14:paraId="56CB3996"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p>
    <w:p w14:paraId="4D6D0ECD"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b/>
          <w:sz w:val="24"/>
          <w:szCs w:val="24"/>
        </w:rPr>
        <w:lastRenderedPageBreak/>
        <w:t>Graphique 4.8 :</w:t>
      </w:r>
      <w:r>
        <w:rPr>
          <w:rFonts w:ascii="Arial" w:hAnsi="Arial" w:cs="Arial"/>
          <w:sz w:val="24"/>
          <w:szCs w:val="24"/>
        </w:rPr>
        <w:t xml:space="preserve"> Rapport des prix coton/polyester et part de marché du coton</w:t>
      </w:r>
    </w:p>
    <w:p w14:paraId="6BDDAA1C" w14:textId="77777777" w:rsidR="008862C7" w:rsidRDefault="008862C7" w:rsidP="008862C7">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fr-FR"/>
        </w:rPr>
        <w:drawing>
          <wp:inline distT="0" distB="0" distL="0" distR="0" wp14:anchorId="5EA60290" wp14:editId="21BD3B7C">
            <wp:extent cx="5664835" cy="254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4835" cy="2541270"/>
                    </a:xfrm>
                    <a:prstGeom prst="rect">
                      <a:avLst/>
                    </a:prstGeom>
                    <a:noFill/>
                    <a:ln>
                      <a:noFill/>
                    </a:ln>
                  </pic:spPr>
                </pic:pic>
              </a:graphicData>
            </a:graphic>
          </wp:inline>
        </w:drawing>
      </w:r>
    </w:p>
    <w:p w14:paraId="31D3D3A2" w14:textId="77777777" w:rsidR="008862C7" w:rsidRDefault="008862C7" w:rsidP="008862C7">
      <w:pPr>
        <w:autoSpaceDE w:val="0"/>
        <w:autoSpaceDN w:val="0"/>
        <w:adjustRightInd w:val="0"/>
        <w:spacing w:after="0" w:line="360" w:lineRule="auto"/>
        <w:jc w:val="both"/>
        <w:rPr>
          <w:rFonts w:ascii="Arial" w:hAnsi="Arial" w:cs="Arial"/>
          <w:sz w:val="20"/>
          <w:szCs w:val="24"/>
        </w:rPr>
      </w:pPr>
      <w:r>
        <w:rPr>
          <w:rFonts w:ascii="Arial" w:hAnsi="Arial" w:cs="Arial"/>
          <w:sz w:val="20"/>
          <w:szCs w:val="24"/>
        </w:rPr>
        <w:t>Source : AFD d’après données USDA.</w:t>
      </w:r>
    </w:p>
    <w:p w14:paraId="266AB137"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Comme le montre le graphique, alors que le rapport de prix coton/polyester varie d’une année à l’autre dans une fourchette de 0,79 à 1,26 depuis 1980, la part de marché du coton baisse progressivement de 52% à 38%. Entre 1980 et 1981, le prix relatif du coton baisse de 25%, ce qui n’empêche pas de voir sa part de marché diminuer de 2 points. Au-delà du prix, d’autres facteurs peuvent également avoir une influence : le revenu, le progrès technique et les spécificités des pays. Il est à noter qu’il est difficile de mettre en évidence le poids de chaque variable.</w:t>
      </w:r>
    </w:p>
    <w:p w14:paraId="661D49C5"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0"/>
        </w:rPr>
      </w:pPr>
      <w:bookmarkStart w:id="295" w:name="_Toc321251055"/>
      <w:bookmarkStart w:id="296" w:name="_Toc395107700"/>
      <w:r>
        <w:rPr>
          <w:rFonts w:ascii="Arial" w:hAnsi="Arial" w:cs="Arial"/>
          <w:b/>
          <w:sz w:val="24"/>
          <w:szCs w:val="28"/>
        </w:rPr>
        <w:t>Cours du coton centrafricain sur le marché mondial</w:t>
      </w:r>
      <w:bookmarkEnd w:id="295"/>
      <w:r>
        <w:rPr>
          <w:rFonts w:ascii="Arial" w:hAnsi="Arial" w:cs="Arial"/>
          <w:b/>
          <w:sz w:val="24"/>
          <w:szCs w:val="28"/>
        </w:rPr>
        <w:t xml:space="preserve"> et volume de production nationale de coton graine</w:t>
      </w:r>
      <w:bookmarkEnd w:id="296"/>
      <w:r>
        <w:rPr>
          <w:rFonts w:ascii="Arial" w:hAnsi="Arial" w:cs="Arial"/>
          <w:b/>
          <w:sz w:val="24"/>
          <w:szCs w:val="28"/>
        </w:rPr>
        <w:t xml:space="preserve"> </w:t>
      </w:r>
    </w:p>
    <w:p w14:paraId="0CA3ECA7" w14:textId="77777777" w:rsidR="008862C7" w:rsidRDefault="008862C7" w:rsidP="008862C7">
      <w:pPr>
        <w:spacing w:before="120" w:after="0" w:line="360" w:lineRule="auto"/>
        <w:jc w:val="both"/>
        <w:rPr>
          <w:rFonts w:ascii="Arial" w:hAnsi="Arial" w:cs="Arial"/>
          <w:sz w:val="24"/>
        </w:rPr>
      </w:pPr>
      <w:r>
        <w:rPr>
          <w:rFonts w:ascii="Arial" w:hAnsi="Arial" w:cs="Arial"/>
          <w:sz w:val="24"/>
        </w:rPr>
        <w:t>Le volume/quantité d’un produit mis sur le marché constitue un élément permettant d’accroître les parts de marché d’une entreprise. De ce fait le volume de production peut être pris comme une dimension non négligeable de la compétitivité prix/coût.</w:t>
      </w:r>
    </w:p>
    <w:p w14:paraId="07BA6D3B" w14:textId="77777777" w:rsidR="008862C7" w:rsidRDefault="008862C7" w:rsidP="008862C7">
      <w:pPr>
        <w:spacing w:before="120" w:after="0" w:line="360" w:lineRule="auto"/>
        <w:jc w:val="both"/>
        <w:rPr>
          <w:rFonts w:ascii="Arial" w:hAnsi="Arial" w:cs="Arial"/>
          <w:sz w:val="24"/>
        </w:rPr>
      </w:pPr>
      <w:r>
        <w:rPr>
          <w:rFonts w:ascii="Arial" w:hAnsi="Arial" w:cs="Arial"/>
          <w:sz w:val="24"/>
        </w:rPr>
        <w:t>La faiblesse de la production cotonnière en RCA, ne lui permet pas d’accroitre ou de conserver significativement ses parts de marchés sur le marché mondial. Cette faiblesse ne permet non plus la mise en place de stratégie conséquente de réduction de coûts de production et de commercialisation.</w:t>
      </w:r>
    </w:p>
    <w:p w14:paraId="15FD2A82" w14:textId="77777777" w:rsidR="008862C7" w:rsidRDefault="008862C7" w:rsidP="008862C7">
      <w:pPr>
        <w:spacing w:before="120" w:after="0" w:line="360" w:lineRule="auto"/>
        <w:jc w:val="both"/>
        <w:rPr>
          <w:rFonts w:ascii="Arial" w:hAnsi="Arial" w:cs="Arial"/>
          <w:sz w:val="24"/>
        </w:rPr>
      </w:pPr>
      <w:r>
        <w:rPr>
          <w:rFonts w:ascii="Arial" w:hAnsi="Arial" w:cs="Arial"/>
          <w:sz w:val="24"/>
        </w:rPr>
        <w:t xml:space="preserve">Au nombre des facteurs pouvant influencer l’évolution de la production cotonnière en Centrafrique, le poids du cours mondial du coton n’est pas des moindres. Ainsi il constitue l’un des principaux facteurs qui affectent négativement l’évolution de la production et par voie de conséquence la compétitivité du coton centrafricain. L’estimation de la production cotonnière en </w:t>
      </w:r>
      <w:r>
        <w:rPr>
          <w:rFonts w:ascii="Arial" w:hAnsi="Arial" w:cs="Arial"/>
          <w:sz w:val="24"/>
        </w:rPr>
        <w:lastRenderedPageBreak/>
        <w:t xml:space="preserve">Centrafrique en fonction des cours mondiaux du coton et des surfaces semées permettent de rendre compte du poids des cours sur la production. </w:t>
      </w:r>
    </w:p>
    <w:p w14:paraId="2C5467F0" w14:textId="77777777" w:rsidR="008862C7" w:rsidRDefault="008862C7" w:rsidP="008862C7">
      <w:pPr>
        <w:spacing w:before="120" w:after="0" w:line="360" w:lineRule="auto"/>
        <w:jc w:val="both"/>
        <w:rPr>
          <w:rFonts w:ascii="Arial" w:hAnsi="Arial" w:cs="Arial"/>
          <w:sz w:val="24"/>
        </w:rPr>
      </w:pPr>
      <w:r>
        <w:rPr>
          <w:rFonts w:ascii="Arial" w:hAnsi="Arial" w:cs="Arial"/>
          <w:b/>
          <w:sz w:val="24"/>
        </w:rPr>
        <w:t>Tableau 4.6 :</w:t>
      </w:r>
      <w:r>
        <w:rPr>
          <w:rFonts w:ascii="Arial" w:hAnsi="Arial" w:cs="Arial"/>
          <w:sz w:val="24"/>
        </w:rPr>
        <w:t xml:space="preserve"> Estimation du modèle à décalage temporel de la production cotonnière en Centrafrique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862C7" w14:paraId="7E5B6763"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3D242A32" w14:textId="77777777" w:rsidR="008862C7" w:rsidRDefault="008862C7">
            <w:pPr>
              <w:tabs>
                <w:tab w:val="left" w:pos="708"/>
              </w:tabs>
              <w:spacing w:before="120" w:after="0" w:line="276" w:lineRule="auto"/>
              <w:jc w:val="both"/>
              <w:rPr>
                <w:rFonts w:ascii="Arial" w:eastAsia="Times New Roman" w:hAnsi="Arial" w:cs="Arial"/>
                <w:b/>
              </w:rPr>
            </w:pPr>
            <w:r>
              <w:rPr>
                <w:rFonts w:ascii="Arial" w:hAnsi="Arial" w:cs="Arial"/>
                <w:b/>
              </w:rPr>
              <w:t xml:space="preserve">Variables du modèle </w:t>
            </w:r>
          </w:p>
        </w:tc>
        <w:tc>
          <w:tcPr>
            <w:tcW w:w="4606" w:type="dxa"/>
            <w:tcBorders>
              <w:top w:val="single" w:sz="4" w:space="0" w:color="auto"/>
              <w:left w:val="single" w:sz="4" w:space="0" w:color="auto"/>
              <w:bottom w:val="single" w:sz="4" w:space="0" w:color="auto"/>
              <w:right w:val="single" w:sz="4" w:space="0" w:color="auto"/>
            </w:tcBorders>
            <w:hideMark/>
          </w:tcPr>
          <w:p w14:paraId="2F7388FF" w14:textId="77777777" w:rsidR="008862C7" w:rsidRDefault="008862C7">
            <w:pPr>
              <w:tabs>
                <w:tab w:val="left" w:pos="708"/>
              </w:tabs>
              <w:spacing w:before="120" w:after="0" w:line="276" w:lineRule="auto"/>
              <w:jc w:val="center"/>
              <w:rPr>
                <w:rFonts w:ascii="Arial" w:eastAsia="Times New Roman" w:hAnsi="Arial" w:cs="Arial"/>
                <w:b/>
              </w:rPr>
            </w:pPr>
            <w:r>
              <w:rPr>
                <w:rFonts w:ascii="Arial" w:hAnsi="Arial" w:cs="Arial"/>
                <w:b/>
              </w:rPr>
              <w:t>Valeurs</w:t>
            </w:r>
          </w:p>
        </w:tc>
      </w:tr>
      <w:tr w:rsidR="008862C7" w14:paraId="58B2377E"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139A4F7B"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Cours mondiale du coton</w:t>
            </w:r>
          </w:p>
        </w:tc>
        <w:tc>
          <w:tcPr>
            <w:tcW w:w="4606" w:type="dxa"/>
            <w:tcBorders>
              <w:top w:val="single" w:sz="4" w:space="0" w:color="auto"/>
              <w:left w:val="single" w:sz="4" w:space="0" w:color="auto"/>
              <w:bottom w:val="single" w:sz="4" w:space="0" w:color="auto"/>
              <w:right w:val="single" w:sz="4" w:space="0" w:color="auto"/>
            </w:tcBorders>
            <w:hideMark/>
          </w:tcPr>
          <w:p w14:paraId="21E7E7BE"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0,3160</w:t>
            </w:r>
          </w:p>
        </w:tc>
      </w:tr>
      <w:tr w:rsidR="008862C7" w14:paraId="12CD77AF"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4807C3F3"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Surfaces semées</w:t>
            </w:r>
          </w:p>
        </w:tc>
        <w:tc>
          <w:tcPr>
            <w:tcW w:w="4606" w:type="dxa"/>
            <w:tcBorders>
              <w:top w:val="single" w:sz="4" w:space="0" w:color="auto"/>
              <w:left w:val="single" w:sz="4" w:space="0" w:color="auto"/>
              <w:bottom w:val="single" w:sz="4" w:space="0" w:color="auto"/>
              <w:right w:val="single" w:sz="4" w:space="0" w:color="auto"/>
            </w:tcBorders>
            <w:hideMark/>
          </w:tcPr>
          <w:p w14:paraId="6CF51FA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0,592</w:t>
            </w:r>
          </w:p>
        </w:tc>
      </w:tr>
      <w:tr w:rsidR="008862C7" w14:paraId="77B23FBC"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6F7538D5"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 xml:space="preserve">Constante </w:t>
            </w:r>
          </w:p>
        </w:tc>
        <w:tc>
          <w:tcPr>
            <w:tcW w:w="4606" w:type="dxa"/>
            <w:tcBorders>
              <w:top w:val="single" w:sz="4" w:space="0" w:color="auto"/>
              <w:left w:val="single" w:sz="4" w:space="0" w:color="auto"/>
              <w:bottom w:val="single" w:sz="4" w:space="0" w:color="auto"/>
              <w:right w:val="single" w:sz="4" w:space="0" w:color="auto"/>
            </w:tcBorders>
            <w:hideMark/>
          </w:tcPr>
          <w:p w14:paraId="7F122F6C"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- 21,695</w:t>
            </w:r>
          </w:p>
        </w:tc>
      </w:tr>
      <w:tr w:rsidR="008862C7" w14:paraId="6A6E0A3F"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0C441918"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N</w:t>
            </w:r>
          </w:p>
        </w:tc>
        <w:tc>
          <w:tcPr>
            <w:tcW w:w="4606" w:type="dxa"/>
            <w:tcBorders>
              <w:top w:val="single" w:sz="4" w:space="0" w:color="auto"/>
              <w:left w:val="single" w:sz="4" w:space="0" w:color="auto"/>
              <w:bottom w:val="single" w:sz="4" w:space="0" w:color="auto"/>
              <w:right w:val="single" w:sz="4" w:space="0" w:color="auto"/>
            </w:tcBorders>
            <w:hideMark/>
          </w:tcPr>
          <w:p w14:paraId="2B8362B2"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10</w:t>
            </w:r>
          </w:p>
        </w:tc>
      </w:tr>
      <w:tr w:rsidR="008862C7" w14:paraId="768299E5"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1A8C0CF3" w14:textId="77777777" w:rsidR="008862C7" w:rsidRDefault="008862C7">
            <w:pPr>
              <w:tabs>
                <w:tab w:val="left" w:pos="708"/>
              </w:tabs>
              <w:spacing w:before="120" w:after="0" w:line="276" w:lineRule="auto"/>
              <w:jc w:val="both"/>
              <w:rPr>
                <w:rFonts w:ascii="Arial" w:eastAsia="Times New Roman" w:hAnsi="Arial" w:cs="Arial"/>
                <w:vertAlign w:val="superscript"/>
              </w:rPr>
            </w:pPr>
            <w:r>
              <w:rPr>
                <w:rFonts w:ascii="Arial" w:hAnsi="Arial" w:cs="Arial"/>
              </w:rPr>
              <w:t>R</w:t>
            </w:r>
            <w:r>
              <w:rPr>
                <w:rFonts w:ascii="Arial" w:hAnsi="Arial" w:cs="Arial"/>
                <w:vertAlign w:val="superscript"/>
              </w:rPr>
              <w:t>2</w:t>
            </w:r>
          </w:p>
        </w:tc>
        <w:tc>
          <w:tcPr>
            <w:tcW w:w="4606" w:type="dxa"/>
            <w:tcBorders>
              <w:top w:val="single" w:sz="4" w:space="0" w:color="auto"/>
              <w:left w:val="single" w:sz="4" w:space="0" w:color="auto"/>
              <w:bottom w:val="single" w:sz="4" w:space="0" w:color="auto"/>
              <w:right w:val="single" w:sz="4" w:space="0" w:color="auto"/>
            </w:tcBorders>
            <w:hideMark/>
          </w:tcPr>
          <w:p w14:paraId="09D975A3"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0,89</w:t>
            </w:r>
          </w:p>
        </w:tc>
      </w:tr>
      <w:tr w:rsidR="008862C7" w14:paraId="6EF4D6B5" w14:textId="77777777" w:rsidTr="008862C7">
        <w:tc>
          <w:tcPr>
            <w:tcW w:w="4606" w:type="dxa"/>
            <w:tcBorders>
              <w:top w:val="single" w:sz="4" w:space="0" w:color="auto"/>
              <w:left w:val="single" w:sz="4" w:space="0" w:color="auto"/>
              <w:bottom w:val="single" w:sz="4" w:space="0" w:color="auto"/>
              <w:right w:val="single" w:sz="4" w:space="0" w:color="auto"/>
            </w:tcBorders>
            <w:hideMark/>
          </w:tcPr>
          <w:p w14:paraId="0B56E26D" w14:textId="77777777" w:rsidR="008862C7" w:rsidRDefault="008862C7">
            <w:pPr>
              <w:tabs>
                <w:tab w:val="left" w:pos="708"/>
              </w:tabs>
              <w:spacing w:before="120" w:after="0" w:line="276" w:lineRule="auto"/>
              <w:jc w:val="both"/>
              <w:rPr>
                <w:rFonts w:ascii="Arial" w:eastAsia="Times New Roman" w:hAnsi="Arial" w:cs="Arial"/>
              </w:rPr>
            </w:pPr>
            <w:r>
              <w:rPr>
                <w:rFonts w:ascii="Arial" w:hAnsi="Arial" w:cs="Arial"/>
              </w:rPr>
              <w:t>P</w:t>
            </w:r>
          </w:p>
        </w:tc>
        <w:tc>
          <w:tcPr>
            <w:tcW w:w="4606" w:type="dxa"/>
            <w:tcBorders>
              <w:top w:val="single" w:sz="4" w:space="0" w:color="auto"/>
              <w:left w:val="single" w:sz="4" w:space="0" w:color="auto"/>
              <w:bottom w:val="single" w:sz="4" w:space="0" w:color="auto"/>
              <w:right w:val="single" w:sz="4" w:space="0" w:color="auto"/>
            </w:tcBorders>
            <w:hideMark/>
          </w:tcPr>
          <w:p w14:paraId="1F39295F" w14:textId="77777777" w:rsidR="008862C7" w:rsidRDefault="008862C7">
            <w:pPr>
              <w:tabs>
                <w:tab w:val="left" w:pos="708"/>
              </w:tabs>
              <w:spacing w:before="120" w:after="0" w:line="276" w:lineRule="auto"/>
              <w:jc w:val="center"/>
              <w:rPr>
                <w:rFonts w:ascii="Arial" w:eastAsia="Times New Roman" w:hAnsi="Arial" w:cs="Arial"/>
              </w:rPr>
            </w:pPr>
            <w:r>
              <w:rPr>
                <w:rFonts w:ascii="Arial" w:hAnsi="Arial" w:cs="Arial"/>
              </w:rPr>
              <w:t>0,000</w:t>
            </w:r>
          </w:p>
        </w:tc>
      </w:tr>
    </w:tbl>
    <w:p w14:paraId="41DDDC9C" w14:textId="77777777" w:rsidR="008862C7" w:rsidRDefault="008862C7" w:rsidP="008862C7">
      <w:pPr>
        <w:spacing w:before="120" w:after="0" w:line="360" w:lineRule="auto"/>
        <w:jc w:val="both"/>
        <w:rPr>
          <w:rFonts w:ascii="Arial" w:eastAsia="Times New Roman" w:hAnsi="Arial" w:cs="Arial"/>
          <w:sz w:val="24"/>
        </w:rPr>
      </w:pPr>
      <w:r>
        <w:rPr>
          <w:rFonts w:ascii="Arial" w:hAnsi="Arial" w:cs="Arial"/>
          <w:sz w:val="24"/>
        </w:rPr>
        <w:t xml:space="preserve">L’estimation du modèle à décalage temporel montre que l’accroissement de la production cotonnière en Centrafrique est non seulement déterminé par la superficie cultivée mais aussi par le prix du coton sur le marché mondiale. La variable prix du coton explique 31% de la variabilité de la production cotonnière en Centrafrique contre 59% de la variabilité des surfaces semées. </w:t>
      </w:r>
    </w:p>
    <w:p w14:paraId="77651413" w14:textId="77777777" w:rsidR="008862C7" w:rsidRDefault="008862C7" w:rsidP="008862C7">
      <w:pPr>
        <w:pStyle w:val="Paragraphedeliste"/>
        <w:spacing w:before="240" w:after="0" w:line="360" w:lineRule="auto"/>
        <w:ind w:left="0"/>
        <w:jc w:val="both"/>
        <w:outlineLvl w:val="6"/>
        <w:rPr>
          <w:rFonts w:ascii="Arial" w:hAnsi="Arial" w:cs="Arial"/>
          <w:b/>
          <w:sz w:val="24"/>
        </w:rPr>
      </w:pPr>
      <w:bookmarkStart w:id="297" w:name="_Toc395107701"/>
      <w:r>
        <w:rPr>
          <w:rFonts w:ascii="Arial" w:hAnsi="Arial" w:cs="Arial"/>
          <w:b/>
          <w:sz w:val="24"/>
        </w:rPr>
        <w:t>b. Coût de transport international</w:t>
      </w:r>
      <w:bookmarkEnd w:id="297"/>
      <w:r>
        <w:rPr>
          <w:rFonts w:ascii="Arial" w:hAnsi="Arial" w:cs="Arial"/>
          <w:b/>
          <w:sz w:val="24"/>
        </w:rPr>
        <w:t xml:space="preserve"> du coton centrafricain</w:t>
      </w:r>
    </w:p>
    <w:p w14:paraId="7BC02113" w14:textId="77777777" w:rsidR="008862C7" w:rsidRDefault="008862C7" w:rsidP="008862C7">
      <w:pPr>
        <w:spacing w:before="120" w:after="0" w:line="360" w:lineRule="auto"/>
        <w:jc w:val="both"/>
        <w:rPr>
          <w:rFonts w:ascii="Arial" w:hAnsi="Arial" w:cs="Arial"/>
          <w:sz w:val="24"/>
        </w:rPr>
      </w:pPr>
      <w:r>
        <w:rPr>
          <w:rFonts w:ascii="Arial" w:hAnsi="Arial" w:cs="Arial"/>
          <w:sz w:val="24"/>
        </w:rPr>
        <w:t xml:space="preserve">Le coût de transport à l’international impacte la compétitivité du coton centrafricain d’une part par la localisation de ces clients et d’autre par la position géographique de la RCA. </w:t>
      </w:r>
    </w:p>
    <w:p w14:paraId="14C1BFA1" w14:textId="77777777" w:rsidR="008862C7" w:rsidRDefault="008862C7" w:rsidP="008862C7">
      <w:pPr>
        <w:pStyle w:val="Paragraphedeliste"/>
        <w:numPr>
          <w:ilvl w:val="0"/>
          <w:numId w:val="41"/>
        </w:numPr>
        <w:spacing w:before="120" w:after="0" w:line="360" w:lineRule="auto"/>
        <w:jc w:val="both"/>
        <w:outlineLvl w:val="7"/>
        <w:rPr>
          <w:rFonts w:ascii="Arial" w:hAnsi="Arial" w:cs="Arial"/>
        </w:rPr>
      </w:pPr>
      <w:bookmarkStart w:id="298" w:name="_Toc395107702"/>
      <w:r>
        <w:rPr>
          <w:rFonts w:ascii="Arial" w:eastAsia="Cambria" w:hAnsi="Arial" w:cs="Arial"/>
          <w:b/>
          <w:sz w:val="24"/>
          <w:szCs w:val="28"/>
        </w:rPr>
        <w:t>Structure du marché cotonnier centrafricain : localisation des clients et coût de transport</w:t>
      </w:r>
      <w:bookmarkEnd w:id="298"/>
      <w:r>
        <w:rPr>
          <w:rFonts w:ascii="Arial" w:eastAsia="Cambria" w:hAnsi="Arial" w:cs="Arial"/>
          <w:b/>
          <w:sz w:val="24"/>
          <w:szCs w:val="28"/>
        </w:rPr>
        <w:t xml:space="preserve">  </w:t>
      </w:r>
    </w:p>
    <w:p w14:paraId="67E1425A" w14:textId="77777777" w:rsidR="008862C7" w:rsidRDefault="008862C7" w:rsidP="008862C7">
      <w:pPr>
        <w:spacing w:before="120" w:after="0" w:line="360" w:lineRule="auto"/>
        <w:jc w:val="both"/>
        <w:rPr>
          <w:rFonts w:ascii="Arial" w:eastAsia="Arial" w:hAnsi="Arial" w:cs="Arial"/>
          <w:sz w:val="24"/>
        </w:rPr>
      </w:pPr>
      <w:r>
        <w:rPr>
          <w:rFonts w:ascii="Arial" w:eastAsia="Arial" w:hAnsi="Arial" w:cs="Arial"/>
          <w:sz w:val="24"/>
        </w:rPr>
        <w:t xml:space="preserve">L’analyse de la structure du marché mondial du coton centrafricain permet de se rendre compte de l’instabilité de ces clients. La structure des demandeurs </w:t>
      </w:r>
      <w:r>
        <w:rPr>
          <w:rFonts w:ascii="Arial" w:hAnsi="Arial" w:cs="Arial"/>
          <w:sz w:val="24"/>
          <w:szCs w:val="24"/>
        </w:rPr>
        <w:t xml:space="preserve">s’est beaucoup diversifiée ces dernières années, elle </w:t>
      </w:r>
      <w:r>
        <w:rPr>
          <w:rFonts w:ascii="Arial" w:eastAsia="Arial" w:hAnsi="Arial" w:cs="Arial"/>
          <w:sz w:val="24"/>
        </w:rPr>
        <w:t>peut totalement changer d’une compagne à l’autre avec quelques exceptions prêtes. Le déplacement du marché cotonnier centrafricain des pays d’Europe vers ceux d’Asie vient renchérir le coût CAF et réduire ainsi sa compétitivité même si celui-ci est généralement vendu au prix FOB.</w:t>
      </w:r>
    </w:p>
    <w:p w14:paraId="47BB5FBF" w14:textId="77777777" w:rsidR="008862C7" w:rsidRDefault="008862C7" w:rsidP="008862C7">
      <w:pPr>
        <w:spacing w:before="120" w:after="0" w:line="360" w:lineRule="auto"/>
        <w:jc w:val="both"/>
        <w:rPr>
          <w:rFonts w:ascii="Arial" w:eastAsia="Arial" w:hAnsi="Arial" w:cs="Arial"/>
          <w:sz w:val="24"/>
        </w:rPr>
      </w:pPr>
      <w:r>
        <w:rPr>
          <w:rFonts w:ascii="Arial" w:eastAsia="Arial" w:hAnsi="Arial" w:cs="Arial"/>
          <w:sz w:val="24"/>
        </w:rPr>
        <w:t xml:space="preserve">Comme nous le montre le tableau, la clientèle de la RCA ne cesse de se diversifier au cours de cette décennie. En effet, les pays de la CEE qui étaient les principaux clients de la SOCOCA dans les années 2000 se voient maintenant dépasser par les pays de l'Asie et l'on constate même un accroissement de la part des pays africains tels que le Cameroun, le Maroc, et la Tunisie dans la structure de ventes du coton centrafricain. La France qui fut la principale cliente </w:t>
      </w:r>
      <w:r>
        <w:rPr>
          <w:rFonts w:ascii="Arial" w:eastAsia="Arial" w:hAnsi="Arial" w:cs="Arial"/>
          <w:sz w:val="24"/>
        </w:rPr>
        <w:lastRenderedPageBreak/>
        <w:t>de la RCA dans les années 80 (34% des exportations cotonnières) ne consomme plus qu'environ 1% des exportations cotonnières centrafricaines en 2001. Par contre, la Belgique et le Luxembourg suivis du Portugal puis de l'Allemagne sont devenus les principaux pays de la CEE acheteurs du coton centrafricain. À eux deux, la Belgique et le Luxembourg  ont acheté 67,4% et 69,49% des exportations cotonnières de la RCA respectivement en 2000 et 2001. En 2006 le Portugal était le plus grand importateur du coton centrafricain avec 32% des exportations, soit 482.634 Kg.</w:t>
      </w:r>
    </w:p>
    <w:p w14:paraId="7A54EF2F" w14:textId="77777777" w:rsidR="008862C7" w:rsidRDefault="008862C7" w:rsidP="008862C7">
      <w:pPr>
        <w:spacing w:before="120" w:after="0" w:line="360" w:lineRule="auto"/>
        <w:jc w:val="both"/>
        <w:rPr>
          <w:rFonts w:ascii="Arial" w:eastAsia="Comic Sans MS" w:hAnsi="Arial" w:cs="Arial"/>
          <w:sz w:val="24"/>
        </w:rPr>
      </w:pPr>
      <w:r>
        <w:rPr>
          <w:rFonts w:ascii="Arial" w:eastAsia="Comic Sans MS" w:hAnsi="Arial" w:cs="Arial"/>
          <w:b/>
          <w:sz w:val="24"/>
        </w:rPr>
        <w:t>Tableau 4.7 :</w:t>
      </w:r>
      <w:r>
        <w:rPr>
          <w:rFonts w:ascii="Arial" w:eastAsia="Comic Sans MS" w:hAnsi="Arial" w:cs="Arial"/>
          <w:sz w:val="24"/>
        </w:rPr>
        <w:t xml:space="preserve"> Différents marchés du coton centrafricain et leur importance</w:t>
      </w:r>
    </w:p>
    <w:tbl>
      <w:tblPr>
        <w:tblW w:w="4942" w:type="pct"/>
        <w:tblInd w:w="108" w:type="dxa"/>
        <w:tblCellMar>
          <w:left w:w="10" w:type="dxa"/>
          <w:right w:w="10" w:type="dxa"/>
        </w:tblCellMar>
        <w:tblLook w:val="04A0" w:firstRow="1" w:lastRow="0" w:firstColumn="1" w:lastColumn="0" w:noHBand="0" w:noVBand="1"/>
      </w:tblPr>
      <w:tblGrid>
        <w:gridCol w:w="971"/>
        <w:gridCol w:w="2740"/>
        <w:gridCol w:w="1685"/>
        <w:gridCol w:w="1568"/>
        <w:gridCol w:w="1996"/>
        <w:gridCol w:w="1481"/>
      </w:tblGrid>
      <w:tr w:rsidR="008862C7" w14:paraId="73F645FD" w14:textId="77777777" w:rsidTr="008862C7">
        <w:trPr>
          <w:trHeight w:val="1"/>
        </w:trPr>
        <w:tc>
          <w:tcPr>
            <w:tcW w:w="465"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768E53F"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Année</w:t>
            </w:r>
          </w:p>
        </w:tc>
        <w:tc>
          <w:tcPr>
            <w:tcW w:w="131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E2F6F6F"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Pays importateurs</w:t>
            </w:r>
          </w:p>
        </w:tc>
        <w:tc>
          <w:tcPr>
            <w:tcW w:w="80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CD2F573"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Quantité (t)</w:t>
            </w:r>
          </w:p>
        </w:tc>
        <w:tc>
          <w:tcPr>
            <w:tcW w:w="7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41F2DFE" w14:textId="77777777" w:rsidR="008862C7" w:rsidRDefault="008862C7">
            <w:pPr>
              <w:tabs>
                <w:tab w:val="left" w:pos="708"/>
              </w:tabs>
              <w:spacing w:after="0" w:line="360" w:lineRule="auto"/>
              <w:rPr>
                <w:rFonts w:ascii="Arial" w:eastAsia="Arial" w:hAnsi="Arial" w:cs="Arial"/>
              </w:rPr>
            </w:pPr>
            <w:r>
              <w:rPr>
                <w:rFonts w:ascii="Arial" w:eastAsia="Arial" w:hAnsi="Arial" w:cs="Arial"/>
              </w:rPr>
              <w:t>Quantité (%)</w:t>
            </w:r>
          </w:p>
        </w:tc>
        <w:tc>
          <w:tcPr>
            <w:tcW w:w="956"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B3454CB"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Montant (FCFA)</w:t>
            </w:r>
          </w:p>
        </w:tc>
        <w:tc>
          <w:tcPr>
            <w:tcW w:w="71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1A5E2B0" w14:textId="77777777" w:rsidR="008862C7" w:rsidRDefault="008862C7">
            <w:pPr>
              <w:tabs>
                <w:tab w:val="left" w:pos="708"/>
              </w:tabs>
              <w:spacing w:after="0" w:line="360" w:lineRule="auto"/>
              <w:rPr>
                <w:rFonts w:ascii="Arial" w:eastAsia="Arial" w:hAnsi="Arial" w:cs="Arial"/>
              </w:rPr>
            </w:pPr>
            <w:r>
              <w:rPr>
                <w:rFonts w:ascii="Arial" w:eastAsia="Arial" w:hAnsi="Arial" w:cs="Arial"/>
              </w:rPr>
              <w:t>Montant (%)</w:t>
            </w:r>
          </w:p>
        </w:tc>
      </w:tr>
      <w:tr w:rsidR="008862C7" w14:paraId="4107B1B1" w14:textId="77777777" w:rsidTr="008862C7">
        <w:trPr>
          <w:trHeight w:val="1"/>
        </w:trPr>
        <w:tc>
          <w:tcPr>
            <w:tcW w:w="46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E7E2C3"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2000</w:t>
            </w: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F32363"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Belgique/Luxembourg</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A170E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 xml:space="preserve">5 950 000 </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75CD0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67,04</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4831D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5 376 044 200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AD78F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72,65</w:t>
            </w:r>
          </w:p>
        </w:tc>
      </w:tr>
      <w:tr w:rsidR="008862C7" w14:paraId="6416BAF4"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8B215"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14C738"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Indonésie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2B5EE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139 918</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E56AB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1,59</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3AAB7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69 400 800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CFEF2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0,94</w:t>
            </w:r>
          </w:p>
        </w:tc>
      </w:tr>
      <w:tr w:rsidR="008862C7" w14:paraId="71EB0D34"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F1248"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3D46B8"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Malaisie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CEF6A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402 505</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D86D0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4,57</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DABC7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289 271 900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7E14A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3,91</w:t>
            </w:r>
          </w:p>
        </w:tc>
      </w:tr>
      <w:tr w:rsidR="008862C7" w14:paraId="5C1FE3C8"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6691E"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DB8D06"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Philippine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BDF2F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199 941</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1E30F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2,27</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4941BB"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177  878  800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6B8024"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2,4</w:t>
            </w:r>
          </w:p>
        </w:tc>
      </w:tr>
      <w:tr w:rsidR="008862C7" w14:paraId="0F15B1DA"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724F6A"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5D7498"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Autres pays</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4EB1F4"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2 118 333</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0DA31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24,03</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36DE8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1 487 404 300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03E92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20,01</w:t>
            </w:r>
          </w:p>
        </w:tc>
      </w:tr>
      <w:tr w:rsidR="008862C7" w14:paraId="72E6BB9D"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4C2C0"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4C00F53"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Total</w:t>
            </w:r>
          </w:p>
        </w:tc>
        <w:tc>
          <w:tcPr>
            <w:tcW w:w="80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718B93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8810697</w:t>
            </w:r>
          </w:p>
        </w:tc>
        <w:tc>
          <w:tcPr>
            <w:tcW w:w="7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A87746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c>
          <w:tcPr>
            <w:tcW w:w="956"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989C7C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7 400 000 000</w:t>
            </w:r>
          </w:p>
        </w:tc>
        <w:tc>
          <w:tcPr>
            <w:tcW w:w="71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5C1B26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r w:rsidR="008862C7" w14:paraId="00335CAF" w14:textId="77777777" w:rsidTr="008862C7">
        <w:trPr>
          <w:trHeight w:val="1"/>
        </w:trPr>
        <w:tc>
          <w:tcPr>
            <w:tcW w:w="46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B862D5"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2001</w:t>
            </w: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B45553"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France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53A4A1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59900</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390E6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0,80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EB3CAB"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45 228 000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835A7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r w:rsidR="008862C7" w14:paraId="6BDF1CFD"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74EEF"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1C0ADA"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Belgique/Luxembourg</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FD9483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5069992</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B4BCC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69,49</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9BBD53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3 527 204 300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F0A46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69,45</w:t>
            </w:r>
          </w:p>
        </w:tc>
      </w:tr>
      <w:tr w:rsidR="008862C7" w14:paraId="1C756924"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80A7F"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679C40"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Cameroun</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E2359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405274</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D2EC2B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5,55</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5F1A12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277 250 000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C1375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03,45</w:t>
            </w:r>
          </w:p>
        </w:tc>
      </w:tr>
      <w:tr w:rsidR="008862C7" w14:paraId="6EF8BBEE"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F3DDA"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E04C1BD"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Inde occidental</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895EE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259 698</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0BA04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3,56</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0FEEF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168 605 500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F4FAEFB"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03,10</w:t>
            </w:r>
          </w:p>
        </w:tc>
      </w:tr>
      <w:tr w:rsidR="008862C7" w14:paraId="4C50E780"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E971D"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D0824E6"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Iles Formose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7C84F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1 501 312</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04CEE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20,50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82DE25"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1 015 774 100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9103E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20</w:t>
            </w:r>
          </w:p>
        </w:tc>
      </w:tr>
      <w:tr w:rsidR="008862C7" w14:paraId="29428477"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CE071E"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F40023"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Taïwan</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3B60A5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60400</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9B6A9D4"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0,10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9E132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45 608 529</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511FE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w:t>
            </w:r>
          </w:p>
        </w:tc>
      </w:tr>
      <w:tr w:rsidR="008862C7" w14:paraId="52B9E9E3"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09A00"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E80EADB"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Total</w:t>
            </w:r>
          </w:p>
        </w:tc>
        <w:tc>
          <w:tcPr>
            <w:tcW w:w="80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2BED35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7 296 676</w:t>
            </w:r>
          </w:p>
        </w:tc>
        <w:tc>
          <w:tcPr>
            <w:tcW w:w="7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DBD725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c>
          <w:tcPr>
            <w:tcW w:w="956"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7D92C8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5 034 062 900</w:t>
            </w:r>
          </w:p>
        </w:tc>
        <w:tc>
          <w:tcPr>
            <w:tcW w:w="71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18D3F15"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r w:rsidR="008862C7" w14:paraId="74987925" w14:textId="77777777" w:rsidTr="008862C7">
        <w:trPr>
          <w:trHeight w:val="294"/>
        </w:trPr>
        <w:tc>
          <w:tcPr>
            <w:tcW w:w="46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4E7A9D"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2003</w:t>
            </w:r>
          </w:p>
        </w:tc>
        <w:tc>
          <w:tcPr>
            <w:tcW w:w="131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7AC2A802"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Cameroun</w:t>
            </w:r>
          </w:p>
        </w:tc>
        <w:tc>
          <w:tcPr>
            <w:tcW w:w="80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18B43FC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323 161</w:t>
            </w:r>
          </w:p>
        </w:tc>
        <w:tc>
          <w:tcPr>
            <w:tcW w:w="75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560064A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34,09</w:t>
            </w:r>
          </w:p>
        </w:tc>
        <w:tc>
          <w:tcPr>
            <w:tcW w:w="95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68232C7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201 232 354</w:t>
            </w:r>
          </w:p>
        </w:tc>
        <w:tc>
          <w:tcPr>
            <w:tcW w:w="71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286CE4F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 xml:space="preserve">28,92 </w:t>
            </w:r>
          </w:p>
        </w:tc>
      </w:tr>
      <w:tr w:rsidR="008862C7" w14:paraId="338D6C31" w14:textId="77777777" w:rsidTr="008862C7">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6C8119"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15A14AEA"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Autres pays</w:t>
            </w:r>
          </w:p>
        </w:tc>
        <w:tc>
          <w:tcPr>
            <w:tcW w:w="80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67C3BAA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624839</w:t>
            </w:r>
          </w:p>
        </w:tc>
        <w:tc>
          <w:tcPr>
            <w:tcW w:w="75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5ADBF1E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65,91</w:t>
            </w:r>
          </w:p>
        </w:tc>
        <w:tc>
          <w:tcPr>
            <w:tcW w:w="956"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42DD14D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494 550 000</w:t>
            </w:r>
          </w:p>
        </w:tc>
        <w:tc>
          <w:tcPr>
            <w:tcW w:w="710"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3674A29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71,08</w:t>
            </w:r>
          </w:p>
        </w:tc>
      </w:tr>
      <w:tr w:rsidR="008862C7" w14:paraId="08BF099F" w14:textId="77777777" w:rsidTr="008862C7">
        <w:trPr>
          <w:trHeight w:val="3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7C73A2" w14:textId="77777777" w:rsidR="008862C7" w:rsidRDefault="008862C7">
            <w:pPr>
              <w:spacing w:after="0" w:line="240" w:lineRule="auto"/>
              <w:rPr>
                <w:rFonts w:ascii="Arial" w:eastAsia="Arial" w:hAnsi="Arial" w:cs="Arial"/>
              </w:rPr>
            </w:pPr>
          </w:p>
        </w:tc>
        <w:tc>
          <w:tcPr>
            <w:tcW w:w="1312"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6CF3E7"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Total</w:t>
            </w:r>
          </w:p>
        </w:tc>
        <w:tc>
          <w:tcPr>
            <w:tcW w:w="807"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D5CDE5"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948 000</w:t>
            </w:r>
          </w:p>
        </w:tc>
        <w:tc>
          <w:tcPr>
            <w:tcW w:w="751"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48900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c>
          <w:tcPr>
            <w:tcW w:w="956"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CA1B1B"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695 782 354</w:t>
            </w:r>
          </w:p>
        </w:tc>
        <w:tc>
          <w:tcPr>
            <w:tcW w:w="710" w:type="pc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7ECE5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r w:rsidR="008862C7" w14:paraId="61C551E9" w14:textId="77777777" w:rsidTr="008862C7">
        <w:trPr>
          <w:trHeight w:val="1"/>
        </w:trPr>
        <w:tc>
          <w:tcPr>
            <w:tcW w:w="46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E0D1B6"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2005</w:t>
            </w: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D9E865"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Belgique/Luxembourg</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CB523C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168 999</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2ABF98"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14,90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05187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58 642 700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18761F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14,86</w:t>
            </w:r>
          </w:p>
        </w:tc>
      </w:tr>
      <w:tr w:rsidR="008862C7" w14:paraId="7D0119B7"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E43F0B"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537C4F"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Autre pays</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D4D17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966 174</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73C7E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85,10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C79E7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3 361 222</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16F6A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85,14</w:t>
            </w:r>
          </w:p>
        </w:tc>
      </w:tr>
      <w:tr w:rsidR="008862C7" w14:paraId="61AA05BB"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47266"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2E582B5"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Total</w:t>
            </w:r>
          </w:p>
        </w:tc>
        <w:tc>
          <w:tcPr>
            <w:tcW w:w="80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9D41075"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1 135 173</w:t>
            </w:r>
          </w:p>
        </w:tc>
        <w:tc>
          <w:tcPr>
            <w:tcW w:w="7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787FC8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c>
          <w:tcPr>
            <w:tcW w:w="956"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6F0488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394 764 973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B1A0E78"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r w:rsidR="008862C7" w14:paraId="2EFBA709" w14:textId="77777777" w:rsidTr="008862C7">
        <w:trPr>
          <w:trHeight w:val="1"/>
        </w:trPr>
        <w:tc>
          <w:tcPr>
            <w:tcW w:w="46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AAC5C0" w14:textId="77777777" w:rsidR="008862C7" w:rsidRDefault="008862C7">
            <w:pPr>
              <w:tabs>
                <w:tab w:val="left" w:pos="708"/>
              </w:tabs>
              <w:spacing w:after="0" w:line="360" w:lineRule="auto"/>
              <w:jc w:val="center"/>
              <w:rPr>
                <w:rFonts w:ascii="Arial" w:eastAsia="Arial" w:hAnsi="Arial" w:cs="Arial"/>
              </w:rPr>
            </w:pPr>
            <w:r>
              <w:rPr>
                <w:rFonts w:ascii="Arial" w:eastAsia="Arial" w:hAnsi="Arial" w:cs="Arial"/>
              </w:rPr>
              <w:t>2006</w:t>
            </w: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C714963"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Portugal</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11957B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482 634</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47185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32,50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7CB98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296 444 950</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E69C0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36,80</w:t>
            </w:r>
          </w:p>
        </w:tc>
      </w:tr>
      <w:tr w:rsidR="008862C7" w14:paraId="11829DDA"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3C17D"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D629B3F"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Taïwan</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EA9AA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249 561</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3AC4B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16,80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988899"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127 187 085</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BD4EBD"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15,79</w:t>
            </w:r>
          </w:p>
        </w:tc>
      </w:tr>
      <w:tr w:rsidR="008862C7" w14:paraId="5546CEB5"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EE6AF7"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8A7D78"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Indonésie</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FC221C"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399 549</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B56AE1"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26,90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D22A5B"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220 503 372</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AFBF3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27,37</w:t>
            </w:r>
          </w:p>
        </w:tc>
      </w:tr>
      <w:tr w:rsidR="008862C7" w14:paraId="73105A35"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74E506"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82E6E7"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Vietnam</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E10FF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279 625</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C2DA38F"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18,80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DE88D5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158 194 217</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82840A"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19,63</w:t>
            </w:r>
          </w:p>
        </w:tc>
      </w:tr>
      <w:tr w:rsidR="008862C7" w14:paraId="4817B442"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6196A4"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BDD074B"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Cameroun</w:t>
            </w:r>
          </w:p>
        </w:tc>
        <w:tc>
          <w:tcPr>
            <w:tcW w:w="80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6D8970"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74 146</w:t>
            </w:r>
          </w:p>
        </w:tc>
        <w:tc>
          <w:tcPr>
            <w:tcW w:w="7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A3E423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5,00</w:t>
            </w:r>
          </w:p>
        </w:tc>
        <w:tc>
          <w:tcPr>
            <w:tcW w:w="95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7EF81E"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3 359 999</w:t>
            </w:r>
          </w:p>
        </w:tc>
        <w:tc>
          <w:tcPr>
            <w:tcW w:w="7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01835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0,41</w:t>
            </w:r>
          </w:p>
        </w:tc>
      </w:tr>
      <w:tr w:rsidR="008862C7" w14:paraId="43C5C126" w14:textId="77777777" w:rsidTr="008862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6B2F27" w14:textId="77777777" w:rsidR="008862C7" w:rsidRDefault="008862C7">
            <w:pPr>
              <w:spacing w:after="0" w:line="240" w:lineRule="auto"/>
              <w:rPr>
                <w:rFonts w:ascii="Arial" w:eastAsia="Arial" w:hAnsi="Arial" w:cs="Arial"/>
              </w:rPr>
            </w:pPr>
          </w:p>
        </w:tc>
        <w:tc>
          <w:tcPr>
            <w:tcW w:w="1312"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AFCC994" w14:textId="77777777" w:rsidR="008862C7" w:rsidRDefault="008862C7">
            <w:pPr>
              <w:tabs>
                <w:tab w:val="left" w:pos="708"/>
              </w:tabs>
              <w:spacing w:after="0" w:line="360" w:lineRule="auto"/>
              <w:jc w:val="both"/>
              <w:rPr>
                <w:rFonts w:ascii="Arial" w:eastAsia="Arial" w:hAnsi="Arial" w:cs="Arial"/>
              </w:rPr>
            </w:pPr>
            <w:r>
              <w:rPr>
                <w:rFonts w:ascii="Arial" w:eastAsia="Arial" w:hAnsi="Arial" w:cs="Arial"/>
              </w:rPr>
              <w:t>Total</w:t>
            </w:r>
          </w:p>
        </w:tc>
        <w:tc>
          <w:tcPr>
            <w:tcW w:w="807"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ECE0783"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1 485 525</w:t>
            </w:r>
          </w:p>
        </w:tc>
        <w:tc>
          <w:tcPr>
            <w:tcW w:w="75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102F0C7"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c>
          <w:tcPr>
            <w:tcW w:w="956"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8DBC102"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805 689 323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18844D6" w14:textId="77777777" w:rsidR="008862C7" w:rsidRDefault="008862C7">
            <w:pPr>
              <w:tabs>
                <w:tab w:val="left" w:pos="708"/>
              </w:tabs>
              <w:spacing w:after="0" w:line="360" w:lineRule="auto"/>
              <w:jc w:val="right"/>
              <w:rPr>
                <w:rFonts w:ascii="Arial" w:eastAsia="Arial" w:hAnsi="Arial" w:cs="Arial"/>
              </w:rPr>
            </w:pPr>
            <w:r>
              <w:rPr>
                <w:rFonts w:ascii="Arial" w:eastAsia="Arial" w:hAnsi="Arial" w:cs="Arial"/>
              </w:rPr>
              <w:t>100</w:t>
            </w:r>
          </w:p>
        </w:tc>
      </w:tr>
    </w:tbl>
    <w:p w14:paraId="148FAEDE" w14:textId="77777777" w:rsidR="008862C7" w:rsidRDefault="008862C7" w:rsidP="008862C7">
      <w:pPr>
        <w:spacing w:before="120" w:after="0" w:line="360" w:lineRule="auto"/>
        <w:jc w:val="both"/>
        <w:rPr>
          <w:rFonts w:ascii="Arial" w:eastAsia="Arial" w:hAnsi="Arial" w:cs="Arial"/>
          <w:sz w:val="20"/>
        </w:rPr>
      </w:pPr>
      <w:r>
        <w:rPr>
          <w:rFonts w:ascii="Arial" w:eastAsia="Arial" w:hAnsi="Arial" w:cs="Arial"/>
          <w:sz w:val="20"/>
        </w:rPr>
        <w:t xml:space="preserve">Source : ICASEES, 2012 </w:t>
      </w:r>
    </w:p>
    <w:p w14:paraId="673428E1" w14:textId="77777777" w:rsidR="008862C7" w:rsidRDefault="008862C7" w:rsidP="008862C7">
      <w:pPr>
        <w:spacing w:before="120" w:after="0" w:line="360" w:lineRule="auto"/>
        <w:jc w:val="both"/>
        <w:rPr>
          <w:rFonts w:ascii="Arial" w:eastAsia="Arial" w:hAnsi="Arial" w:cs="Arial"/>
          <w:sz w:val="24"/>
        </w:rPr>
      </w:pPr>
      <w:r>
        <w:rPr>
          <w:rFonts w:ascii="Arial" w:eastAsia="Arial" w:hAnsi="Arial" w:cs="Arial"/>
          <w:sz w:val="24"/>
        </w:rPr>
        <w:lastRenderedPageBreak/>
        <w:t>En Asie, la Malaisie, la Philippine et l'Indonésie sont les clientes traditionnelles de la RCA. Mais, l'arrivée de la Chine et de la Thaïlande parmi celles-ci fait de l'Asie l'actuel principal lieu de destination du coton centrafricain.</w:t>
      </w:r>
    </w:p>
    <w:p w14:paraId="57111C59" w14:textId="77777777" w:rsidR="008862C7" w:rsidRDefault="008862C7" w:rsidP="008862C7">
      <w:pPr>
        <w:spacing w:before="120" w:after="0" w:line="360" w:lineRule="auto"/>
        <w:jc w:val="both"/>
        <w:rPr>
          <w:rFonts w:ascii="Arial" w:eastAsia="Arial" w:hAnsi="Arial" w:cs="Arial"/>
          <w:sz w:val="24"/>
        </w:rPr>
      </w:pPr>
      <w:r>
        <w:rPr>
          <w:rFonts w:ascii="Arial" w:eastAsia="Arial" w:hAnsi="Arial" w:cs="Arial"/>
          <w:sz w:val="24"/>
        </w:rPr>
        <w:t>L’éloignement des clients actuels du coton centrafricain ne permet plus à la société cotonnière de vendre le coton au prix CAF, l’obligeant ainsi à vendre le produit au prix FOB, ce qui pourrait être une source de manque à gagner pour la filière</w:t>
      </w:r>
    </w:p>
    <w:p w14:paraId="46796FA7" w14:textId="77777777" w:rsidR="008862C7" w:rsidRDefault="008862C7" w:rsidP="008862C7">
      <w:pPr>
        <w:pStyle w:val="Paragraphedeliste"/>
        <w:numPr>
          <w:ilvl w:val="0"/>
          <w:numId w:val="41"/>
        </w:numPr>
        <w:spacing w:before="120" w:after="0" w:line="360" w:lineRule="auto"/>
        <w:jc w:val="both"/>
        <w:outlineLvl w:val="7"/>
        <w:rPr>
          <w:rFonts w:ascii="Arial" w:hAnsi="Arial" w:cs="Arial"/>
          <w:b/>
          <w:sz w:val="24"/>
        </w:rPr>
      </w:pPr>
      <w:bookmarkStart w:id="299" w:name="_Toc395107703"/>
      <w:r>
        <w:rPr>
          <w:rFonts w:ascii="Arial" w:hAnsi="Arial" w:cs="Arial"/>
          <w:b/>
          <w:sz w:val="24"/>
        </w:rPr>
        <w:t>Localisation géographique de la RCA</w:t>
      </w:r>
      <w:bookmarkEnd w:id="299"/>
      <w:r>
        <w:rPr>
          <w:rFonts w:ascii="Arial" w:hAnsi="Arial" w:cs="Arial"/>
          <w:b/>
          <w:sz w:val="24"/>
        </w:rPr>
        <w:t xml:space="preserve"> </w:t>
      </w:r>
    </w:p>
    <w:p w14:paraId="3BBD3408"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La localisation par rapport au marché est un facteur non négligeable dans la position concurrentielle d’une économie. Ainsi il a été démontré que les pays disposant d’un accès direct à la mer dispose des coûts de transport relativement faibles que les pays enclavés. Ce faisant les coûts de transport au port de Douala par exemple constituent un élément limitant la compétitivité du coton centrafricain.</w:t>
      </w:r>
      <w:bookmarkStart w:id="300" w:name="_Toc321251059"/>
      <w:r>
        <w:rPr>
          <w:rFonts w:ascii="Arial" w:hAnsi="Arial" w:cs="Arial"/>
          <w:sz w:val="24"/>
          <w:szCs w:val="24"/>
        </w:rPr>
        <w:t xml:space="preserve"> </w:t>
      </w:r>
    </w:p>
    <w:p w14:paraId="6481F2FE"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En effet un pays côtier comme le Cameroun n’aura pas à supporter les mêmes frais d’acheminement au port que celui imposé à la Centrafrique. De plus les coûts du fret terrestre varient en fonction du « degré d’enclavement</w:t>
      </w:r>
      <w:r>
        <w:rPr>
          <w:rStyle w:val="Appelnotedebasdep"/>
          <w:rFonts w:ascii="Arial" w:hAnsi="Arial" w:cs="Arial"/>
          <w:sz w:val="24"/>
          <w:szCs w:val="24"/>
        </w:rPr>
        <w:footnoteReference w:id="49"/>
      </w:r>
      <w:r>
        <w:rPr>
          <w:rFonts w:ascii="Arial" w:hAnsi="Arial" w:cs="Arial"/>
          <w:sz w:val="24"/>
          <w:szCs w:val="24"/>
        </w:rPr>
        <w:t>» du pays. Ainsi le coût de fret routier utilisé par la RCA est beaucoup plus élevé que le coût du rail. De ce fait le retard dans le développement des infrastructures de transports modernes et la position géographique de la  Centrafrique limite considérablement la compétitivité de ces produits exportables.</w:t>
      </w:r>
      <w:bookmarkEnd w:id="300"/>
      <w:r>
        <w:rPr>
          <w:rFonts w:ascii="Arial" w:hAnsi="Arial" w:cs="Arial"/>
          <w:sz w:val="24"/>
          <w:szCs w:val="24"/>
        </w:rPr>
        <w:t xml:space="preserve"> En prenant à titre d’exemple l’indicateur de commerce transfrontalier, le tableau qui suit nous permet de rendre compte du retard de la RCA. </w:t>
      </w:r>
    </w:p>
    <w:p w14:paraId="6853DD2D"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Tableau 4.8 : Indicateurs de commerce intra région</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743"/>
        <w:gridCol w:w="2091"/>
        <w:gridCol w:w="3226"/>
      </w:tblGrid>
      <w:tr w:rsidR="008862C7" w14:paraId="20551351" w14:textId="77777777" w:rsidTr="008862C7">
        <w:trPr>
          <w:trHeight w:val="188"/>
        </w:trPr>
        <w:tc>
          <w:tcPr>
            <w:tcW w:w="1095" w:type="pct"/>
            <w:tcBorders>
              <w:top w:val="single" w:sz="4" w:space="0" w:color="auto"/>
              <w:left w:val="single" w:sz="4" w:space="0" w:color="auto"/>
              <w:bottom w:val="single" w:sz="4" w:space="0" w:color="auto"/>
              <w:right w:val="single" w:sz="4" w:space="0" w:color="auto"/>
            </w:tcBorders>
            <w:vAlign w:val="center"/>
            <w:hideMark/>
          </w:tcPr>
          <w:p w14:paraId="7458FE8E" w14:textId="77777777" w:rsidR="008862C7" w:rsidRDefault="008862C7">
            <w:pPr>
              <w:tabs>
                <w:tab w:val="left" w:pos="708"/>
              </w:tabs>
              <w:spacing w:before="120" w:after="0" w:line="240" w:lineRule="auto"/>
              <w:rPr>
                <w:rFonts w:ascii="Arial" w:eastAsia="Times New Roman" w:hAnsi="Arial" w:cs="Arial"/>
              </w:rPr>
            </w:pPr>
            <w:r>
              <w:rPr>
                <w:rFonts w:ascii="Arial" w:hAnsi="Arial" w:cs="Arial"/>
              </w:rPr>
              <w:t>Pays</w:t>
            </w:r>
          </w:p>
        </w:tc>
        <w:tc>
          <w:tcPr>
            <w:tcW w:w="1329" w:type="pct"/>
            <w:tcBorders>
              <w:top w:val="single" w:sz="4" w:space="0" w:color="auto"/>
              <w:left w:val="single" w:sz="4" w:space="0" w:color="auto"/>
              <w:bottom w:val="single" w:sz="4" w:space="0" w:color="auto"/>
              <w:right w:val="single" w:sz="4" w:space="0" w:color="auto"/>
            </w:tcBorders>
            <w:vAlign w:val="center"/>
            <w:hideMark/>
          </w:tcPr>
          <w:p w14:paraId="152A8D6B"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Documents (nombre)</w:t>
            </w:r>
          </w:p>
        </w:tc>
        <w:tc>
          <w:tcPr>
            <w:tcW w:w="1013" w:type="pct"/>
            <w:tcBorders>
              <w:top w:val="single" w:sz="4" w:space="0" w:color="auto"/>
              <w:left w:val="single" w:sz="4" w:space="0" w:color="auto"/>
              <w:bottom w:val="single" w:sz="4" w:space="0" w:color="auto"/>
              <w:right w:val="single" w:sz="4" w:space="0" w:color="auto"/>
            </w:tcBorders>
            <w:vAlign w:val="center"/>
            <w:hideMark/>
          </w:tcPr>
          <w:p w14:paraId="1C7FF0DB"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Délais (jour)</w:t>
            </w:r>
          </w:p>
        </w:tc>
        <w:tc>
          <w:tcPr>
            <w:tcW w:w="1563" w:type="pct"/>
            <w:tcBorders>
              <w:top w:val="single" w:sz="4" w:space="0" w:color="auto"/>
              <w:left w:val="single" w:sz="4" w:space="0" w:color="auto"/>
              <w:bottom w:val="single" w:sz="4" w:space="0" w:color="auto"/>
              <w:right w:val="single" w:sz="4" w:space="0" w:color="auto"/>
            </w:tcBorders>
            <w:vAlign w:val="center"/>
            <w:hideMark/>
          </w:tcPr>
          <w:p w14:paraId="7347B0C3" w14:textId="77777777" w:rsidR="008862C7" w:rsidRDefault="008862C7">
            <w:pPr>
              <w:tabs>
                <w:tab w:val="left" w:pos="708"/>
              </w:tabs>
              <w:spacing w:before="120" w:after="0" w:line="240" w:lineRule="auto"/>
              <w:jc w:val="center"/>
              <w:rPr>
                <w:rFonts w:ascii="Arial" w:eastAsia="Times New Roman" w:hAnsi="Arial" w:cs="Arial"/>
              </w:rPr>
            </w:pPr>
            <w:r>
              <w:rPr>
                <w:rFonts w:ascii="Arial" w:hAnsi="Arial" w:cs="Arial"/>
              </w:rPr>
              <w:t>Coût (US$ par containeur)</w:t>
            </w:r>
          </w:p>
        </w:tc>
      </w:tr>
      <w:tr w:rsidR="008862C7" w14:paraId="099A2BB0" w14:textId="77777777" w:rsidTr="008862C7">
        <w:trPr>
          <w:trHeight w:val="240"/>
        </w:trPr>
        <w:tc>
          <w:tcPr>
            <w:tcW w:w="1095" w:type="pct"/>
            <w:tcBorders>
              <w:top w:val="single" w:sz="4" w:space="0" w:color="auto"/>
              <w:left w:val="single" w:sz="4" w:space="0" w:color="auto"/>
              <w:bottom w:val="single" w:sz="4" w:space="0" w:color="auto"/>
              <w:right w:val="single" w:sz="4" w:space="0" w:color="auto"/>
            </w:tcBorders>
            <w:hideMark/>
          </w:tcPr>
          <w:p w14:paraId="7AD2C23E"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Afghanistan</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272D118"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12</w:t>
            </w:r>
          </w:p>
        </w:tc>
        <w:tc>
          <w:tcPr>
            <w:tcW w:w="1013" w:type="pct"/>
            <w:tcBorders>
              <w:top w:val="single" w:sz="4" w:space="0" w:color="auto"/>
              <w:left w:val="single" w:sz="4" w:space="0" w:color="auto"/>
              <w:bottom w:val="single" w:sz="4" w:space="0" w:color="auto"/>
              <w:right w:val="single" w:sz="4" w:space="0" w:color="auto"/>
            </w:tcBorders>
            <w:vAlign w:val="center"/>
            <w:hideMark/>
          </w:tcPr>
          <w:p w14:paraId="09CC2FE8"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67</w:t>
            </w:r>
          </w:p>
        </w:tc>
        <w:tc>
          <w:tcPr>
            <w:tcW w:w="1563" w:type="pct"/>
            <w:tcBorders>
              <w:top w:val="single" w:sz="4" w:space="0" w:color="auto"/>
              <w:left w:val="single" w:sz="4" w:space="0" w:color="auto"/>
              <w:bottom w:val="single" w:sz="4" w:space="0" w:color="auto"/>
              <w:right w:val="single" w:sz="4" w:space="0" w:color="auto"/>
            </w:tcBorders>
            <w:vAlign w:val="center"/>
            <w:hideMark/>
          </w:tcPr>
          <w:p w14:paraId="795694DF"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2 500</w:t>
            </w:r>
          </w:p>
        </w:tc>
      </w:tr>
      <w:tr w:rsidR="008862C7" w14:paraId="011A5BEF" w14:textId="77777777" w:rsidTr="008862C7">
        <w:trPr>
          <w:trHeight w:val="270"/>
        </w:trPr>
        <w:tc>
          <w:tcPr>
            <w:tcW w:w="1095" w:type="pct"/>
            <w:tcBorders>
              <w:top w:val="single" w:sz="4" w:space="0" w:color="auto"/>
              <w:left w:val="single" w:sz="4" w:space="0" w:color="auto"/>
              <w:bottom w:val="single" w:sz="4" w:space="0" w:color="auto"/>
              <w:right w:val="single" w:sz="4" w:space="0" w:color="auto"/>
            </w:tcBorders>
            <w:hideMark/>
          </w:tcPr>
          <w:p w14:paraId="7A8AACDE"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Brésil</w:t>
            </w:r>
          </w:p>
        </w:tc>
        <w:tc>
          <w:tcPr>
            <w:tcW w:w="1329" w:type="pct"/>
            <w:tcBorders>
              <w:top w:val="single" w:sz="4" w:space="0" w:color="auto"/>
              <w:left w:val="single" w:sz="4" w:space="0" w:color="auto"/>
              <w:bottom w:val="single" w:sz="4" w:space="0" w:color="auto"/>
              <w:right w:val="single" w:sz="4" w:space="0" w:color="auto"/>
            </w:tcBorders>
            <w:vAlign w:val="center"/>
            <w:hideMark/>
          </w:tcPr>
          <w:p w14:paraId="3516A7C0"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8</w:t>
            </w:r>
          </w:p>
        </w:tc>
        <w:tc>
          <w:tcPr>
            <w:tcW w:w="1013" w:type="pct"/>
            <w:tcBorders>
              <w:top w:val="single" w:sz="4" w:space="0" w:color="auto"/>
              <w:left w:val="single" w:sz="4" w:space="0" w:color="auto"/>
              <w:bottom w:val="single" w:sz="4" w:space="0" w:color="auto"/>
              <w:right w:val="single" w:sz="4" w:space="0" w:color="auto"/>
            </w:tcBorders>
            <w:vAlign w:val="center"/>
            <w:hideMark/>
          </w:tcPr>
          <w:p w14:paraId="412E4831"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18</w:t>
            </w:r>
          </w:p>
        </w:tc>
        <w:tc>
          <w:tcPr>
            <w:tcW w:w="1563" w:type="pct"/>
            <w:tcBorders>
              <w:top w:val="single" w:sz="4" w:space="0" w:color="auto"/>
              <w:left w:val="single" w:sz="4" w:space="0" w:color="auto"/>
              <w:bottom w:val="single" w:sz="4" w:space="0" w:color="auto"/>
              <w:right w:val="single" w:sz="4" w:space="0" w:color="auto"/>
            </w:tcBorders>
            <w:vAlign w:val="center"/>
            <w:hideMark/>
          </w:tcPr>
          <w:p w14:paraId="279458AB"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1 090</w:t>
            </w:r>
          </w:p>
        </w:tc>
      </w:tr>
      <w:tr w:rsidR="008862C7" w14:paraId="58ED644E" w14:textId="77777777" w:rsidTr="008862C7">
        <w:trPr>
          <w:trHeight w:val="225"/>
        </w:trPr>
        <w:tc>
          <w:tcPr>
            <w:tcW w:w="1095" w:type="pct"/>
            <w:tcBorders>
              <w:top w:val="single" w:sz="4" w:space="0" w:color="auto"/>
              <w:left w:val="single" w:sz="4" w:space="0" w:color="auto"/>
              <w:bottom w:val="single" w:sz="4" w:space="0" w:color="auto"/>
              <w:right w:val="single" w:sz="4" w:space="0" w:color="auto"/>
            </w:tcBorders>
            <w:hideMark/>
          </w:tcPr>
          <w:p w14:paraId="6B45A20F"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 xml:space="preserve">Canada </w:t>
            </w:r>
          </w:p>
        </w:tc>
        <w:tc>
          <w:tcPr>
            <w:tcW w:w="1329" w:type="pct"/>
            <w:tcBorders>
              <w:top w:val="single" w:sz="4" w:space="0" w:color="auto"/>
              <w:left w:val="single" w:sz="4" w:space="0" w:color="auto"/>
              <w:bottom w:val="single" w:sz="4" w:space="0" w:color="auto"/>
              <w:right w:val="single" w:sz="4" w:space="0" w:color="auto"/>
            </w:tcBorders>
            <w:vAlign w:val="center"/>
            <w:hideMark/>
          </w:tcPr>
          <w:p w14:paraId="6967092B"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3</w:t>
            </w:r>
          </w:p>
        </w:tc>
        <w:tc>
          <w:tcPr>
            <w:tcW w:w="1013" w:type="pct"/>
            <w:tcBorders>
              <w:top w:val="single" w:sz="4" w:space="0" w:color="auto"/>
              <w:left w:val="single" w:sz="4" w:space="0" w:color="auto"/>
              <w:bottom w:val="single" w:sz="4" w:space="0" w:color="auto"/>
              <w:right w:val="single" w:sz="4" w:space="0" w:color="auto"/>
            </w:tcBorders>
            <w:vAlign w:val="center"/>
            <w:hideMark/>
          </w:tcPr>
          <w:p w14:paraId="30D79568"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7</w:t>
            </w:r>
          </w:p>
        </w:tc>
        <w:tc>
          <w:tcPr>
            <w:tcW w:w="1563" w:type="pct"/>
            <w:tcBorders>
              <w:top w:val="single" w:sz="4" w:space="0" w:color="auto"/>
              <w:left w:val="single" w:sz="4" w:space="0" w:color="auto"/>
              <w:bottom w:val="single" w:sz="4" w:space="0" w:color="auto"/>
              <w:right w:val="single" w:sz="4" w:space="0" w:color="auto"/>
            </w:tcBorders>
            <w:vAlign w:val="center"/>
            <w:hideMark/>
          </w:tcPr>
          <w:p w14:paraId="598B8801"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1 385</w:t>
            </w:r>
          </w:p>
        </w:tc>
      </w:tr>
      <w:tr w:rsidR="008862C7" w14:paraId="5C3E0602" w14:textId="77777777" w:rsidTr="008862C7">
        <w:trPr>
          <w:trHeight w:val="265"/>
        </w:trPr>
        <w:tc>
          <w:tcPr>
            <w:tcW w:w="1095" w:type="pct"/>
            <w:tcBorders>
              <w:top w:val="single" w:sz="4" w:space="0" w:color="auto"/>
              <w:left w:val="single" w:sz="4" w:space="0" w:color="auto"/>
              <w:bottom w:val="single" w:sz="4" w:space="0" w:color="auto"/>
              <w:right w:val="single" w:sz="4" w:space="0" w:color="auto"/>
            </w:tcBorders>
            <w:hideMark/>
          </w:tcPr>
          <w:p w14:paraId="262DEB4A"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USA</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AA83F63"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4</w:t>
            </w:r>
          </w:p>
        </w:tc>
        <w:tc>
          <w:tcPr>
            <w:tcW w:w="1013" w:type="pct"/>
            <w:tcBorders>
              <w:top w:val="single" w:sz="4" w:space="0" w:color="auto"/>
              <w:left w:val="single" w:sz="4" w:space="0" w:color="auto"/>
              <w:bottom w:val="single" w:sz="4" w:space="0" w:color="auto"/>
              <w:right w:val="single" w:sz="4" w:space="0" w:color="auto"/>
            </w:tcBorders>
            <w:vAlign w:val="center"/>
            <w:hideMark/>
          </w:tcPr>
          <w:p w14:paraId="33949A13"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6</w:t>
            </w:r>
          </w:p>
        </w:tc>
        <w:tc>
          <w:tcPr>
            <w:tcW w:w="1563" w:type="pct"/>
            <w:tcBorders>
              <w:top w:val="single" w:sz="4" w:space="0" w:color="auto"/>
              <w:left w:val="single" w:sz="4" w:space="0" w:color="auto"/>
              <w:bottom w:val="single" w:sz="4" w:space="0" w:color="auto"/>
              <w:right w:val="single" w:sz="4" w:space="0" w:color="auto"/>
            </w:tcBorders>
            <w:vAlign w:val="center"/>
            <w:hideMark/>
          </w:tcPr>
          <w:p w14:paraId="66E78DF6"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960</w:t>
            </w:r>
          </w:p>
        </w:tc>
      </w:tr>
      <w:tr w:rsidR="008862C7" w14:paraId="445E4FD8" w14:textId="77777777" w:rsidTr="008862C7">
        <w:trPr>
          <w:trHeight w:val="230"/>
        </w:trPr>
        <w:tc>
          <w:tcPr>
            <w:tcW w:w="1095" w:type="pct"/>
            <w:tcBorders>
              <w:top w:val="single" w:sz="4" w:space="0" w:color="auto"/>
              <w:left w:val="single" w:sz="4" w:space="0" w:color="auto"/>
              <w:bottom w:val="single" w:sz="4" w:space="0" w:color="auto"/>
              <w:right w:val="single" w:sz="4" w:space="0" w:color="auto"/>
            </w:tcBorders>
            <w:hideMark/>
          </w:tcPr>
          <w:p w14:paraId="52796D4B"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Angola</w:t>
            </w:r>
          </w:p>
        </w:tc>
        <w:tc>
          <w:tcPr>
            <w:tcW w:w="1329" w:type="pct"/>
            <w:tcBorders>
              <w:top w:val="single" w:sz="4" w:space="0" w:color="auto"/>
              <w:left w:val="single" w:sz="4" w:space="0" w:color="auto"/>
              <w:bottom w:val="single" w:sz="4" w:space="0" w:color="auto"/>
              <w:right w:val="single" w:sz="4" w:space="0" w:color="auto"/>
            </w:tcBorders>
            <w:vAlign w:val="center"/>
            <w:hideMark/>
          </w:tcPr>
          <w:p w14:paraId="1762A5AC"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12</w:t>
            </w:r>
          </w:p>
        </w:tc>
        <w:tc>
          <w:tcPr>
            <w:tcW w:w="1013" w:type="pct"/>
            <w:tcBorders>
              <w:top w:val="single" w:sz="4" w:space="0" w:color="auto"/>
              <w:left w:val="single" w:sz="4" w:space="0" w:color="auto"/>
              <w:bottom w:val="single" w:sz="4" w:space="0" w:color="auto"/>
              <w:right w:val="single" w:sz="4" w:space="0" w:color="auto"/>
            </w:tcBorders>
            <w:vAlign w:val="center"/>
            <w:hideMark/>
          </w:tcPr>
          <w:p w14:paraId="3E7A7FA4"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64</w:t>
            </w:r>
          </w:p>
        </w:tc>
        <w:tc>
          <w:tcPr>
            <w:tcW w:w="1563" w:type="pct"/>
            <w:tcBorders>
              <w:top w:val="single" w:sz="4" w:space="0" w:color="auto"/>
              <w:left w:val="single" w:sz="4" w:space="0" w:color="auto"/>
              <w:bottom w:val="single" w:sz="4" w:space="0" w:color="auto"/>
              <w:right w:val="single" w:sz="4" w:space="0" w:color="auto"/>
            </w:tcBorders>
            <w:vAlign w:val="center"/>
            <w:hideMark/>
          </w:tcPr>
          <w:p w14:paraId="7C7F8D57"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1 850</w:t>
            </w:r>
          </w:p>
        </w:tc>
      </w:tr>
      <w:tr w:rsidR="008862C7" w14:paraId="1587039B" w14:textId="77777777" w:rsidTr="008862C7">
        <w:trPr>
          <w:trHeight w:val="230"/>
        </w:trPr>
        <w:tc>
          <w:tcPr>
            <w:tcW w:w="1095" w:type="pct"/>
            <w:tcBorders>
              <w:top w:val="single" w:sz="4" w:space="0" w:color="auto"/>
              <w:left w:val="single" w:sz="4" w:space="0" w:color="auto"/>
              <w:bottom w:val="single" w:sz="4" w:space="0" w:color="auto"/>
              <w:right w:val="single" w:sz="4" w:space="0" w:color="auto"/>
            </w:tcBorders>
            <w:hideMark/>
          </w:tcPr>
          <w:p w14:paraId="7129FA71"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Burkina Faso</w:t>
            </w:r>
          </w:p>
        </w:tc>
        <w:tc>
          <w:tcPr>
            <w:tcW w:w="1329" w:type="pct"/>
            <w:tcBorders>
              <w:top w:val="single" w:sz="4" w:space="0" w:color="auto"/>
              <w:left w:val="single" w:sz="4" w:space="0" w:color="auto"/>
              <w:bottom w:val="single" w:sz="4" w:space="0" w:color="auto"/>
              <w:right w:val="single" w:sz="4" w:space="0" w:color="auto"/>
            </w:tcBorders>
            <w:vAlign w:val="center"/>
            <w:hideMark/>
          </w:tcPr>
          <w:p w14:paraId="7279AD3F"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11</w:t>
            </w:r>
          </w:p>
        </w:tc>
        <w:tc>
          <w:tcPr>
            <w:tcW w:w="1013" w:type="pct"/>
            <w:tcBorders>
              <w:top w:val="single" w:sz="4" w:space="0" w:color="auto"/>
              <w:left w:val="single" w:sz="4" w:space="0" w:color="auto"/>
              <w:bottom w:val="single" w:sz="4" w:space="0" w:color="auto"/>
              <w:right w:val="single" w:sz="4" w:space="0" w:color="auto"/>
            </w:tcBorders>
            <w:vAlign w:val="center"/>
            <w:hideMark/>
          </w:tcPr>
          <w:p w14:paraId="40F82ED1"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45</w:t>
            </w:r>
          </w:p>
        </w:tc>
        <w:tc>
          <w:tcPr>
            <w:tcW w:w="1563" w:type="pct"/>
            <w:tcBorders>
              <w:top w:val="single" w:sz="4" w:space="0" w:color="auto"/>
              <w:left w:val="single" w:sz="4" w:space="0" w:color="auto"/>
              <w:bottom w:val="single" w:sz="4" w:space="0" w:color="auto"/>
              <w:right w:val="single" w:sz="4" w:space="0" w:color="auto"/>
            </w:tcBorders>
            <w:vAlign w:val="center"/>
            <w:hideMark/>
          </w:tcPr>
          <w:p w14:paraId="0C28D52E"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2 096</w:t>
            </w:r>
          </w:p>
        </w:tc>
      </w:tr>
      <w:tr w:rsidR="008862C7" w14:paraId="48763A70" w14:textId="77777777" w:rsidTr="008862C7">
        <w:trPr>
          <w:trHeight w:val="210"/>
        </w:trPr>
        <w:tc>
          <w:tcPr>
            <w:tcW w:w="1095" w:type="pct"/>
            <w:tcBorders>
              <w:top w:val="single" w:sz="4" w:space="0" w:color="auto"/>
              <w:left w:val="single" w:sz="4" w:space="0" w:color="auto"/>
              <w:bottom w:val="single" w:sz="4" w:space="0" w:color="auto"/>
              <w:right w:val="single" w:sz="4" w:space="0" w:color="auto"/>
            </w:tcBorders>
            <w:hideMark/>
          </w:tcPr>
          <w:p w14:paraId="77A20621"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 xml:space="preserve">Cameroun </w:t>
            </w:r>
          </w:p>
        </w:tc>
        <w:tc>
          <w:tcPr>
            <w:tcW w:w="1329" w:type="pct"/>
            <w:tcBorders>
              <w:top w:val="single" w:sz="4" w:space="0" w:color="auto"/>
              <w:left w:val="single" w:sz="4" w:space="0" w:color="auto"/>
              <w:bottom w:val="single" w:sz="4" w:space="0" w:color="auto"/>
              <w:right w:val="single" w:sz="4" w:space="0" w:color="auto"/>
            </w:tcBorders>
            <w:vAlign w:val="center"/>
            <w:hideMark/>
          </w:tcPr>
          <w:p w14:paraId="1DD2225E"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9</w:t>
            </w:r>
          </w:p>
        </w:tc>
        <w:tc>
          <w:tcPr>
            <w:tcW w:w="1013" w:type="pct"/>
            <w:tcBorders>
              <w:top w:val="single" w:sz="4" w:space="0" w:color="auto"/>
              <w:left w:val="single" w:sz="4" w:space="0" w:color="auto"/>
              <w:bottom w:val="single" w:sz="4" w:space="0" w:color="auto"/>
              <w:right w:val="single" w:sz="4" w:space="0" w:color="auto"/>
            </w:tcBorders>
            <w:vAlign w:val="center"/>
            <w:hideMark/>
          </w:tcPr>
          <w:p w14:paraId="217D25B9"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27</w:t>
            </w:r>
          </w:p>
        </w:tc>
        <w:tc>
          <w:tcPr>
            <w:tcW w:w="1563" w:type="pct"/>
            <w:tcBorders>
              <w:top w:val="single" w:sz="4" w:space="0" w:color="auto"/>
              <w:left w:val="single" w:sz="4" w:space="0" w:color="auto"/>
              <w:bottom w:val="single" w:sz="4" w:space="0" w:color="auto"/>
              <w:right w:val="single" w:sz="4" w:space="0" w:color="auto"/>
            </w:tcBorders>
            <w:vAlign w:val="center"/>
            <w:hideMark/>
          </w:tcPr>
          <w:p w14:paraId="591CFF2D"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907</w:t>
            </w:r>
          </w:p>
        </w:tc>
      </w:tr>
      <w:tr w:rsidR="008862C7" w14:paraId="4B2FCD45" w14:textId="77777777" w:rsidTr="008862C7">
        <w:trPr>
          <w:trHeight w:val="225"/>
        </w:trPr>
        <w:tc>
          <w:tcPr>
            <w:tcW w:w="1095" w:type="pct"/>
            <w:tcBorders>
              <w:top w:val="single" w:sz="4" w:space="0" w:color="auto"/>
              <w:left w:val="single" w:sz="4" w:space="0" w:color="auto"/>
              <w:bottom w:val="single" w:sz="4" w:space="0" w:color="auto"/>
              <w:right w:val="single" w:sz="4" w:space="0" w:color="auto"/>
            </w:tcBorders>
            <w:hideMark/>
          </w:tcPr>
          <w:p w14:paraId="7AACB366"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t>Centrafrique</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E6B52A7"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8</w:t>
            </w:r>
          </w:p>
        </w:tc>
        <w:tc>
          <w:tcPr>
            <w:tcW w:w="1013" w:type="pct"/>
            <w:tcBorders>
              <w:top w:val="single" w:sz="4" w:space="0" w:color="auto"/>
              <w:left w:val="single" w:sz="4" w:space="0" w:color="auto"/>
              <w:bottom w:val="single" w:sz="4" w:space="0" w:color="auto"/>
              <w:right w:val="single" w:sz="4" w:space="0" w:color="auto"/>
            </w:tcBorders>
            <w:vAlign w:val="center"/>
            <w:hideMark/>
          </w:tcPr>
          <w:p w14:paraId="064EC197"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57</w:t>
            </w:r>
          </w:p>
        </w:tc>
        <w:tc>
          <w:tcPr>
            <w:tcW w:w="1563" w:type="pct"/>
            <w:tcBorders>
              <w:top w:val="single" w:sz="4" w:space="0" w:color="auto"/>
              <w:left w:val="single" w:sz="4" w:space="0" w:color="auto"/>
              <w:bottom w:val="single" w:sz="4" w:space="0" w:color="auto"/>
              <w:right w:val="single" w:sz="4" w:space="0" w:color="auto"/>
            </w:tcBorders>
            <w:vAlign w:val="center"/>
            <w:hideMark/>
          </w:tcPr>
          <w:p w14:paraId="16656712"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4 581</w:t>
            </w:r>
          </w:p>
        </w:tc>
      </w:tr>
      <w:tr w:rsidR="008862C7" w14:paraId="06DE5477" w14:textId="77777777" w:rsidTr="008862C7">
        <w:trPr>
          <w:trHeight w:val="225"/>
        </w:trPr>
        <w:tc>
          <w:tcPr>
            <w:tcW w:w="1095" w:type="pct"/>
            <w:tcBorders>
              <w:top w:val="single" w:sz="4" w:space="0" w:color="auto"/>
              <w:left w:val="single" w:sz="4" w:space="0" w:color="auto"/>
              <w:bottom w:val="single" w:sz="4" w:space="0" w:color="auto"/>
              <w:right w:val="single" w:sz="4" w:space="0" w:color="auto"/>
            </w:tcBorders>
            <w:hideMark/>
          </w:tcPr>
          <w:p w14:paraId="03E29E98" w14:textId="77777777" w:rsidR="008862C7" w:rsidRDefault="008862C7">
            <w:pPr>
              <w:tabs>
                <w:tab w:val="left" w:pos="708"/>
              </w:tabs>
              <w:spacing w:before="120" w:after="0" w:line="240" w:lineRule="auto"/>
              <w:jc w:val="both"/>
              <w:rPr>
                <w:rFonts w:ascii="Arial" w:eastAsia="Times New Roman" w:hAnsi="Arial" w:cs="Arial"/>
                <w:lang w:val="en-US"/>
              </w:rPr>
            </w:pPr>
            <w:r>
              <w:rPr>
                <w:rFonts w:ascii="Arial" w:hAnsi="Arial" w:cs="Arial"/>
                <w:lang w:val="en-US"/>
              </w:rPr>
              <w:lastRenderedPageBreak/>
              <w:t xml:space="preserve">Tchad  </w:t>
            </w:r>
          </w:p>
        </w:tc>
        <w:tc>
          <w:tcPr>
            <w:tcW w:w="1329" w:type="pct"/>
            <w:tcBorders>
              <w:top w:val="single" w:sz="4" w:space="0" w:color="auto"/>
              <w:left w:val="single" w:sz="4" w:space="0" w:color="auto"/>
              <w:bottom w:val="single" w:sz="4" w:space="0" w:color="auto"/>
              <w:right w:val="single" w:sz="4" w:space="0" w:color="auto"/>
            </w:tcBorders>
            <w:vAlign w:val="center"/>
            <w:hideMark/>
          </w:tcPr>
          <w:p w14:paraId="27EAEE7C"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6</w:t>
            </w:r>
          </w:p>
        </w:tc>
        <w:tc>
          <w:tcPr>
            <w:tcW w:w="1013" w:type="pct"/>
            <w:tcBorders>
              <w:top w:val="single" w:sz="4" w:space="0" w:color="auto"/>
              <w:left w:val="single" w:sz="4" w:space="0" w:color="auto"/>
              <w:bottom w:val="single" w:sz="4" w:space="0" w:color="auto"/>
              <w:right w:val="single" w:sz="4" w:space="0" w:color="auto"/>
            </w:tcBorders>
            <w:vAlign w:val="center"/>
            <w:hideMark/>
          </w:tcPr>
          <w:p w14:paraId="7ACBC689"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78</w:t>
            </w:r>
          </w:p>
        </w:tc>
        <w:tc>
          <w:tcPr>
            <w:tcW w:w="1563" w:type="pct"/>
            <w:tcBorders>
              <w:top w:val="single" w:sz="4" w:space="0" w:color="auto"/>
              <w:left w:val="single" w:sz="4" w:space="0" w:color="auto"/>
              <w:bottom w:val="single" w:sz="4" w:space="0" w:color="auto"/>
              <w:right w:val="single" w:sz="4" w:space="0" w:color="auto"/>
            </w:tcBorders>
            <w:vAlign w:val="center"/>
            <w:hideMark/>
          </w:tcPr>
          <w:p w14:paraId="768C7E83" w14:textId="77777777" w:rsidR="008862C7" w:rsidRDefault="008862C7">
            <w:pPr>
              <w:tabs>
                <w:tab w:val="left" w:pos="708"/>
              </w:tabs>
              <w:spacing w:before="120" w:after="0" w:line="240" w:lineRule="auto"/>
              <w:jc w:val="center"/>
              <w:rPr>
                <w:rFonts w:ascii="Arial" w:eastAsia="Times New Roman" w:hAnsi="Arial" w:cs="Arial"/>
                <w:lang w:val="en-US"/>
              </w:rPr>
            </w:pPr>
            <w:r>
              <w:rPr>
                <w:rFonts w:ascii="Arial" w:hAnsi="Arial" w:cs="Arial"/>
                <w:lang w:val="en-US"/>
              </w:rPr>
              <w:t>4 867</w:t>
            </w:r>
          </w:p>
        </w:tc>
      </w:tr>
    </w:tbl>
    <w:p w14:paraId="1A5B09DD" w14:textId="77777777" w:rsidR="008862C7" w:rsidRDefault="008862C7" w:rsidP="008862C7">
      <w:pPr>
        <w:spacing w:before="120" w:after="120"/>
        <w:jc w:val="both"/>
        <w:rPr>
          <w:rFonts w:ascii="Arial" w:eastAsia="Times New Roman" w:hAnsi="Arial" w:cs="Arial"/>
          <w:sz w:val="20"/>
          <w:szCs w:val="24"/>
        </w:rPr>
      </w:pPr>
      <w:r>
        <w:rPr>
          <w:rFonts w:ascii="Arial" w:hAnsi="Arial" w:cs="Arial"/>
          <w:sz w:val="20"/>
          <w:szCs w:val="24"/>
        </w:rPr>
        <w:t xml:space="preserve"> Source: Doïng Business, 2007</w:t>
      </w:r>
    </w:p>
    <w:p w14:paraId="31961257" w14:textId="77777777" w:rsidR="008862C7" w:rsidRDefault="008862C7" w:rsidP="008862C7">
      <w:pPr>
        <w:pStyle w:val="Default"/>
        <w:spacing w:before="240" w:line="360" w:lineRule="auto"/>
        <w:jc w:val="both"/>
        <w:rPr>
          <w:color w:val="auto"/>
        </w:rPr>
      </w:pPr>
      <w:r>
        <w:rPr>
          <w:color w:val="auto"/>
        </w:rPr>
        <w:t xml:space="preserve">Selon ce classement, en comparant la Centrafrique avec d’autres pays producteurs de coton, celle-ci est désavantagée en termes de délais et de coûts par containeur à cause de sa continentalité. </w:t>
      </w:r>
    </w:p>
    <w:p w14:paraId="654A7024" w14:textId="77777777" w:rsidR="008862C7" w:rsidRDefault="008862C7" w:rsidP="008862C7">
      <w:pPr>
        <w:pStyle w:val="Paragraphedeliste"/>
        <w:numPr>
          <w:ilvl w:val="0"/>
          <w:numId w:val="46"/>
        </w:numPr>
        <w:spacing w:before="120" w:after="0" w:line="360" w:lineRule="auto"/>
        <w:jc w:val="both"/>
        <w:outlineLvl w:val="2"/>
        <w:rPr>
          <w:rFonts w:ascii="Arial" w:hAnsi="Arial" w:cs="Arial"/>
          <w:b/>
          <w:sz w:val="24"/>
          <w:szCs w:val="24"/>
        </w:rPr>
      </w:pPr>
      <w:bookmarkStart w:id="301" w:name="_Toc395107704"/>
      <w:r>
        <w:rPr>
          <w:rFonts w:ascii="Arial" w:hAnsi="Arial" w:cs="Arial"/>
          <w:b/>
          <w:sz w:val="24"/>
          <w:szCs w:val="24"/>
        </w:rPr>
        <w:t>EVALUATION DES DETERMINANTS ET ANALYSE DES RESULTATS</w:t>
      </w:r>
      <w:bookmarkEnd w:id="301"/>
      <w:r>
        <w:rPr>
          <w:rFonts w:ascii="Arial" w:hAnsi="Arial" w:cs="Arial"/>
          <w:b/>
          <w:sz w:val="24"/>
          <w:szCs w:val="24"/>
        </w:rPr>
        <w:t xml:space="preserve"> </w:t>
      </w:r>
    </w:p>
    <w:p w14:paraId="73BCFB6D" w14:textId="77777777" w:rsidR="008862C7" w:rsidRDefault="008862C7" w:rsidP="008862C7">
      <w:pPr>
        <w:pStyle w:val="Paragraphedeliste"/>
        <w:numPr>
          <w:ilvl w:val="1"/>
          <w:numId w:val="46"/>
        </w:numPr>
        <w:spacing w:before="120" w:after="0" w:line="360" w:lineRule="auto"/>
        <w:jc w:val="both"/>
        <w:outlineLvl w:val="3"/>
        <w:rPr>
          <w:rFonts w:ascii="Arial" w:hAnsi="Arial" w:cs="Arial"/>
          <w:b/>
          <w:sz w:val="24"/>
          <w:szCs w:val="24"/>
        </w:rPr>
      </w:pPr>
      <w:bookmarkStart w:id="302" w:name="_Toc395107705"/>
      <w:r>
        <w:rPr>
          <w:rFonts w:ascii="Arial" w:hAnsi="Arial" w:cs="Arial"/>
          <w:b/>
          <w:sz w:val="24"/>
          <w:szCs w:val="24"/>
        </w:rPr>
        <w:t>Modélisation et estimation des coefficients</w:t>
      </w:r>
      <w:bookmarkEnd w:id="302"/>
    </w:p>
    <w:p w14:paraId="34068972" w14:textId="77777777" w:rsidR="008862C7" w:rsidRDefault="008862C7" w:rsidP="008862C7">
      <w:pPr>
        <w:pStyle w:val="Paragraphedeliste"/>
        <w:numPr>
          <w:ilvl w:val="2"/>
          <w:numId w:val="24"/>
        </w:numPr>
        <w:autoSpaceDE w:val="0"/>
        <w:autoSpaceDN w:val="0"/>
        <w:adjustRightInd w:val="0"/>
        <w:spacing w:before="120" w:after="0" w:line="360" w:lineRule="auto"/>
        <w:jc w:val="both"/>
        <w:outlineLvl w:val="4"/>
        <w:rPr>
          <w:rFonts w:ascii="Arial" w:hAnsi="Arial" w:cs="Arial"/>
          <w:b/>
          <w:sz w:val="24"/>
          <w:szCs w:val="24"/>
        </w:rPr>
      </w:pPr>
      <w:bookmarkStart w:id="303" w:name="_Toc395107706"/>
      <w:r>
        <w:rPr>
          <w:rFonts w:ascii="Arial" w:hAnsi="Arial" w:cs="Arial"/>
          <w:b/>
          <w:sz w:val="24"/>
          <w:szCs w:val="24"/>
        </w:rPr>
        <w:t>Modèle 1 : Régression sur données de panel de la compétitivité</w:t>
      </w:r>
      <w:bookmarkEnd w:id="303"/>
      <w:r>
        <w:rPr>
          <w:rFonts w:ascii="Arial" w:hAnsi="Arial" w:cs="Arial"/>
          <w:b/>
          <w:sz w:val="24"/>
          <w:szCs w:val="24"/>
        </w:rPr>
        <w:t xml:space="preserve"> </w:t>
      </w:r>
    </w:p>
    <w:p w14:paraId="79D3B633"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La mesure de la compétitivité du coton centrafricain est traduite par sa capacité à capter une part du marché mondial par le prix et la qualité, ainsi le modèle spécifié est un modèle sur données de panel. Le choix des cinquante pays de l’échantillon est d’abord basé sur le critère selon lequel le pays doit être producteur et exportateur de coton fibre. De plus la position et le poids de certains pays (Brésil, Chine, Etats Unis, Ouzbékistan et Indonésie) sur ce marché font d’eux des éléments clés pour la représentativité de notre échantillon. Enfin le déplacement des clients de la RCA et du centre de consommation de coton des pays d’Europe vers ceux d’Asie nécessite qu’une place particulière soit allouée à cette région dans l’échantillon. </w:t>
      </w:r>
    </w:p>
    <w:p w14:paraId="4A01AFEC"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Le modèle spécifié compte 51 pays, s’étale sur 33 ans (1980-2012) et compte onze variables, soient 1683 observations (51 × 33) ; il se présente comme suit : </w:t>
      </w:r>
    </w:p>
    <w:p w14:paraId="3DC6D211"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Avant d’analyser nos résultats, nous avons procédé à un test de spécification des effets individuels. Il s’agit du test de Hausman qui permet de tester l’hypothèse nulle selon laquelle, les effets spécifiques à chaque pays peuvent être corrélés avec les variables du modèle ou de manière alternative, que ces effets soient orthogonaux à ces variables explicatives. En d’autres termes, le test de Hausman nous permet de choisir entre le modèle à effets fixes et le modèle à effets aléatoires. Ce test utilise la propriété de non convergence du modèle à effets aléatoires en cas de corrélation entre les effets spécifiques et les variables explicatives du modèle. Si l’hypothèse nulle d’absence de corrélation n’est vérifiée, les deux estimateurs ne sont convergents et celui à effets aléatoires n’est plus efficace. </w:t>
      </w:r>
    </w:p>
    <w:p w14:paraId="0F75AE25"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Pour le modèle 1, comprenant l’ensemble des variables, le test de Hausman rejette l’hypothèse nulle d’absence de corrélation entre les effets individuels et les variables explicatives. La spécification la plus appropriée est donc celle du modèle à effets fixes dont les résultats d’estimation sont présentés dans le tableau </w:t>
      </w:r>
      <w:r w:rsidR="0079544B">
        <w:rPr>
          <w:rFonts w:ascii="Arial" w:hAnsi="Arial" w:cs="Arial"/>
          <w:sz w:val="24"/>
          <w:szCs w:val="24"/>
        </w:rPr>
        <w:t>ci-dessous</w:t>
      </w:r>
      <w:r>
        <w:rPr>
          <w:rFonts w:ascii="Arial" w:hAnsi="Arial" w:cs="Arial"/>
          <w:sz w:val="24"/>
          <w:szCs w:val="24"/>
        </w:rPr>
        <w:t xml:space="preserve">. </w:t>
      </w:r>
    </w:p>
    <w:p w14:paraId="30A67E5C"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p>
    <w:p w14:paraId="7E4A5CBF"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b/>
          <w:sz w:val="24"/>
          <w:szCs w:val="24"/>
        </w:rPr>
        <w:lastRenderedPageBreak/>
        <w:t>Tableau 4.9 :</w:t>
      </w:r>
      <w:r>
        <w:rPr>
          <w:rFonts w:ascii="Arial" w:hAnsi="Arial" w:cs="Arial"/>
          <w:sz w:val="24"/>
          <w:szCs w:val="24"/>
        </w:rPr>
        <w:t xml:space="preserve"> Estimation du modèle à effets fixes de la part du marché à l’exportation</w:t>
      </w:r>
    </w:p>
    <w:tbl>
      <w:tblPr>
        <w:tblW w:w="488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39"/>
        <w:gridCol w:w="2400"/>
        <w:gridCol w:w="2580"/>
      </w:tblGrid>
      <w:tr w:rsidR="008862C7" w14:paraId="58A81EAA" w14:textId="77777777" w:rsidTr="008862C7">
        <w:tc>
          <w:tcPr>
            <w:tcW w:w="2586" w:type="pct"/>
            <w:tcBorders>
              <w:top w:val="single" w:sz="4" w:space="0" w:color="auto"/>
              <w:left w:val="single" w:sz="4" w:space="0" w:color="auto"/>
              <w:bottom w:val="single" w:sz="4" w:space="0" w:color="auto"/>
              <w:right w:val="single" w:sz="4" w:space="0" w:color="auto"/>
            </w:tcBorders>
            <w:shd w:val="clear" w:color="auto" w:fill="D6E3BC"/>
            <w:hideMark/>
          </w:tcPr>
          <w:p w14:paraId="05D4F69D" w14:textId="77777777" w:rsidR="008862C7" w:rsidRDefault="008862C7">
            <w:pPr>
              <w:tabs>
                <w:tab w:val="left" w:pos="708"/>
              </w:tabs>
              <w:autoSpaceDE w:val="0"/>
              <w:autoSpaceDN w:val="0"/>
              <w:adjustRightInd w:val="0"/>
              <w:spacing w:before="120" w:after="0" w:line="276" w:lineRule="auto"/>
              <w:rPr>
                <w:rFonts w:ascii="Arial" w:eastAsia="Times New Roman" w:hAnsi="Arial" w:cs="Arial"/>
                <w:b/>
                <w:sz w:val="20"/>
                <w:szCs w:val="20"/>
              </w:rPr>
            </w:pPr>
            <w:r>
              <w:rPr>
                <w:rFonts w:ascii="Arial" w:hAnsi="Arial" w:cs="Arial"/>
                <w:b/>
                <w:sz w:val="20"/>
                <w:szCs w:val="20"/>
              </w:rPr>
              <w:t>Variables</w:t>
            </w:r>
          </w:p>
        </w:tc>
        <w:tc>
          <w:tcPr>
            <w:tcW w:w="1163" w:type="pct"/>
            <w:tcBorders>
              <w:top w:val="single" w:sz="4" w:space="0" w:color="auto"/>
              <w:left w:val="nil"/>
              <w:bottom w:val="single" w:sz="4" w:space="0" w:color="auto"/>
              <w:right w:val="single" w:sz="4" w:space="0" w:color="auto"/>
            </w:tcBorders>
            <w:shd w:val="clear" w:color="auto" w:fill="D6E3BC"/>
            <w:hideMark/>
          </w:tcPr>
          <w:p w14:paraId="560595D0" w14:textId="77777777" w:rsidR="008862C7" w:rsidRDefault="008862C7">
            <w:pPr>
              <w:tabs>
                <w:tab w:val="left" w:pos="708"/>
              </w:tabs>
              <w:autoSpaceDE w:val="0"/>
              <w:autoSpaceDN w:val="0"/>
              <w:adjustRightInd w:val="0"/>
              <w:spacing w:before="120" w:after="0" w:line="276" w:lineRule="auto"/>
              <w:ind w:left="72"/>
              <w:jc w:val="center"/>
              <w:rPr>
                <w:rFonts w:ascii="Arial" w:eastAsia="Times New Roman" w:hAnsi="Arial" w:cs="Arial"/>
                <w:b/>
                <w:sz w:val="20"/>
                <w:szCs w:val="20"/>
              </w:rPr>
            </w:pPr>
            <w:r>
              <w:rPr>
                <w:rFonts w:ascii="Arial" w:hAnsi="Arial" w:cs="Arial"/>
                <w:b/>
                <w:sz w:val="20"/>
                <w:szCs w:val="20"/>
              </w:rPr>
              <w:t>Coefficients</w:t>
            </w:r>
          </w:p>
        </w:tc>
        <w:tc>
          <w:tcPr>
            <w:tcW w:w="1250" w:type="pct"/>
            <w:tcBorders>
              <w:top w:val="single" w:sz="4" w:space="0" w:color="auto"/>
              <w:left w:val="single" w:sz="4" w:space="0" w:color="auto"/>
              <w:bottom w:val="single" w:sz="4" w:space="0" w:color="auto"/>
              <w:right w:val="single" w:sz="4" w:space="0" w:color="auto"/>
            </w:tcBorders>
            <w:shd w:val="clear" w:color="auto" w:fill="D6E3BC"/>
            <w:hideMark/>
          </w:tcPr>
          <w:p w14:paraId="2F512FEB"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b/>
                <w:sz w:val="20"/>
                <w:szCs w:val="20"/>
              </w:rPr>
            </w:pPr>
            <w:r>
              <w:rPr>
                <w:rFonts w:ascii="Arial" w:hAnsi="Arial" w:cs="Arial"/>
                <w:b/>
                <w:sz w:val="20"/>
                <w:szCs w:val="20"/>
              </w:rPr>
              <w:t>Sdt. Error</w:t>
            </w:r>
          </w:p>
        </w:tc>
      </w:tr>
      <w:tr w:rsidR="008862C7" w14:paraId="6F6D577A"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44AD46DC"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LogPMC</w:t>
            </w:r>
          </w:p>
        </w:tc>
        <w:tc>
          <w:tcPr>
            <w:tcW w:w="1163" w:type="pct"/>
            <w:tcBorders>
              <w:top w:val="single" w:sz="4" w:space="0" w:color="auto"/>
              <w:left w:val="single" w:sz="4" w:space="0" w:color="auto"/>
              <w:bottom w:val="single" w:sz="4" w:space="0" w:color="auto"/>
              <w:right w:val="single" w:sz="4" w:space="0" w:color="auto"/>
            </w:tcBorders>
            <w:hideMark/>
          </w:tcPr>
          <w:p w14:paraId="46843D5D"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0.802</w:t>
            </w:r>
          </w:p>
        </w:tc>
        <w:tc>
          <w:tcPr>
            <w:tcW w:w="1250" w:type="pct"/>
            <w:tcBorders>
              <w:top w:val="single" w:sz="4" w:space="0" w:color="auto"/>
              <w:left w:val="single" w:sz="4" w:space="0" w:color="auto"/>
              <w:bottom w:val="single" w:sz="4" w:space="0" w:color="auto"/>
              <w:right w:val="single" w:sz="4" w:space="0" w:color="auto"/>
            </w:tcBorders>
            <w:hideMark/>
          </w:tcPr>
          <w:p w14:paraId="5A32F1A6"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0.231</w:t>
            </w:r>
          </w:p>
        </w:tc>
      </w:tr>
      <w:tr w:rsidR="008862C7" w14:paraId="2442AD59"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50C1CBEB"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LogPFS</w:t>
            </w:r>
          </w:p>
        </w:tc>
        <w:tc>
          <w:tcPr>
            <w:tcW w:w="1163" w:type="pct"/>
            <w:tcBorders>
              <w:top w:val="single" w:sz="4" w:space="0" w:color="auto"/>
              <w:left w:val="single" w:sz="4" w:space="0" w:color="auto"/>
              <w:bottom w:val="single" w:sz="4" w:space="0" w:color="auto"/>
              <w:right w:val="single" w:sz="4" w:space="0" w:color="auto"/>
            </w:tcBorders>
            <w:hideMark/>
          </w:tcPr>
          <w:p w14:paraId="35B8E617"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0.098</w:t>
            </w:r>
          </w:p>
        </w:tc>
        <w:tc>
          <w:tcPr>
            <w:tcW w:w="1250" w:type="pct"/>
            <w:tcBorders>
              <w:top w:val="single" w:sz="4" w:space="0" w:color="auto"/>
              <w:left w:val="single" w:sz="4" w:space="0" w:color="auto"/>
              <w:bottom w:val="single" w:sz="4" w:space="0" w:color="auto"/>
              <w:right w:val="single" w:sz="4" w:space="0" w:color="auto"/>
            </w:tcBorders>
            <w:hideMark/>
          </w:tcPr>
          <w:p w14:paraId="115FD387"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0.142</w:t>
            </w:r>
          </w:p>
        </w:tc>
      </w:tr>
      <w:tr w:rsidR="008862C7" w14:paraId="2BC46A9F"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2D00F7DD"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LogQUAL</w:t>
            </w:r>
          </w:p>
        </w:tc>
        <w:tc>
          <w:tcPr>
            <w:tcW w:w="1163" w:type="pct"/>
            <w:tcBorders>
              <w:top w:val="single" w:sz="4" w:space="0" w:color="auto"/>
              <w:left w:val="single" w:sz="4" w:space="0" w:color="auto"/>
              <w:bottom w:val="single" w:sz="4" w:space="0" w:color="auto"/>
              <w:right w:val="single" w:sz="4" w:space="0" w:color="auto"/>
            </w:tcBorders>
            <w:hideMark/>
          </w:tcPr>
          <w:p w14:paraId="1931AC88"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0.240***</w:t>
            </w:r>
          </w:p>
        </w:tc>
        <w:tc>
          <w:tcPr>
            <w:tcW w:w="1250" w:type="pct"/>
            <w:tcBorders>
              <w:top w:val="single" w:sz="4" w:space="0" w:color="auto"/>
              <w:left w:val="single" w:sz="4" w:space="0" w:color="auto"/>
              <w:bottom w:val="single" w:sz="4" w:space="0" w:color="auto"/>
              <w:right w:val="single" w:sz="4" w:space="0" w:color="auto"/>
            </w:tcBorders>
            <w:hideMark/>
          </w:tcPr>
          <w:p w14:paraId="21B4AFAE"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0.087</w:t>
            </w:r>
          </w:p>
        </w:tc>
      </w:tr>
      <w:tr w:rsidR="008862C7" w14:paraId="43B578C7"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293B2962"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LogACR</w:t>
            </w:r>
          </w:p>
        </w:tc>
        <w:tc>
          <w:tcPr>
            <w:tcW w:w="1163" w:type="pct"/>
            <w:tcBorders>
              <w:top w:val="single" w:sz="4" w:space="0" w:color="auto"/>
              <w:left w:val="single" w:sz="4" w:space="0" w:color="auto"/>
              <w:bottom w:val="single" w:sz="4" w:space="0" w:color="auto"/>
              <w:right w:val="single" w:sz="4" w:space="0" w:color="auto"/>
            </w:tcBorders>
            <w:hideMark/>
          </w:tcPr>
          <w:p w14:paraId="5DAF635A"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0.533</w:t>
            </w:r>
          </w:p>
        </w:tc>
        <w:tc>
          <w:tcPr>
            <w:tcW w:w="1250" w:type="pct"/>
            <w:tcBorders>
              <w:top w:val="single" w:sz="4" w:space="0" w:color="auto"/>
              <w:left w:val="single" w:sz="4" w:space="0" w:color="auto"/>
              <w:bottom w:val="single" w:sz="4" w:space="0" w:color="auto"/>
              <w:right w:val="single" w:sz="4" w:space="0" w:color="auto"/>
            </w:tcBorders>
            <w:hideMark/>
          </w:tcPr>
          <w:p w14:paraId="2C8349DD"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0.019</w:t>
            </w:r>
          </w:p>
        </w:tc>
      </w:tr>
      <w:tr w:rsidR="008862C7" w14:paraId="20668A93" w14:textId="77777777" w:rsidTr="008862C7">
        <w:trPr>
          <w:trHeight w:val="90"/>
        </w:trPr>
        <w:tc>
          <w:tcPr>
            <w:tcW w:w="2586" w:type="pct"/>
            <w:tcBorders>
              <w:top w:val="single" w:sz="4" w:space="0" w:color="auto"/>
              <w:left w:val="single" w:sz="4" w:space="0" w:color="auto"/>
              <w:bottom w:val="single" w:sz="4" w:space="0" w:color="auto"/>
              <w:right w:val="single" w:sz="4" w:space="0" w:color="auto"/>
            </w:tcBorders>
            <w:hideMark/>
          </w:tcPr>
          <w:p w14:paraId="23E74DCD"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LogCON</w:t>
            </w:r>
          </w:p>
        </w:tc>
        <w:tc>
          <w:tcPr>
            <w:tcW w:w="1163" w:type="pct"/>
            <w:tcBorders>
              <w:top w:val="single" w:sz="4" w:space="0" w:color="auto"/>
              <w:left w:val="single" w:sz="4" w:space="0" w:color="auto"/>
              <w:bottom w:val="single" w:sz="4" w:space="0" w:color="auto"/>
              <w:right w:val="single" w:sz="4" w:space="0" w:color="auto"/>
            </w:tcBorders>
            <w:hideMark/>
          </w:tcPr>
          <w:p w14:paraId="7BA06D56"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2.010***</w:t>
            </w:r>
          </w:p>
        </w:tc>
        <w:tc>
          <w:tcPr>
            <w:tcW w:w="1250" w:type="pct"/>
            <w:tcBorders>
              <w:top w:val="single" w:sz="4" w:space="0" w:color="auto"/>
              <w:left w:val="single" w:sz="4" w:space="0" w:color="auto"/>
              <w:bottom w:val="single" w:sz="4" w:space="0" w:color="auto"/>
              <w:right w:val="single" w:sz="4" w:space="0" w:color="auto"/>
            </w:tcBorders>
            <w:hideMark/>
          </w:tcPr>
          <w:p w14:paraId="548F8177"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0.465</w:t>
            </w:r>
          </w:p>
        </w:tc>
      </w:tr>
      <w:tr w:rsidR="008862C7" w14:paraId="0D171404" w14:textId="77777777" w:rsidTr="008862C7">
        <w:tc>
          <w:tcPr>
            <w:tcW w:w="2586" w:type="pct"/>
            <w:tcBorders>
              <w:top w:val="nil"/>
              <w:left w:val="single" w:sz="4" w:space="0" w:color="auto"/>
              <w:bottom w:val="single" w:sz="4" w:space="0" w:color="auto"/>
              <w:right w:val="single" w:sz="4" w:space="0" w:color="auto"/>
            </w:tcBorders>
            <w:hideMark/>
          </w:tcPr>
          <w:p w14:paraId="18DEE2CD"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LogIDE</w:t>
            </w:r>
          </w:p>
        </w:tc>
        <w:tc>
          <w:tcPr>
            <w:tcW w:w="1163" w:type="pct"/>
            <w:tcBorders>
              <w:top w:val="nil"/>
              <w:left w:val="single" w:sz="4" w:space="0" w:color="auto"/>
              <w:bottom w:val="single" w:sz="4" w:space="0" w:color="auto"/>
              <w:right w:val="single" w:sz="4" w:space="0" w:color="auto"/>
            </w:tcBorders>
            <w:hideMark/>
          </w:tcPr>
          <w:p w14:paraId="39AF8B32"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0.076</w:t>
            </w:r>
          </w:p>
        </w:tc>
        <w:tc>
          <w:tcPr>
            <w:tcW w:w="1250" w:type="pct"/>
            <w:tcBorders>
              <w:top w:val="nil"/>
              <w:left w:val="single" w:sz="4" w:space="0" w:color="auto"/>
              <w:bottom w:val="single" w:sz="4" w:space="0" w:color="auto"/>
              <w:right w:val="single" w:sz="4" w:space="0" w:color="auto"/>
            </w:tcBorders>
            <w:hideMark/>
          </w:tcPr>
          <w:p w14:paraId="1E7BC3E6"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0.034</w:t>
            </w:r>
          </w:p>
        </w:tc>
      </w:tr>
      <w:tr w:rsidR="008862C7" w14:paraId="4DB817CA"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49679F8A"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LogTCER</w:t>
            </w:r>
          </w:p>
        </w:tc>
        <w:tc>
          <w:tcPr>
            <w:tcW w:w="1163" w:type="pct"/>
            <w:tcBorders>
              <w:top w:val="single" w:sz="4" w:space="0" w:color="auto"/>
              <w:left w:val="single" w:sz="4" w:space="0" w:color="auto"/>
              <w:bottom w:val="single" w:sz="4" w:space="0" w:color="auto"/>
              <w:right w:val="single" w:sz="4" w:space="0" w:color="auto"/>
            </w:tcBorders>
            <w:hideMark/>
          </w:tcPr>
          <w:p w14:paraId="276052EB"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0.051</w:t>
            </w:r>
          </w:p>
        </w:tc>
        <w:tc>
          <w:tcPr>
            <w:tcW w:w="1250" w:type="pct"/>
            <w:tcBorders>
              <w:top w:val="single" w:sz="4" w:space="0" w:color="auto"/>
              <w:left w:val="single" w:sz="4" w:space="0" w:color="auto"/>
              <w:bottom w:val="single" w:sz="4" w:space="0" w:color="auto"/>
              <w:right w:val="single" w:sz="4" w:space="0" w:color="auto"/>
            </w:tcBorders>
            <w:hideMark/>
          </w:tcPr>
          <w:p w14:paraId="3559B66C"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0.264</w:t>
            </w:r>
          </w:p>
        </w:tc>
      </w:tr>
      <w:tr w:rsidR="008862C7" w14:paraId="17193AF0"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2A756FF5"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LogDIST</w:t>
            </w:r>
          </w:p>
        </w:tc>
        <w:tc>
          <w:tcPr>
            <w:tcW w:w="1163" w:type="pct"/>
            <w:tcBorders>
              <w:top w:val="single" w:sz="4" w:space="0" w:color="auto"/>
              <w:left w:val="single" w:sz="4" w:space="0" w:color="auto"/>
              <w:bottom w:val="single" w:sz="4" w:space="0" w:color="auto"/>
              <w:right w:val="single" w:sz="4" w:space="0" w:color="auto"/>
            </w:tcBorders>
            <w:hideMark/>
          </w:tcPr>
          <w:p w14:paraId="7654E018"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 4.391***</w:t>
            </w:r>
          </w:p>
        </w:tc>
        <w:tc>
          <w:tcPr>
            <w:tcW w:w="1250" w:type="pct"/>
            <w:tcBorders>
              <w:top w:val="single" w:sz="4" w:space="0" w:color="auto"/>
              <w:left w:val="single" w:sz="4" w:space="0" w:color="auto"/>
              <w:bottom w:val="single" w:sz="4" w:space="0" w:color="auto"/>
              <w:right w:val="single" w:sz="4" w:space="0" w:color="auto"/>
            </w:tcBorders>
            <w:hideMark/>
          </w:tcPr>
          <w:p w14:paraId="3125ED9C"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0.078</w:t>
            </w:r>
          </w:p>
        </w:tc>
      </w:tr>
      <w:tr w:rsidR="008862C7" w14:paraId="2867409E"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3DF6C4AE"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LogSUBV</w:t>
            </w:r>
          </w:p>
        </w:tc>
        <w:tc>
          <w:tcPr>
            <w:tcW w:w="1163" w:type="pct"/>
            <w:tcBorders>
              <w:top w:val="single" w:sz="4" w:space="0" w:color="auto"/>
              <w:left w:val="single" w:sz="4" w:space="0" w:color="auto"/>
              <w:bottom w:val="single" w:sz="4" w:space="0" w:color="auto"/>
              <w:right w:val="single" w:sz="4" w:space="0" w:color="auto"/>
            </w:tcBorders>
            <w:hideMark/>
          </w:tcPr>
          <w:p w14:paraId="3EE42998"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0.061</w:t>
            </w:r>
          </w:p>
        </w:tc>
        <w:tc>
          <w:tcPr>
            <w:tcW w:w="1250" w:type="pct"/>
            <w:tcBorders>
              <w:top w:val="single" w:sz="4" w:space="0" w:color="auto"/>
              <w:left w:val="single" w:sz="4" w:space="0" w:color="auto"/>
              <w:bottom w:val="single" w:sz="4" w:space="0" w:color="auto"/>
              <w:right w:val="single" w:sz="4" w:space="0" w:color="auto"/>
            </w:tcBorders>
            <w:hideMark/>
          </w:tcPr>
          <w:p w14:paraId="521C72A7"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0.287</w:t>
            </w:r>
          </w:p>
        </w:tc>
      </w:tr>
      <w:tr w:rsidR="008862C7" w14:paraId="01F36421"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1C26BFF9"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LogTAR</w:t>
            </w:r>
          </w:p>
        </w:tc>
        <w:tc>
          <w:tcPr>
            <w:tcW w:w="1163" w:type="pct"/>
            <w:tcBorders>
              <w:top w:val="single" w:sz="4" w:space="0" w:color="auto"/>
              <w:left w:val="single" w:sz="4" w:space="0" w:color="auto"/>
              <w:bottom w:val="single" w:sz="4" w:space="0" w:color="auto"/>
              <w:right w:val="single" w:sz="4" w:space="0" w:color="auto"/>
            </w:tcBorders>
            <w:hideMark/>
          </w:tcPr>
          <w:p w14:paraId="159F6D61"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 0.194**</w:t>
            </w:r>
          </w:p>
        </w:tc>
        <w:tc>
          <w:tcPr>
            <w:tcW w:w="1250" w:type="pct"/>
            <w:tcBorders>
              <w:top w:val="single" w:sz="4" w:space="0" w:color="auto"/>
              <w:left w:val="single" w:sz="4" w:space="0" w:color="auto"/>
              <w:bottom w:val="single" w:sz="4" w:space="0" w:color="auto"/>
              <w:right w:val="single" w:sz="4" w:space="0" w:color="auto"/>
            </w:tcBorders>
            <w:hideMark/>
          </w:tcPr>
          <w:p w14:paraId="2033E560"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0.306</w:t>
            </w:r>
          </w:p>
        </w:tc>
      </w:tr>
      <w:tr w:rsidR="008862C7" w14:paraId="169C4B2B" w14:textId="77777777" w:rsidTr="008862C7">
        <w:tc>
          <w:tcPr>
            <w:tcW w:w="2586" w:type="pct"/>
            <w:tcBorders>
              <w:top w:val="single" w:sz="4" w:space="0" w:color="auto"/>
              <w:left w:val="single" w:sz="4" w:space="0" w:color="auto"/>
              <w:bottom w:val="single" w:sz="4" w:space="0" w:color="auto"/>
              <w:right w:val="single" w:sz="4" w:space="0" w:color="auto"/>
            </w:tcBorders>
            <w:hideMark/>
          </w:tcPr>
          <w:p w14:paraId="7154E7B4"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Constante</w:t>
            </w:r>
          </w:p>
        </w:tc>
        <w:tc>
          <w:tcPr>
            <w:tcW w:w="1163" w:type="pct"/>
            <w:tcBorders>
              <w:top w:val="single" w:sz="4" w:space="0" w:color="auto"/>
              <w:left w:val="single" w:sz="4" w:space="0" w:color="auto"/>
              <w:bottom w:val="single" w:sz="4" w:space="0" w:color="auto"/>
              <w:right w:val="single" w:sz="4" w:space="0" w:color="auto"/>
            </w:tcBorders>
            <w:hideMark/>
          </w:tcPr>
          <w:p w14:paraId="6149DA8E"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–31.010***</w:t>
            </w:r>
          </w:p>
        </w:tc>
        <w:tc>
          <w:tcPr>
            <w:tcW w:w="1250" w:type="pct"/>
            <w:tcBorders>
              <w:top w:val="single" w:sz="4" w:space="0" w:color="auto"/>
              <w:left w:val="single" w:sz="4" w:space="0" w:color="auto"/>
              <w:bottom w:val="single" w:sz="4" w:space="0" w:color="auto"/>
              <w:right w:val="single" w:sz="4" w:space="0" w:color="auto"/>
            </w:tcBorders>
            <w:hideMark/>
          </w:tcPr>
          <w:p w14:paraId="69525539"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4.042</w:t>
            </w:r>
          </w:p>
        </w:tc>
      </w:tr>
      <w:tr w:rsidR="008862C7" w14:paraId="1A67DE94" w14:textId="77777777" w:rsidTr="008862C7">
        <w:tc>
          <w:tcPr>
            <w:tcW w:w="2586" w:type="pct"/>
            <w:tcBorders>
              <w:top w:val="single" w:sz="4" w:space="0" w:color="auto"/>
              <w:left w:val="single" w:sz="4" w:space="0" w:color="auto"/>
              <w:bottom w:val="single" w:sz="4" w:space="0" w:color="auto"/>
              <w:right w:val="single" w:sz="4" w:space="0" w:color="auto"/>
            </w:tcBorders>
            <w:shd w:val="clear" w:color="auto" w:fill="D6E3BC"/>
            <w:hideMark/>
          </w:tcPr>
          <w:p w14:paraId="04FC73D6" w14:textId="77777777" w:rsidR="008862C7" w:rsidRDefault="008862C7">
            <w:pPr>
              <w:autoSpaceDE w:val="0"/>
              <w:autoSpaceDN w:val="0"/>
              <w:adjustRightInd w:val="0"/>
              <w:spacing w:before="120" w:after="0"/>
              <w:rPr>
                <w:rFonts w:ascii="Arial" w:eastAsia="Times New Roman" w:hAnsi="Arial" w:cs="Arial"/>
                <w:sz w:val="20"/>
                <w:szCs w:val="20"/>
              </w:rPr>
            </w:pPr>
            <w:r>
              <w:rPr>
                <w:rFonts w:ascii="Arial" w:hAnsi="Arial" w:cs="Arial"/>
                <w:sz w:val="20"/>
                <w:szCs w:val="20"/>
              </w:rPr>
              <w:t>Observations</w:t>
            </w:r>
          </w:p>
          <w:p w14:paraId="63F48998"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rPr>
            </w:pPr>
            <w:r>
              <w:rPr>
                <w:rFonts w:ascii="Arial" w:hAnsi="Arial" w:cs="Arial"/>
                <w:sz w:val="20"/>
                <w:szCs w:val="20"/>
              </w:rPr>
              <w:t>Nombre de Pays</w:t>
            </w:r>
          </w:p>
        </w:tc>
        <w:tc>
          <w:tcPr>
            <w:tcW w:w="1163" w:type="pct"/>
            <w:tcBorders>
              <w:top w:val="single" w:sz="4" w:space="0" w:color="auto"/>
              <w:left w:val="single" w:sz="4" w:space="0" w:color="auto"/>
              <w:bottom w:val="single" w:sz="4" w:space="0" w:color="auto"/>
              <w:right w:val="single" w:sz="4" w:space="0" w:color="auto"/>
            </w:tcBorders>
            <w:shd w:val="clear" w:color="auto" w:fill="D6E3BC"/>
            <w:hideMark/>
          </w:tcPr>
          <w:p w14:paraId="374F768B" w14:textId="77777777" w:rsidR="008862C7" w:rsidRDefault="008862C7">
            <w:pPr>
              <w:autoSpaceDE w:val="0"/>
              <w:autoSpaceDN w:val="0"/>
              <w:adjustRightInd w:val="0"/>
              <w:spacing w:before="120" w:after="0"/>
              <w:jc w:val="center"/>
              <w:rPr>
                <w:rFonts w:ascii="Arial" w:eastAsia="Times New Roman" w:hAnsi="Arial" w:cs="Arial"/>
                <w:sz w:val="20"/>
                <w:szCs w:val="20"/>
              </w:rPr>
            </w:pPr>
            <w:r>
              <w:rPr>
                <w:rFonts w:ascii="Arial" w:hAnsi="Arial" w:cs="Arial"/>
                <w:sz w:val="20"/>
                <w:szCs w:val="20"/>
              </w:rPr>
              <w:t>1683</w:t>
            </w:r>
          </w:p>
          <w:p w14:paraId="7E8382AA"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r>
              <w:rPr>
                <w:rFonts w:ascii="Arial" w:hAnsi="Arial" w:cs="Arial"/>
                <w:sz w:val="20"/>
                <w:szCs w:val="20"/>
              </w:rPr>
              <w:t>51</w:t>
            </w:r>
          </w:p>
        </w:tc>
        <w:tc>
          <w:tcPr>
            <w:tcW w:w="1250" w:type="pct"/>
            <w:tcBorders>
              <w:top w:val="single" w:sz="4" w:space="0" w:color="auto"/>
              <w:left w:val="single" w:sz="4" w:space="0" w:color="auto"/>
              <w:bottom w:val="single" w:sz="4" w:space="0" w:color="auto"/>
              <w:right w:val="single" w:sz="4" w:space="0" w:color="auto"/>
            </w:tcBorders>
            <w:shd w:val="clear" w:color="auto" w:fill="D6E3BC"/>
          </w:tcPr>
          <w:p w14:paraId="1638C19A"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rPr>
            </w:pPr>
          </w:p>
        </w:tc>
      </w:tr>
      <w:tr w:rsidR="008862C7" w14:paraId="5A8BA016" w14:textId="77777777" w:rsidTr="008862C7">
        <w:trPr>
          <w:trHeight w:val="270"/>
        </w:trPr>
        <w:tc>
          <w:tcPr>
            <w:tcW w:w="2586" w:type="pct"/>
            <w:tcBorders>
              <w:top w:val="single" w:sz="4" w:space="0" w:color="auto"/>
              <w:left w:val="single" w:sz="4" w:space="0" w:color="auto"/>
              <w:bottom w:val="single" w:sz="4" w:space="0" w:color="auto"/>
              <w:right w:val="single" w:sz="4" w:space="0" w:color="auto"/>
            </w:tcBorders>
            <w:hideMark/>
          </w:tcPr>
          <w:p w14:paraId="1DD29EFF"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lang w:val="en-US"/>
              </w:rPr>
            </w:pPr>
            <w:r>
              <w:rPr>
                <w:rFonts w:ascii="Arial" w:hAnsi="Arial" w:cs="Arial"/>
                <w:sz w:val="20"/>
                <w:szCs w:val="20"/>
                <w:lang w:val="en-US"/>
              </w:rPr>
              <w:t>R</w:t>
            </w:r>
            <w:r>
              <w:rPr>
                <w:rFonts w:ascii="Arial" w:hAnsi="Arial" w:cs="Arial"/>
                <w:sz w:val="20"/>
                <w:szCs w:val="20"/>
                <w:vertAlign w:val="superscript"/>
                <w:lang w:val="en-US"/>
              </w:rPr>
              <w:t>2</w:t>
            </w:r>
            <w:r>
              <w:rPr>
                <w:rFonts w:ascii="Arial" w:hAnsi="Arial" w:cs="Arial"/>
                <w:sz w:val="20"/>
                <w:szCs w:val="20"/>
                <w:lang w:val="en-US"/>
              </w:rPr>
              <w:t>(within)</w:t>
            </w:r>
          </w:p>
        </w:tc>
        <w:tc>
          <w:tcPr>
            <w:tcW w:w="1163" w:type="pct"/>
            <w:tcBorders>
              <w:top w:val="single" w:sz="4" w:space="0" w:color="auto"/>
              <w:left w:val="single" w:sz="4" w:space="0" w:color="auto"/>
              <w:bottom w:val="single" w:sz="4" w:space="0" w:color="auto"/>
              <w:right w:val="single" w:sz="4" w:space="0" w:color="auto"/>
            </w:tcBorders>
            <w:hideMark/>
          </w:tcPr>
          <w:p w14:paraId="342A5E33"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sz w:val="20"/>
                <w:szCs w:val="20"/>
                <w:lang w:val="en-US"/>
              </w:rPr>
              <w:t>0.612</w:t>
            </w:r>
          </w:p>
        </w:tc>
        <w:tc>
          <w:tcPr>
            <w:tcW w:w="1250" w:type="pct"/>
            <w:tcBorders>
              <w:top w:val="single" w:sz="4" w:space="0" w:color="auto"/>
              <w:left w:val="single" w:sz="4" w:space="0" w:color="auto"/>
              <w:bottom w:val="single" w:sz="4" w:space="0" w:color="auto"/>
              <w:right w:val="single" w:sz="4" w:space="0" w:color="auto"/>
            </w:tcBorders>
          </w:tcPr>
          <w:p w14:paraId="586CA1E4"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p>
        </w:tc>
      </w:tr>
      <w:tr w:rsidR="008862C7" w14:paraId="435A881E" w14:textId="77777777" w:rsidTr="008862C7">
        <w:trPr>
          <w:trHeight w:val="255"/>
        </w:trPr>
        <w:tc>
          <w:tcPr>
            <w:tcW w:w="2586" w:type="pct"/>
            <w:tcBorders>
              <w:top w:val="single" w:sz="4" w:space="0" w:color="auto"/>
              <w:left w:val="single" w:sz="4" w:space="0" w:color="auto"/>
              <w:bottom w:val="single" w:sz="4" w:space="0" w:color="auto"/>
              <w:right w:val="single" w:sz="4" w:space="0" w:color="auto"/>
            </w:tcBorders>
          </w:tcPr>
          <w:p w14:paraId="39895A4A"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lang w:val="en-US"/>
              </w:rPr>
            </w:pPr>
          </w:p>
        </w:tc>
        <w:tc>
          <w:tcPr>
            <w:tcW w:w="1163" w:type="pct"/>
            <w:tcBorders>
              <w:top w:val="single" w:sz="4" w:space="0" w:color="auto"/>
              <w:left w:val="single" w:sz="4" w:space="0" w:color="auto"/>
              <w:bottom w:val="single" w:sz="4" w:space="0" w:color="auto"/>
              <w:right w:val="single" w:sz="4" w:space="0" w:color="auto"/>
            </w:tcBorders>
            <w:hideMark/>
          </w:tcPr>
          <w:p w14:paraId="65598ABE"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b/>
                <w:sz w:val="20"/>
                <w:szCs w:val="20"/>
                <w:u w:val="single"/>
                <w:lang w:val="en-US"/>
              </w:rPr>
              <w:t>Statistiques</w:t>
            </w:r>
          </w:p>
        </w:tc>
        <w:tc>
          <w:tcPr>
            <w:tcW w:w="1250" w:type="pct"/>
            <w:tcBorders>
              <w:top w:val="single" w:sz="4" w:space="0" w:color="auto"/>
              <w:left w:val="single" w:sz="4" w:space="0" w:color="auto"/>
              <w:bottom w:val="single" w:sz="4" w:space="0" w:color="auto"/>
              <w:right w:val="single" w:sz="4" w:space="0" w:color="auto"/>
            </w:tcBorders>
            <w:hideMark/>
          </w:tcPr>
          <w:p w14:paraId="372C8E44" w14:textId="77777777" w:rsidR="008862C7" w:rsidRDefault="008862C7">
            <w:pPr>
              <w:tabs>
                <w:tab w:val="left" w:pos="708"/>
              </w:tabs>
              <w:autoSpaceDE w:val="0"/>
              <w:autoSpaceDN w:val="0"/>
              <w:adjustRightInd w:val="0"/>
              <w:spacing w:before="120" w:after="0" w:line="276" w:lineRule="auto"/>
              <w:ind w:left="76"/>
              <w:jc w:val="center"/>
              <w:rPr>
                <w:rFonts w:ascii="Arial" w:eastAsia="Times New Roman" w:hAnsi="Arial" w:cs="Arial"/>
                <w:b/>
                <w:sz w:val="20"/>
                <w:szCs w:val="20"/>
                <w:u w:val="single"/>
                <w:lang w:val="en-US"/>
              </w:rPr>
            </w:pPr>
            <w:r>
              <w:rPr>
                <w:rFonts w:ascii="Arial" w:hAnsi="Arial" w:cs="Arial"/>
                <w:b/>
                <w:sz w:val="20"/>
                <w:szCs w:val="20"/>
                <w:u w:val="single"/>
                <w:lang w:val="en-US"/>
              </w:rPr>
              <w:t>p-value</w:t>
            </w:r>
          </w:p>
        </w:tc>
      </w:tr>
      <w:tr w:rsidR="008862C7" w14:paraId="01F721E5" w14:textId="77777777" w:rsidTr="008862C7">
        <w:trPr>
          <w:trHeight w:val="317"/>
        </w:trPr>
        <w:tc>
          <w:tcPr>
            <w:tcW w:w="2586" w:type="pct"/>
            <w:tcBorders>
              <w:top w:val="single" w:sz="4" w:space="0" w:color="auto"/>
              <w:left w:val="single" w:sz="4" w:space="0" w:color="auto"/>
              <w:bottom w:val="single" w:sz="4" w:space="0" w:color="auto"/>
              <w:right w:val="single" w:sz="4" w:space="0" w:color="auto"/>
            </w:tcBorders>
            <w:hideMark/>
          </w:tcPr>
          <w:p w14:paraId="0324B055"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vertAlign w:val="superscript"/>
                <w:lang w:val="en-US"/>
              </w:rPr>
            </w:pPr>
            <w:r>
              <w:rPr>
                <w:rFonts w:ascii="Arial" w:hAnsi="Arial" w:cs="Arial"/>
                <w:sz w:val="20"/>
                <w:szCs w:val="20"/>
                <w:lang w:val="en-US"/>
              </w:rPr>
              <w:t>F(7.870)</w:t>
            </w:r>
          </w:p>
        </w:tc>
        <w:tc>
          <w:tcPr>
            <w:tcW w:w="1163" w:type="pct"/>
            <w:tcBorders>
              <w:top w:val="single" w:sz="4" w:space="0" w:color="auto"/>
              <w:left w:val="single" w:sz="4" w:space="0" w:color="auto"/>
              <w:bottom w:val="single" w:sz="4" w:space="0" w:color="auto"/>
              <w:right w:val="single" w:sz="4" w:space="0" w:color="auto"/>
            </w:tcBorders>
            <w:hideMark/>
          </w:tcPr>
          <w:p w14:paraId="318D60A8"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b/>
                <w:sz w:val="20"/>
                <w:szCs w:val="20"/>
                <w:u w:val="single"/>
                <w:lang w:val="en-US"/>
              </w:rPr>
            </w:pPr>
            <w:r>
              <w:rPr>
                <w:rFonts w:ascii="Arial" w:hAnsi="Arial" w:cs="Arial"/>
                <w:sz w:val="20"/>
                <w:szCs w:val="20"/>
                <w:lang w:val="en-US"/>
              </w:rPr>
              <w:t>97.2</w:t>
            </w:r>
          </w:p>
        </w:tc>
        <w:tc>
          <w:tcPr>
            <w:tcW w:w="1250" w:type="pct"/>
            <w:tcBorders>
              <w:top w:val="single" w:sz="4" w:space="0" w:color="auto"/>
              <w:left w:val="single" w:sz="4" w:space="0" w:color="auto"/>
              <w:bottom w:val="single" w:sz="4" w:space="0" w:color="auto"/>
              <w:right w:val="single" w:sz="4" w:space="0" w:color="auto"/>
            </w:tcBorders>
            <w:hideMark/>
          </w:tcPr>
          <w:p w14:paraId="17C1D438" w14:textId="77777777" w:rsidR="008862C7" w:rsidRDefault="008862C7">
            <w:pPr>
              <w:tabs>
                <w:tab w:val="left" w:pos="708"/>
              </w:tabs>
              <w:autoSpaceDE w:val="0"/>
              <w:autoSpaceDN w:val="0"/>
              <w:adjustRightInd w:val="0"/>
              <w:spacing w:before="120" w:after="0" w:line="276" w:lineRule="auto"/>
              <w:ind w:left="76"/>
              <w:jc w:val="center"/>
              <w:rPr>
                <w:rFonts w:ascii="Arial" w:eastAsia="Times New Roman" w:hAnsi="Arial" w:cs="Arial"/>
                <w:b/>
                <w:sz w:val="20"/>
                <w:szCs w:val="20"/>
                <w:u w:val="single"/>
                <w:lang w:val="en-US"/>
              </w:rPr>
            </w:pPr>
            <w:r>
              <w:rPr>
                <w:rFonts w:ascii="Arial" w:hAnsi="Arial" w:cs="Arial"/>
                <w:sz w:val="20"/>
                <w:szCs w:val="20"/>
                <w:lang w:val="en-US"/>
              </w:rPr>
              <w:t>0.0000</w:t>
            </w:r>
          </w:p>
        </w:tc>
      </w:tr>
      <w:tr w:rsidR="008862C7" w14:paraId="56D9E6D7" w14:textId="77777777" w:rsidTr="008862C7">
        <w:trPr>
          <w:trHeight w:val="248"/>
        </w:trPr>
        <w:tc>
          <w:tcPr>
            <w:tcW w:w="2586" w:type="pct"/>
            <w:tcBorders>
              <w:top w:val="single" w:sz="4" w:space="0" w:color="auto"/>
              <w:left w:val="single" w:sz="4" w:space="0" w:color="auto"/>
              <w:bottom w:val="single" w:sz="4" w:space="0" w:color="auto"/>
              <w:right w:val="single" w:sz="4" w:space="0" w:color="auto"/>
            </w:tcBorders>
            <w:hideMark/>
          </w:tcPr>
          <w:p w14:paraId="00DBEE7D"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lang w:val="en-US"/>
              </w:rPr>
            </w:pPr>
            <w:r>
              <w:rPr>
                <w:rFonts w:ascii="Arial" w:hAnsi="Arial" w:cs="Arial"/>
                <w:sz w:val="20"/>
                <w:szCs w:val="20"/>
                <w:lang w:val="en-US"/>
              </w:rPr>
              <w:t>Test de Hausman</w:t>
            </w:r>
          </w:p>
        </w:tc>
        <w:tc>
          <w:tcPr>
            <w:tcW w:w="1163" w:type="pct"/>
            <w:tcBorders>
              <w:top w:val="single" w:sz="4" w:space="0" w:color="auto"/>
              <w:left w:val="single" w:sz="4" w:space="0" w:color="auto"/>
              <w:bottom w:val="single" w:sz="4" w:space="0" w:color="auto"/>
              <w:right w:val="single" w:sz="4" w:space="0" w:color="auto"/>
            </w:tcBorders>
            <w:hideMark/>
          </w:tcPr>
          <w:p w14:paraId="1058EFE8"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sz w:val="20"/>
                <w:szCs w:val="20"/>
                <w:lang w:val="en-US"/>
              </w:rPr>
              <w:t>23.42</w:t>
            </w:r>
          </w:p>
        </w:tc>
        <w:tc>
          <w:tcPr>
            <w:tcW w:w="1250" w:type="pct"/>
            <w:tcBorders>
              <w:top w:val="single" w:sz="4" w:space="0" w:color="auto"/>
              <w:left w:val="single" w:sz="4" w:space="0" w:color="auto"/>
              <w:bottom w:val="single" w:sz="4" w:space="0" w:color="auto"/>
              <w:right w:val="single" w:sz="4" w:space="0" w:color="auto"/>
            </w:tcBorders>
            <w:hideMark/>
          </w:tcPr>
          <w:p w14:paraId="3EF84E20" w14:textId="77777777" w:rsidR="008862C7" w:rsidRDefault="008862C7">
            <w:pPr>
              <w:tabs>
                <w:tab w:val="left" w:pos="708"/>
              </w:tabs>
              <w:autoSpaceDE w:val="0"/>
              <w:autoSpaceDN w:val="0"/>
              <w:adjustRightInd w:val="0"/>
              <w:spacing w:before="120" w:after="0" w:line="276" w:lineRule="auto"/>
              <w:ind w:left="76"/>
              <w:jc w:val="center"/>
              <w:rPr>
                <w:rFonts w:ascii="Arial" w:eastAsia="Times New Roman" w:hAnsi="Arial" w:cs="Arial"/>
                <w:sz w:val="20"/>
                <w:szCs w:val="20"/>
                <w:lang w:val="en-US"/>
              </w:rPr>
            </w:pPr>
            <w:r>
              <w:rPr>
                <w:rFonts w:ascii="Arial" w:hAnsi="Arial" w:cs="Arial"/>
                <w:sz w:val="20"/>
                <w:szCs w:val="20"/>
                <w:lang w:val="en-US"/>
              </w:rPr>
              <w:t>0.0000</w:t>
            </w:r>
          </w:p>
        </w:tc>
      </w:tr>
      <w:tr w:rsidR="008862C7" w14:paraId="4F3B0B0C" w14:textId="77777777" w:rsidTr="008862C7">
        <w:trPr>
          <w:trHeight w:val="300"/>
        </w:trPr>
        <w:tc>
          <w:tcPr>
            <w:tcW w:w="2586" w:type="pct"/>
            <w:tcBorders>
              <w:top w:val="single" w:sz="4" w:space="0" w:color="auto"/>
              <w:left w:val="single" w:sz="4" w:space="0" w:color="auto"/>
              <w:bottom w:val="single" w:sz="4" w:space="0" w:color="auto"/>
              <w:right w:val="single" w:sz="4" w:space="0" w:color="auto"/>
            </w:tcBorders>
            <w:hideMark/>
          </w:tcPr>
          <w:p w14:paraId="0079A186"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lang w:val="en-US"/>
              </w:rPr>
            </w:pPr>
            <w:r>
              <w:rPr>
                <w:rFonts w:ascii="Arial" w:hAnsi="Arial" w:cs="Arial"/>
                <w:sz w:val="20"/>
                <w:szCs w:val="20"/>
                <w:lang w:val="en-US"/>
              </w:rPr>
              <w:t>Test de Wooldridge d’auto-crorélation d’ordre 1</w:t>
            </w:r>
          </w:p>
        </w:tc>
        <w:tc>
          <w:tcPr>
            <w:tcW w:w="1163" w:type="pct"/>
            <w:tcBorders>
              <w:top w:val="single" w:sz="4" w:space="0" w:color="auto"/>
              <w:left w:val="single" w:sz="4" w:space="0" w:color="auto"/>
              <w:bottom w:val="single" w:sz="4" w:space="0" w:color="auto"/>
              <w:right w:val="single" w:sz="4" w:space="0" w:color="auto"/>
            </w:tcBorders>
            <w:hideMark/>
          </w:tcPr>
          <w:p w14:paraId="553635DE"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sz w:val="20"/>
                <w:szCs w:val="20"/>
                <w:lang w:val="en-US"/>
              </w:rPr>
              <w:t>5.095</w:t>
            </w:r>
          </w:p>
        </w:tc>
        <w:tc>
          <w:tcPr>
            <w:tcW w:w="1250" w:type="pct"/>
            <w:tcBorders>
              <w:top w:val="single" w:sz="4" w:space="0" w:color="auto"/>
              <w:left w:val="single" w:sz="4" w:space="0" w:color="auto"/>
              <w:bottom w:val="single" w:sz="4" w:space="0" w:color="auto"/>
              <w:right w:val="single" w:sz="4" w:space="0" w:color="auto"/>
            </w:tcBorders>
            <w:hideMark/>
          </w:tcPr>
          <w:p w14:paraId="1BBD7B97" w14:textId="77777777" w:rsidR="008862C7" w:rsidRDefault="008862C7">
            <w:pPr>
              <w:tabs>
                <w:tab w:val="left" w:pos="708"/>
              </w:tabs>
              <w:autoSpaceDE w:val="0"/>
              <w:autoSpaceDN w:val="0"/>
              <w:adjustRightInd w:val="0"/>
              <w:spacing w:before="120" w:after="0" w:line="276" w:lineRule="auto"/>
              <w:ind w:left="126"/>
              <w:rPr>
                <w:rFonts w:ascii="Arial" w:eastAsia="Times New Roman" w:hAnsi="Arial" w:cs="Arial"/>
                <w:sz w:val="20"/>
                <w:szCs w:val="20"/>
                <w:lang w:val="en-US"/>
              </w:rPr>
            </w:pPr>
            <w:r>
              <w:rPr>
                <w:rFonts w:ascii="Arial" w:hAnsi="Arial" w:cs="Arial"/>
                <w:sz w:val="20"/>
                <w:szCs w:val="20"/>
                <w:lang w:val="en-US"/>
              </w:rPr>
              <w:t xml:space="preserve">            0.0040</w:t>
            </w:r>
          </w:p>
        </w:tc>
      </w:tr>
      <w:tr w:rsidR="008862C7" w14:paraId="45AFE119" w14:textId="77777777" w:rsidTr="008862C7">
        <w:trPr>
          <w:trHeight w:val="270"/>
        </w:trPr>
        <w:tc>
          <w:tcPr>
            <w:tcW w:w="2586" w:type="pct"/>
            <w:tcBorders>
              <w:top w:val="single" w:sz="4" w:space="0" w:color="auto"/>
              <w:left w:val="single" w:sz="4" w:space="0" w:color="auto"/>
              <w:bottom w:val="single" w:sz="4" w:space="0" w:color="auto"/>
              <w:right w:val="single" w:sz="4" w:space="0" w:color="auto"/>
            </w:tcBorders>
            <w:hideMark/>
          </w:tcPr>
          <w:p w14:paraId="2723B83B" w14:textId="77777777" w:rsidR="008862C7" w:rsidRDefault="008862C7">
            <w:pPr>
              <w:tabs>
                <w:tab w:val="left" w:pos="708"/>
              </w:tabs>
              <w:autoSpaceDE w:val="0"/>
              <w:autoSpaceDN w:val="0"/>
              <w:adjustRightInd w:val="0"/>
              <w:spacing w:before="120" w:after="0" w:line="276" w:lineRule="auto"/>
              <w:rPr>
                <w:rFonts w:ascii="Arial" w:eastAsia="Times New Roman" w:hAnsi="Arial" w:cs="Arial"/>
                <w:sz w:val="20"/>
                <w:szCs w:val="20"/>
                <w:lang w:val="en-US"/>
              </w:rPr>
            </w:pPr>
            <w:r>
              <w:rPr>
                <w:rFonts w:ascii="Arial" w:hAnsi="Arial" w:cs="Arial"/>
                <w:sz w:val="20"/>
                <w:szCs w:val="20"/>
                <w:lang w:val="en-US"/>
              </w:rPr>
              <w:t>Test d’hétéroscédasticité</w:t>
            </w:r>
          </w:p>
        </w:tc>
        <w:tc>
          <w:tcPr>
            <w:tcW w:w="1163" w:type="pct"/>
            <w:tcBorders>
              <w:top w:val="single" w:sz="4" w:space="0" w:color="auto"/>
              <w:left w:val="single" w:sz="4" w:space="0" w:color="auto"/>
              <w:bottom w:val="single" w:sz="4" w:space="0" w:color="auto"/>
              <w:right w:val="single" w:sz="4" w:space="0" w:color="auto"/>
            </w:tcBorders>
            <w:hideMark/>
          </w:tcPr>
          <w:p w14:paraId="205F865A"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sz w:val="20"/>
                <w:szCs w:val="20"/>
                <w:lang w:val="en-US"/>
              </w:rPr>
              <w:t>3978.03</w:t>
            </w:r>
          </w:p>
        </w:tc>
        <w:tc>
          <w:tcPr>
            <w:tcW w:w="1250" w:type="pct"/>
            <w:tcBorders>
              <w:top w:val="single" w:sz="4" w:space="0" w:color="auto"/>
              <w:left w:val="single" w:sz="4" w:space="0" w:color="auto"/>
              <w:bottom w:val="single" w:sz="4" w:space="0" w:color="auto"/>
              <w:right w:val="single" w:sz="4" w:space="0" w:color="auto"/>
            </w:tcBorders>
            <w:hideMark/>
          </w:tcPr>
          <w:p w14:paraId="0BB1F926" w14:textId="77777777" w:rsidR="008862C7" w:rsidRDefault="008862C7">
            <w:pPr>
              <w:tabs>
                <w:tab w:val="left" w:pos="708"/>
              </w:tabs>
              <w:autoSpaceDE w:val="0"/>
              <w:autoSpaceDN w:val="0"/>
              <w:adjustRightInd w:val="0"/>
              <w:spacing w:before="120" w:after="0" w:line="276" w:lineRule="auto"/>
              <w:jc w:val="center"/>
              <w:rPr>
                <w:rFonts w:ascii="Arial" w:eastAsia="Times New Roman" w:hAnsi="Arial" w:cs="Arial"/>
                <w:sz w:val="20"/>
                <w:szCs w:val="20"/>
                <w:lang w:val="en-US"/>
              </w:rPr>
            </w:pPr>
            <w:r>
              <w:rPr>
                <w:rFonts w:ascii="Arial" w:hAnsi="Arial" w:cs="Arial"/>
                <w:sz w:val="20"/>
                <w:szCs w:val="20"/>
                <w:lang w:val="en-US"/>
              </w:rPr>
              <w:t>0.0000</w:t>
            </w:r>
          </w:p>
        </w:tc>
      </w:tr>
    </w:tbl>
    <w:p w14:paraId="075B6210" w14:textId="77777777" w:rsidR="008862C7" w:rsidRDefault="008862C7" w:rsidP="008862C7">
      <w:pPr>
        <w:widowControl w:val="0"/>
        <w:autoSpaceDE w:val="0"/>
        <w:autoSpaceDN w:val="0"/>
        <w:adjustRightInd w:val="0"/>
        <w:spacing w:before="120" w:line="232" w:lineRule="exact"/>
        <w:rPr>
          <w:rFonts w:ascii="Arial" w:eastAsia="Times New Roman" w:hAnsi="Arial" w:cs="Arial"/>
          <w:sz w:val="20"/>
          <w:szCs w:val="20"/>
        </w:rPr>
      </w:pPr>
      <w:r>
        <w:rPr>
          <w:rFonts w:ascii="Arial" w:hAnsi="Arial" w:cs="Arial"/>
          <w:spacing w:val="1"/>
          <w:sz w:val="20"/>
          <w:szCs w:val="20"/>
          <w:u w:val="single"/>
        </w:rPr>
        <w:t>No</w:t>
      </w:r>
      <w:r>
        <w:rPr>
          <w:rFonts w:ascii="Arial" w:hAnsi="Arial" w:cs="Arial"/>
          <w:spacing w:val="-1"/>
          <w:sz w:val="20"/>
          <w:szCs w:val="20"/>
          <w:u w:val="single"/>
        </w:rPr>
        <w:t>t</w:t>
      </w:r>
      <w:r>
        <w:rPr>
          <w:rFonts w:ascii="Arial" w:hAnsi="Arial" w:cs="Arial"/>
          <w:sz w:val="20"/>
          <w:szCs w:val="20"/>
          <w:u w:val="single"/>
        </w:rPr>
        <w:t>e</w:t>
      </w:r>
      <w:r>
        <w:rPr>
          <w:rFonts w:ascii="Arial" w:hAnsi="Arial" w:cs="Arial"/>
          <w:spacing w:val="-3"/>
          <w:sz w:val="20"/>
          <w:szCs w:val="20"/>
        </w:rPr>
        <w:t xml:space="preserve"> </w:t>
      </w:r>
      <w:r>
        <w:rPr>
          <w:rFonts w:ascii="Arial" w:hAnsi="Arial" w:cs="Arial"/>
          <w:sz w:val="20"/>
          <w:szCs w:val="20"/>
        </w:rPr>
        <w:t>:</w:t>
      </w:r>
      <w:r>
        <w:rPr>
          <w:rFonts w:ascii="Arial" w:hAnsi="Arial" w:cs="Arial"/>
          <w:spacing w:val="-1"/>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ica</w:t>
      </w:r>
      <w:r>
        <w:rPr>
          <w:rFonts w:ascii="Arial" w:hAnsi="Arial" w:cs="Arial"/>
          <w:spacing w:val="-1"/>
          <w:sz w:val="20"/>
          <w:szCs w:val="20"/>
        </w:rPr>
        <w:t>t</w:t>
      </w:r>
      <w:r>
        <w:rPr>
          <w:rFonts w:ascii="Arial" w:hAnsi="Arial" w:cs="Arial"/>
          <w:sz w:val="20"/>
          <w:szCs w:val="20"/>
        </w:rPr>
        <w:t>if</w:t>
      </w:r>
      <w:r>
        <w:rPr>
          <w:rFonts w:ascii="Arial" w:hAnsi="Arial" w:cs="Arial"/>
          <w:spacing w:val="-9"/>
          <w:sz w:val="20"/>
          <w:szCs w:val="20"/>
        </w:rPr>
        <w:t xml:space="preserve"> </w:t>
      </w:r>
      <w:r>
        <w:rPr>
          <w:rFonts w:ascii="Arial" w:hAnsi="Arial" w:cs="Arial"/>
          <w:sz w:val="20"/>
          <w:szCs w:val="20"/>
        </w:rPr>
        <w:t>au</w:t>
      </w:r>
      <w:r>
        <w:rPr>
          <w:rFonts w:ascii="Arial" w:hAnsi="Arial" w:cs="Arial"/>
          <w:spacing w:val="1"/>
          <w:sz w:val="20"/>
          <w:szCs w:val="20"/>
        </w:rPr>
        <w:t xml:space="preserve"> seu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 xml:space="preserve"> 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t</w:t>
      </w:r>
      <w:r>
        <w:rPr>
          <w:rFonts w:ascii="Arial" w:hAnsi="Arial" w:cs="Arial"/>
          <w:sz w:val="20"/>
          <w:szCs w:val="20"/>
        </w:rPr>
        <w:t>if</w:t>
      </w:r>
      <w:r>
        <w:rPr>
          <w:rFonts w:ascii="Arial" w:hAnsi="Arial" w:cs="Arial"/>
          <w:spacing w:val="-7"/>
          <w:sz w:val="20"/>
          <w:szCs w:val="20"/>
        </w:rPr>
        <w:t xml:space="preserve"> </w:t>
      </w:r>
      <w:r>
        <w:rPr>
          <w:rFonts w:ascii="Arial" w:hAnsi="Arial" w:cs="Arial"/>
          <w:sz w:val="20"/>
          <w:szCs w:val="20"/>
        </w:rPr>
        <w:t>au</w:t>
      </w:r>
      <w:r>
        <w:rPr>
          <w:rFonts w:ascii="Arial" w:hAnsi="Arial" w:cs="Arial"/>
          <w:spacing w:val="-1"/>
          <w:sz w:val="20"/>
          <w:szCs w:val="20"/>
        </w:rPr>
        <w:t xml:space="preserve"> s</w:t>
      </w:r>
      <w:r>
        <w:rPr>
          <w:rFonts w:ascii="Arial" w:hAnsi="Arial" w:cs="Arial"/>
          <w:spacing w:val="1"/>
          <w:sz w:val="20"/>
          <w:szCs w:val="20"/>
        </w:rPr>
        <w:t>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5%</w:t>
      </w:r>
    </w:p>
    <w:p w14:paraId="57CDBB74" w14:textId="77777777" w:rsidR="008862C7" w:rsidRDefault="008862C7" w:rsidP="008862C7">
      <w:pPr>
        <w:autoSpaceDE w:val="0"/>
        <w:autoSpaceDN w:val="0"/>
        <w:adjustRightInd w:val="0"/>
        <w:spacing w:line="360" w:lineRule="auto"/>
        <w:jc w:val="both"/>
        <w:rPr>
          <w:rFonts w:ascii="Arial" w:hAnsi="Arial" w:cs="Arial"/>
          <w:sz w:val="24"/>
          <w:szCs w:val="24"/>
        </w:rPr>
      </w:pPr>
      <w:r>
        <w:rPr>
          <w:rFonts w:ascii="Arial" w:hAnsi="Arial" w:cs="Arial"/>
          <w:sz w:val="24"/>
          <w:szCs w:val="24"/>
        </w:rPr>
        <w:t>Le test sur panel relatif aux modèles à effets fixes permet de rejeter pour un niveau de significativité fixé à 5% l’hypothèse d’absence d’auto-corrélation d’ordre 1. En effet le test d’auto-corrélation de Woodbridge (2002) pose comme H=0 l’absence d’auto-corrélation d’ordre 1 des résidus. Ainsi si l’hypothèse nulle est rejetée, cela implique que les erreurs sont auto-corrélées à l’ordre 1. Ce test exécuté  donne la statistique F(1,37) = 5.095 avec Prob &gt; F = 0.0040,  Le test d’hétéroscédasticité des effets fixes de  Breusch Pagan conduit à une statistique de test égale à 3978.03 avec une p-value nulle. On conclut alors que  la variance des erreurs n’est pas constante pour tous les individus ; il y a donc présence d’hétéroscédasticité intra individus.</w:t>
      </w:r>
    </w:p>
    <w:p w14:paraId="0A9D4176" w14:textId="77777777" w:rsidR="008862C7" w:rsidRDefault="008862C7" w:rsidP="008862C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 ce fait, il est donc nécessaire de procéder à la correction de l’auto-corrélation d’ordre 1 des résidus et de l’hétéroscédasticité en panel sous le Modèle MCG, (Méthode des Moindres Carrés Généralisés). La correction permet d’obtenir les résultats de l’auto-corrélation et de l’hétéroscédasticité commune à tous les pays présentés dans le tableau. </w:t>
      </w:r>
    </w:p>
    <w:p w14:paraId="4DE50A0F" w14:textId="77777777" w:rsidR="008862C7" w:rsidRDefault="008862C7" w:rsidP="008862C7">
      <w:pPr>
        <w:widowControl w:val="0"/>
        <w:autoSpaceDE w:val="0"/>
        <w:autoSpaceDN w:val="0"/>
        <w:adjustRightInd w:val="0"/>
        <w:spacing w:before="120" w:after="0" w:line="360" w:lineRule="auto"/>
        <w:jc w:val="both"/>
        <w:rPr>
          <w:rFonts w:ascii="Arial" w:hAnsi="Arial" w:cs="Arial"/>
          <w:sz w:val="24"/>
          <w:szCs w:val="24"/>
        </w:rPr>
      </w:pPr>
      <w:r>
        <w:rPr>
          <w:rFonts w:ascii="Arial" w:hAnsi="Arial" w:cs="Arial"/>
          <w:b/>
          <w:spacing w:val="1"/>
          <w:sz w:val="24"/>
          <w:szCs w:val="24"/>
        </w:rPr>
        <w:lastRenderedPageBreak/>
        <w:t>Tabl</w:t>
      </w:r>
      <w:r>
        <w:rPr>
          <w:rFonts w:ascii="Arial" w:hAnsi="Arial" w:cs="Arial"/>
          <w:b/>
          <w:spacing w:val="-2"/>
          <w:sz w:val="24"/>
          <w:szCs w:val="24"/>
        </w:rPr>
        <w:t>e</w:t>
      </w:r>
      <w:r>
        <w:rPr>
          <w:rFonts w:ascii="Arial" w:hAnsi="Arial" w:cs="Arial"/>
          <w:b/>
          <w:spacing w:val="1"/>
          <w:sz w:val="24"/>
          <w:szCs w:val="24"/>
        </w:rPr>
        <w:t>a</w:t>
      </w:r>
      <w:r>
        <w:rPr>
          <w:rFonts w:ascii="Arial" w:hAnsi="Arial" w:cs="Arial"/>
          <w:b/>
          <w:sz w:val="24"/>
          <w:szCs w:val="24"/>
        </w:rPr>
        <w:t>u</w:t>
      </w:r>
      <w:r>
        <w:rPr>
          <w:rFonts w:ascii="Arial" w:hAnsi="Arial" w:cs="Arial"/>
          <w:b/>
          <w:spacing w:val="-4"/>
          <w:sz w:val="24"/>
          <w:szCs w:val="24"/>
        </w:rPr>
        <w:t xml:space="preserve"> </w:t>
      </w:r>
      <w:r>
        <w:rPr>
          <w:rFonts w:ascii="Arial" w:hAnsi="Arial" w:cs="Arial"/>
          <w:b/>
          <w:spacing w:val="1"/>
          <w:sz w:val="24"/>
          <w:szCs w:val="24"/>
        </w:rPr>
        <w:t>4</w:t>
      </w:r>
      <w:r>
        <w:rPr>
          <w:rFonts w:ascii="Arial" w:hAnsi="Arial" w:cs="Arial"/>
          <w:b/>
          <w:spacing w:val="-2"/>
          <w:sz w:val="24"/>
          <w:szCs w:val="24"/>
        </w:rPr>
        <w:t>.</w:t>
      </w:r>
      <w:r>
        <w:rPr>
          <w:rFonts w:ascii="Arial" w:hAnsi="Arial" w:cs="Arial"/>
          <w:b/>
          <w:spacing w:val="1"/>
          <w:sz w:val="24"/>
          <w:szCs w:val="24"/>
        </w:rPr>
        <w:t>10</w:t>
      </w:r>
      <w:r>
        <w:rPr>
          <w:rFonts w:ascii="Arial" w:hAnsi="Arial" w:cs="Arial"/>
          <w:b/>
          <w:sz w:val="24"/>
          <w:szCs w:val="24"/>
        </w:rPr>
        <w:t>:</w:t>
      </w:r>
      <w:r>
        <w:rPr>
          <w:rFonts w:ascii="Arial" w:hAnsi="Arial" w:cs="Arial"/>
          <w:sz w:val="24"/>
          <w:szCs w:val="24"/>
        </w:rPr>
        <w:t xml:space="preserve"> Co</w:t>
      </w:r>
      <w:r>
        <w:rPr>
          <w:rFonts w:ascii="Arial" w:hAnsi="Arial" w:cs="Arial"/>
          <w:spacing w:val="-1"/>
          <w:sz w:val="24"/>
          <w:szCs w:val="24"/>
        </w:rPr>
        <w:t>rr</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ut</w:t>
      </w:r>
      <w:r>
        <w:rPr>
          <w:rFonts w:ascii="Arial" w:hAnsi="Arial" w:cs="Arial"/>
          <w:spacing w:val="2"/>
          <w:sz w:val="24"/>
          <w:szCs w:val="24"/>
        </w:rPr>
        <w:t>o</w:t>
      </w:r>
      <w:r>
        <w:rPr>
          <w:rFonts w:ascii="Arial" w:hAnsi="Arial" w:cs="Arial"/>
          <w:spacing w:val="-1"/>
          <w:sz w:val="24"/>
          <w:szCs w:val="24"/>
        </w:rPr>
        <w:t>-c</w:t>
      </w:r>
      <w:r>
        <w:rPr>
          <w:rFonts w:ascii="Arial" w:hAnsi="Arial" w:cs="Arial"/>
          <w:spacing w:val="2"/>
          <w:sz w:val="24"/>
          <w:szCs w:val="24"/>
        </w:rPr>
        <w:t>o</w:t>
      </w:r>
      <w:r>
        <w:rPr>
          <w:rFonts w:ascii="Arial" w:hAnsi="Arial" w:cs="Arial"/>
          <w:spacing w:val="-1"/>
          <w:sz w:val="24"/>
          <w:szCs w:val="24"/>
        </w:rPr>
        <w:t>rr</w:t>
      </w:r>
      <w:r>
        <w:rPr>
          <w:rFonts w:ascii="Arial" w:hAnsi="Arial" w:cs="Arial"/>
          <w:sz w:val="24"/>
          <w:szCs w:val="24"/>
        </w:rPr>
        <w:t>é</w:t>
      </w:r>
      <w:r>
        <w:rPr>
          <w:rFonts w:ascii="Arial" w:hAnsi="Arial" w:cs="Arial"/>
          <w:spacing w:val="1"/>
          <w:sz w:val="24"/>
          <w:szCs w:val="24"/>
        </w:rPr>
        <w:t>la</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11"/>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3"/>
          <w:sz w:val="24"/>
          <w:szCs w:val="24"/>
        </w:rPr>
        <w:t>m</w:t>
      </w:r>
      <w:r>
        <w:rPr>
          <w:rFonts w:ascii="Arial" w:hAnsi="Arial" w:cs="Arial"/>
          <w:sz w:val="24"/>
          <w:szCs w:val="24"/>
        </w:rPr>
        <w:t>une</w:t>
      </w:r>
      <w:r>
        <w:rPr>
          <w:rFonts w:ascii="Arial" w:hAnsi="Arial" w:cs="Arial"/>
          <w:spacing w:val="-6"/>
          <w:sz w:val="24"/>
          <w:szCs w:val="24"/>
        </w:rPr>
        <w:t xml:space="preserve"> </w:t>
      </w:r>
      <w:r>
        <w:rPr>
          <w:rFonts w:ascii="Arial" w:hAnsi="Arial" w:cs="Arial"/>
          <w:sz w:val="24"/>
          <w:szCs w:val="24"/>
        </w:rPr>
        <w:t>et</w:t>
      </w:r>
      <w:r>
        <w:rPr>
          <w:rFonts w:ascii="Arial" w:hAnsi="Arial" w:cs="Arial"/>
          <w:spacing w:val="-1"/>
          <w:sz w:val="24"/>
          <w:szCs w:val="24"/>
        </w:rPr>
        <w:t xml:space="preserve"> d’</w:t>
      </w:r>
      <w:r>
        <w:rPr>
          <w:rFonts w:ascii="Arial" w:hAnsi="Arial" w:cs="Arial"/>
          <w:sz w:val="24"/>
          <w:szCs w:val="24"/>
        </w:rPr>
        <w:t>hété</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sc</w:t>
      </w:r>
      <w:r>
        <w:rPr>
          <w:rFonts w:ascii="Arial" w:hAnsi="Arial" w:cs="Arial"/>
          <w:spacing w:val="2"/>
          <w:sz w:val="24"/>
          <w:szCs w:val="24"/>
        </w:rPr>
        <w:t>é</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té du modèle 1.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2987"/>
        <w:gridCol w:w="2764"/>
        <w:gridCol w:w="2235"/>
        <w:gridCol w:w="2372"/>
      </w:tblGrid>
      <w:tr w:rsidR="008862C7" w14:paraId="7CD05917" w14:textId="77777777" w:rsidTr="008862C7">
        <w:trPr>
          <w:cantSplit/>
          <w:trHeight w:hRule="exact" w:val="335"/>
          <w:jc w:val="center"/>
        </w:trPr>
        <w:tc>
          <w:tcPr>
            <w:tcW w:w="1442"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66BFB225"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position w:val="-1"/>
                <w:sz w:val="20"/>
                <w:szCs w:val="20"/>
              </w:rPr>
              <w:t>V</w:t>
            </w:r>
            <w:r>
              <w:rPr>
                <w:rFonts w:ascii="Arial" w:hAnsi="Arial" w:cs="Arial"/>
                <w:spacing w:val="1"/>
                <w:position w:val="-1"/>
                <w:sz w:val="20"/>
                <w:szCs w:val="20"/>
              </w:rPr>
              <w:t>a</w:t>
            </w:r>
            <w:r>
              <w:rPr>
                <w:rFonts w:ascii="Arial" w:hAnsi="Arial" w:cs="Arial"/>
                <w:spacing w:val="-1"/>
                <w:position w:val="-1"/>
                <w:sz w:val="20"/>
                <w:szCs w:val="20"/>
              </w:rPr>
              <w:t>r</w:t>
            </w:r>
            <w:r>
              <w:rPr>
                <w:rFonts w:ascii="Arial" w:hAnsi="Arial" w:cs="Arial"/>
                <w:spacing w:val="1"/>
                <w:position w:val="-1"/>
                <w:sz w:val="20"/>
                <w:szCs w:val="20"/>
              </w:rPr>
              <w:t>ia</w:t>
            </w:r>
            <w:r>
              <w:rPr>
                <w:rFonts w:ascii="Arial" w:hAnsi="Arial" w:cs="Arial"/>
                <w:spacing w:val="-1"/>
                <w:position w:val="-1"/>
                <w:sz w:val="20"/>
                <w:szCs w:val="20"/>
              </w:rPr>
              <w:t>b</w:t>
            </w:r>
            <w:r>
              <w:rPr>
                <w:rFonts w:ascii="Arial" w:hAnsi="Arial" w:cs="Arial"/>
                <w:spacing w:val="1"/>
                <w:position w:val="-1"/>
                <w:sz w:val="20"/>
                <w:szCs w:val="20"/>
              </w:rPr>
              <w:t>l</w:t>
            </w:r>
            <w:r>
              <w:rPr>
                <w:rFonts w:ascii="Arial" w:hAnsi="Arial" w:cs="Arial"/>
                <w:position w:val="-1"/>
                <w:sz w:val="20"/>
                <w:szCs w:val="20"/>
              </w:rPr>
              <w:t>es</w:t>
            </w:r>
            <w:r>
              <w:rPr>
                <w:rFonts w:ascii="Arial" w:hAnsi="Arial" w:cs="Arial"/>
                <w:spacing w:val="-7"/>
                <w:position w:val="-1"/>
                <w:sz w:val="20"/>
                <w:szCs w:val="20"/>
              </w:rPr>
              <w:t xml:space="preserve"> </w:t>
            </w:r>
            <w:r>
              <w:rPr>
                <w:rFonts w:ascii="Arial" w:hAnsi="Arial" w:cs="Arial"/>
                <w:position w:val="-1"/>
                <w:sz w:val="20"/>
                <w:szCs w:val="20"/>
              </w:rPr>
              <w:t>e</w:t>
            </w:r>
            <w:r>
              <w:rPr>
                <w:rFonts w:ascii="Arial" w:hAnsi="Arial" w:cs="Arial"/>
                <w:spacing w:val="1"/>
                <w:position w:val="-1"/>
                <w:sz w:val="20"/>
                <w:szCs w:val="20"/>
              </w:rPr>
              <w:t>x</w:t>
            </w:r>
            <w:r>
              <w:rPr>
                <w:rFonts w:ascii="Arial" w:hAnsi="Arial" w:cs="Arial"/>
                <w:spacing w:val="-1"/>
                <w:position w:val="-1"/>
                <w:sz w:val="20"/>
                <w:szCs w:val="20"/>
              </w:rPr>
              <w:t>p</w:t>
            </w:r>
            <w:r>
              <w:rPr>
                <w:rFonts w:ascii="Arial" w:hAnsi="Arial" w:cs="Arial"/>
                <w:spacing w:val="1"/>
                <w:position w:val="-1"/>
                <w:sz w:val="20"/>
                <w:szCs w:val="20"/>
              </w:rPr>
              <w:t>li</w:t>
            </w:r>
            <w:r>
              <w:rPr>
                <w:rFonts w:ascii="Arial" w:hAnsi="Arial" w:cs="Arial"/>
                <w:spacing w:val="-1"/>
                <w:position w:val="-1"/>
                <w:sz w:val="20"/>
                <w:szCs w:val="20"/>
              </w:rPr>
              <w:t>c</w:t>
            </w:r>
            <w:r>
              <w:rPr>
                <w:rFonts w:ascii="Arial" w:hAnsi="Arial" w:cs="Arial"/>
                <w:spacing w:val="1"/>
                <w:position w:val="-1"/>
                <w:sz w:val="20"/>
                <w:szCs w:val="20"/>
              </w:rPr>
              <w:t>a</w:t>
            </w:r>
            <w:r>
              <w:rPr>
                <w:rFonts w:ascii="Arial" w:hAnsi="Arial" w:cs="Arial"/>
                <w:spacing w:val="-2"/>
                <w:position w:val="-1"/>
                <w:sz w:val="20"/>
                <w:szCs w:val="20"/>
              </w:rPr>
              <w:t>t</w:t>
            </w:r>
            <w:r>
              <w:rPr>
                <w:rFonts w:ascii="Arial" w:hAnsi="Arial" w:cs="Arial"/>
                <w:spacing w:val="1"/>
                <w:position w:val="-1"/>
                <w:sz w:val="20"/>
                <w:szCs w:val="20"/>
              </w:rPr>
              <w:t>iv</w:t>
            </w:r>
            <w:r>
              <w:rPr>
                <w:rFonts w:ascii="Arial" w:hAnsi="Arial" w:cs="Arial"/>
                <w:position w:val="-1"/>
                <w:sz w:val="20"/>
                <w:szCs w:val="20"/>
              </w:rPr>
              <w:t>es</w:t>
            </w:r>
          </w:p>
        </w:tc>
        <w:tc>
          <w:tcPr>
            <w:tcW w:w="1334"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63222755"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z w:val="20"/>
                <w:szCs w:val="20"/>
              </w:rPr>
            </w:pPr>
            <w:r>
              <w:rPr>
                <w:rFonts w:ascii="Arial" w:hAnsi="Arial" w:cs="Arial"/>
                <w:position w:val="-1"/>
                <w:sz w:val="20"/>
                <w:szCs w:val="20"/>
              </w:rPr>
              <w:t>Coe</w:t>
            </w:r>
            <w:r>
              <w:rPr>
                <w:rFonts w:ascii="Arial" w:hAnsi="Arial" w:cs="Arial"/>
                <w:spacing w:val="-1"/>
                <w:position w:val="-1"/>
                <w:sz w:val="20"/>
                <w:szCs w:val="20"/>
              </w:rPr>
              <w:t>ff</w:t>
            </w:r>
            <w:r>
              <w:rPr>
                <w:rFonts w:ascii="Arial" w:hAnsi="Arial" w:cs="Arial"/>
                <w:spacing w:val="1"/>
                <w:position w:val="-1"/>
                <w:sz w:val="20"/>
                <w:szCs w:val="20"/>
              </w:rPr>
              <w:t>i</w:t>
            </w:r>
            <w:r>
              <w:rPr>
                <w:rFonts w:ascii="Arial" w:hAnsi="Arial" w:cs="Arial"/>
                <w:spacing w:val="-1"/>
                <w:position w:val="-1"/>
                <w:sz w:val="20"/>
                <w:szCs w:val="20"/>
              </w:rPr>
              <w:t>c</w:t>
            </w:r>
            <w:r>
              <w:rPr>
                <w:rFonts w:ascii="Arial" w:hAnsi="Arial" w:cs="Arial"/>
                <w:spacing w:val="1"/>
                <w:position w:val="-1"/>
                <w:sz w:val="20"/>
                <w:szCs w:val="20"/>
              </w:rPr>
              <w:t>i</w:t>
            </w:r>
            <w:r>
              <w:rPr>
                <w:rFonts w:ascii="Arial" w:hAnsi="Arial" w:cs="Arial"/>
                <w:position w:val="-1"/>
                <w:sz w:val="20"/>
                <w:szCs w:val="20"/>
              </w:rPr>
              <w:t>ents</w:t>
            </w:r>
          </w:p>
        </w:tc>
        <w:tc>
          <w:tcPr>
            <w:tcW w:w="1079"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304BC551"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z w:val="20"/>
                <w:szCs w:val="20"/>
              </w:rPr>
            </w:pPr>
            <w:r>
              <w:rPr>
                <w:rFonts w:ascii="Arial" w:hAnsi="Arial" w:cs="Arial"/>
                <w:position w:val="-1"/>
                <w:sz w:val="20"/>
                <w:szCs w:val="20"/>
              </w:rPr>
              <w:t>St</w:t>
            </w:r>
            <w:r>
              <w:rPr>
                <w:rFonts w:ascii="Arial" w:hAnsi="Arial" w:cs="Arial"/>
                <w:spacing w:val="-1"/>
                <w:position w:val="-1"/>
                <w:sz w:val="20"/>
                <w:szCs w:val="20"/>
              </w:rPr>
              <w:t>d</w:t>
            </w:r>
            <w:r>
              <w:rPr>
                <w:rFonts w:ascii="Arial" w:hAnsi="Arial" w:cs="Arial"/>
                <w:position w:val="-1"/>
                <w:sz w:val="20"/>
                <w:szCs w:val="20"/>
              </w:rPr>
              <w:t>.</w:t>
            </w:r>
            <w:r>
              <w:rPr>
                <w:rFonts w:ascii="Arial" w:hAnsi="Arial" w:cs="Arial"/>
                <w:spacing w:val="-1"/>
                <w:position w:val="-1"/>
                <w:sz w:val="20"/>
                <w:szCs w:val="20"/>
              </w:rPr>
              <w:t xml:space="preserve"> </w:t>
            </w:r>
            <w:r>
              <w:rPr>
                <w:rFonts w:ascii="Arial" w:hAnsi="Arial" w:cs="Arial"/>
                <w:position w:val="-1"/>
                <w:sz w:val="20"/>
                <w:szCs w:val="20"/>
              </w:rPr>
              <w:t>E</w:t>
            </w:r>
            <w:r>
              <w:rPr>
                <w:rFonts w:ascii="Arial" w:hAnsi="Arial" w:cs="Arial"/>
                <w:spacing w:val="-1"/>
                <w:position w:val="-1"/>
                <w:sz w:val="20"/>
                <w:szCs w:val="20"/>
              </w:rPr>
              <w:t>rr</w:t>
            </w:r>
            <w:r>
              <w:rPr>
                <w:rFonts w:ascii="Arial" w:hAnsi="Arial" w:cs="Arial"/>
                <w:position w:val="-1"/>
                <w:sz w:val="20"/>
                <w:szCs w:val="20"/>
              </w:rPr>
              <w:t>or</w:t>
            </w:r>
          </w:p>
        </w:tc>
        <w:tc>
          <w:tcPr>
            <w:tcW w:w="114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65DD7B4E"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z w:val="20"/>
                <w:szCs w:val="20"/>
              </w:rPr>
            </w:pPr>
            <w:r>
              <w:rPr>
                <w:rFonts w:ascii="Arial" w:hAnsi="Arial" w:cs="Arial"/>
                <w:spacing w:val="1"/>
                <w:position w:val="-1"/>
                <w:sz w:val="20"/>
                <w:szCs w:val="20"/>
              </w:rPr>
              <w:t>P</w:t>
            </w:r>
            <w:r>
              <w:rPr>
                <w:rFonts w:ascii="Arial" w:hAnsi="Arial" w:cs="Arial"/>
                <w:spacing w:val="-1"/>
                <w:position w:val="-1"/>
                <w:sz w:val="20"/>
                <w:szCs w:val="20"/>
              </w:rPr>
              <w:t>-</w:t>
            </w:r>
            <w:r>
              <w:rPr>
                <w:rFonts w:ascii="Arial" w:hAnsi="Arial" w:cs="Arial"/>
                <w:spacing w:val="1"/>
                <w:position w:val="-1"/>
                <w:sz w:val="20"/>
                <w:szCs w:val="20"/>
              </w:rPr>
              <w:t>val</w:t>
            </w:r>
            <w:r>
              <w:rPr>
                <w:rFonts w:ascii="Arial" w:hAnsi="Arial" w:cs="Arial"/>
                <w:position w:val="-1"/>
                <w:sz w:val="20"/>
                <w:szCs w:val="20"/>
              </w:rPr>
              <w:t>ue</w:t>
            </w:r>
          </w:p>
        </w:tc>
      </w:tr>
      <w:tr w:rsidR="008862C7" w14:paraId="17DF45D0" w14:textId="77777777" w:rsidTr="008862C7">
        <w:trPr>
          <w:cantSplit/>
          <w:trHeight w:val="141"/>
          <w:jc w:val="center"/>
        </w:trPr>
        <w:tc>
          <w:tcPr>
            <w:tcW w:w="1442" w:type="pct"/>
            <w:tcBorders>
              <w:top w:val="nil"/>
              <w:left w:val="single" w:sz="4" w:space="0" w:color="auto"/>
              <w:bottom w:val="single" w:sz="4" w:space="0" w:color="auto"/>
              <w:right w:val="single" w:sz="4" w:space="0" w:color="auto"/>
            </w:tcBorders>
            <w:vAlign w:val="center"/>
            <w:hideMark/>
          </w:tcPr>
          <w:p w14:paraId="5FF6CDED"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pacing w:val="1"/>
                <w:sz w:val="20"/>
                <w:szCs w:val="20"/>
              </w:rPr>
              <w:t>Log P</w:t>
            </w:r>
            <w:r>
              <w:rPr>
                <w:rFonts w:ascii="Arial" w:hAnsi="Arial" w:cs="Arial"/>
                <w:spacing w:val="-1"/>
                <w:sz w:val="20"/>
                <w:szCs w:val="20"/>
              </w:rPr>
              <w:t>M</w:t>
            </w:r>
            <w:r>
              <w:rPr>
                <w:rFonts w:ascii="Arial" w:hAnsi="Arial" w:cs="Arial"/>
                <w:sz w:val="20"/>
                <w:szCs w:val="20"/>
              </w:rPr>
              <w:t>C</w:t>
            </w:r>
          </w:p>
        </w:tc>
        <w:tc>
          <w:tcPr>
            <w:tcW w:w="1334" w:type="pct"/>
            <w:tcBorders>
              <w:top w:val="nil"/>
              <w:left w:val="single" w:sz="4" w:space="0" w:color="auto"/>
              <w:bottom w:val="single" w:sz="4" w:space="0" w:color="auto"/>
              <w:right w:val="single" w:sz="4" w:space="0" w:color="auto"/>
            </w:tcBorders>
            <w:vAlign w:val="center"/>
            <w:hideMark/>
          </w:tcPr>
          <w:p w14:paraId="1A46DFA2"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z w:val="20"/>
                <w:szCs w:val="20"/>
              </w:rPr>
            </w:pPr>
            <w:r>
              <w:rPr>
                <w:rFonts w:ascii="Arial" w:hAnsi="Arial" w:cs="Arial"/>
                <w:spacing w:val="1"/>
                <w:sz w:val="20"/>
                <w:szCs w:val="20"/>
              </w:rPr>
              <w:t>0.6</w:t>
            </w:r>
            <w:r>
              <w:rPr>
                <w:rFonts w:ascii="Arial" w:hAnsi="Arial" w:cs="Arial"/>
                <w:spacing w:val="-1"/>
                <w:sz w:val="20"/>
                <w:szCs w:val="20"/>
              </w:rPr>
              <w:t>1</w:t>
            </w:r>
            <w:r>
              <w:rPr>
                <w:rFonts w:ascii="Arial" w:hAnsi="Arial" w:cs="Arial"/>
                <w:spacing w:val="1"/>
                <w:sz w:val="20"/>
                <w:szCs w:val="20"/>
              </w:rPr>
              <w:t>4</w:t>
            </w:r>
            <w:r>
              <w:rPr>
                <w:rFonts w:ascii="Arial" w:hAnsi="Arial" w:cs="Arial"/>
                <w:sz w:val="20"/>
                <w:szCs w:val="20"/>
              </w:rPr>
              <w:t>***</w:t>
            </w:r>
          </w:p>
        </w:tc>
        <w:tc>
          <w:tcPr>
            <w:tcW w:w="1079" w:type="pct"/>
            <w:tcBorders>
              <w:top w:val="nil"/>
              <w:left w:val="single" w:sz="4" w:space="0" w:color="auto"/>
              <w:bottom w:val="single" w:sz="4" w:space="0" w:color="auto"/>
              <w:right w:val="single" w:sz="4" w:space="0" w:color="auto"/>
            </w:tcBorders>
            <w:vAlign w:val="center"/>
            <w:hideMark/>
          </w:tcPr>
          <w:p w14:paraId="2BFDF7DC"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9</w:t>
            </w:r>
            <w:r>
              <w:rPr>
                <w:rFonts w:ascii="Arial" w:hAnsi="Arial" w:cs="Arial"/>
                <w:sz w:val="20"/>
                <w:szCs w:val="20"/>
              </w:rPr>
              <w:t>2</w:t>
            </w:r>
          </w:p>
        </w:tc>
        <w:tc>
          <w:tcPr>
            <w:tcW w:w="1145" w:type="pct"/>
            <w:tcBorders>
              <w:top w:val="nil"/>
              <w:left w:val="single" w:sz="4" w:space="0" w:color="auto"/>
              <w:bottom w:val="single" w:sz="4" w:space="0" w:color="auto"/>
              <w:right w:val="single" w:sz="4" w:space="0" w:color="auto"/>
            </w:tcBorders>
            <w:vAlign w:val="center"/>
            <w:hideMark/>
          </w:tcPr>
          <w:p w14:paraId="491A7AA1"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6A0765D7" w14:textId="77777777" w:rsidTr="008862C7">
        <w:trPr>
          <w:cantSplit/>
          <w:trHeight w:val="22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6B85EF70"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 PF</w:t>
            </w:r>
            <w:r>
              <w:rPr>
                <w:rFonts w:ascii="Arial" w:hAnsi="Arial" w:cs="Arial"/>
                <w:sz w:val="20"/>
                <w:szCs w:val="20"/>
              </w:rPr>
              <w:t>S</w:t>
            </w:r>
          </w:p>
        </w:tc>
        <w:tc>
          <w:tcPr>
            <w:tcW w:w="1334" w:type="pct"/>
            <w:tcBorders>
              <w:top w:val="single" w:sz="4" w:space="0" w:color="auto"/>
              <w:left w:val="single" w:sz="4" w:space="0" w:color="auto"/>
              <w:bottom w:val="single" w:sz="4" w:space="0" w:color="auto"/>
              <w:right w:val="single" w:sz="4" w:space="0" w:color="auto"/>
            </w:tcBorders>
            <w:vAlign w:val="center"/>
            <w:hideMark/>
          </w:tcPr>
          <w:p w14:paraId="0C3F8258"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9</w:t>
            </w:r>
            <w:r>
              <w:rPr>
                <w:rFonts w:ascii="Arial" w:hAnsi="Arial" w:cs="Arial"/>
                <w:sz w:val="20"/>
                <w:szCs w:val="20"/>
              </w:rPr>
              <w:t>8</w:t>
            </w:r>
          </w:p>
        </w:tc>
        <w:tc>
          <w:tcPr>
            <w:tcW w:w="1079" w:type="pct"/>
            <w:tcBorders>
              <w:top w:val="single" w:sz="4" w:space="0" w:color="auto"/>
              <w:left w:val="single" w:sz="4" w:space="0" w:color="auto"/>
              <w:bottom w:val="single" w:sz="4" w:space="0" w:color="auto"/>
              <w:right w:val="single" w:sz="4" w:space="0" w:color="auto"/>
            </w:tcBorders>
            <w:vAlign w:val="center"/>
            <w:hideMark/>
          </w:tcPr>
          <w:p w14:paraId="7B7817BF"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4</w:t>
            </w:r>
            <w:r>
              <w:rPr>
                <w:rFonts w:ascii="Arial" w:hAnsi="Arial" w:cs="Arial"/>
                <w:sz w:val="20"/>
                <w:szCs w:val="20"/>
              </w:rPr>
              <w:t>2</w:t>
            </w:r>
          </w:p>
        </w:tc>
        <w:tc>
          <w:tcPr>
            <w:tcW w:w="1145" w:type="pct"/>
            <w:tcBorders>
              <w:top w:val="single" w:sz="4" w:space="0" w:color="auto"/>
              <w:left w:val="single" w:sz="4" w:space="0" w:color="auto"/>
              <w:bottom w:val="single" w:sz="4" w:space="0" w:color="auto"/>
              <w:right w:val="single" w:sz="4" w:space="0" w:color="auto"/>
            </w:tcBorders>
            <w:vAlign w:val="center"/>
            <w:hideMark/>
          </w:tcPr>
          <w:p w14:paraId="4933F9EA" w14:textId="77777777" w:rsidR="008862C7" w:rsidRDefault="008862C7">
            <w:pPr>
              <w:widowControl w:val="0"/>
              <w:tabs>
                <w:tab w:val="left" w:pos="708"/>
              </w:tabs>
              <w:autoSpaceDE w:val="0"/>
              <w:autoSpaceDN w:val="0"/>
              <w:adjustRightInd w:val="0"/>
              <w:spacing w:before="120" w:after="0" w:line="240" w:lineRule="auto"/>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6</w:t>
            </w:r>
            <w:r>
              <w:rPr>
                <w:rFonts w:ascii="Arial" w:hAnsi="Arial" w:cs="Arial"/>
                <w:sz w:val="20"/>
                <w:szCs w:val="20"/>
              </w:rPr>
              <w:t>3</w:t>
            </w:r>
          </w:p>
        </w:tc>
      </w:tr>
      <w:tr w:rsidR="008862C7" w14:paraId="4F05F56A" w14:textId="77777777" w:rsidTr="008862C7">
        <w:trPr>
          <w:cantSplit/>
          <w:trHeight w:val="22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38DACF29"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 xml:space="preserve">Log </w:t>
            </w:r>
            <w:r>
              <w:rPr>
                <w:rFonts w:ascii="Arial" w:hAnsi="Arial" w:cs="Arial"/>
                <w:sz w:val="20"/>
                <w:szCs w:val="20"/>
              </w:rPr>
              <w:t>QUA</w:t>
            </w:r>
          </w:p>
        </w:tc>
        <w:tc>
          <w:tcPr>
            <w:tcW w:w="1334" w:type="pct"/>
            <w:tcBorders>
              <w:top w:val="single" w:sz="4" w:space="0" w:color="auto"/>
              <w:left w:val="single" w:sz="4" w:space="0" w:color="auto"/>
              <w:bottom w:val="single" w:sz="4" w:space="0" w:color="auto"/>
              <w:right w:val="single" w:sz="4" w:space="0" w:color="auto"/>
            </w:tcBorders>
            <w:vAlign w:val="center"/>
            <w:hideMark/>
          </w:tcPr>
          <w:p w14:paraId="3D4A1A82"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0.233</w:t>
            </w:r>
            <w:r>
              <w:rPr>
                <w:rFonts w:ascii="Arial" w:hAnsi="Arial" w:cs="Arial"/>
                <w:sz w:val="20"/>
                <w:szCs w:val="20"/>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5EE7B30F"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0.2</w:t>
            </w:r>
            <w:r>
              <w:rPr>
                <w:rFonts w:ascii="Arial" w:hAnsi="Arial" w:cs="Arial"/>
                <w:spacing w:val="-1"/>
                <w:sz w:val="20"/>
                <w:szCs w:val="20"/>
              </w:rPr>
              <w:t>2</w:t>
            </w:r>
            <w:r>
              <w:rPr>
                <w:rFonts w:ascii="Arial" w:hAnsi="Arial" w:cs="Arial"/>
                <w:sz w:val="20"/>
                <w:szCs w:val="20"/>
              </w:rPr>
              <w:t>7</w:t>
            </w:r>
          </w:p>
        </w:tc>
        <w:tc>
          <w:tcPr>
            <w:tcW w:w="1145" w:type="pct"/>
            <w:tcBorders>
              <w:top w:val="single" w:sz="4" w:space="0" w:color="auto"/>
              <w:left w:val="single" w:sz="4" w:space="0" w:color="auto"/>
              <w:bottom w:val="single" w:sz="4" w:space="0" w:color="auto"/>
              <w:right w:val="single" w:sz="4" w:space="0" w:color="auto"/>
            </w:tcBorders>
            <w:vAlign w:val="center"/>
            <w:hideMark/>
          </w:tcPr>
          <w:p w14:paraId="79CD2B60"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2ECCF4F1" w14:textId="77777777" w:rsidTr="008862C7">
        <w:trPr>
          <w:cantSplit/>
          <w:trHeight w:val="19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32A4C0F2"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 xml:space="preserve">Log </w:t>
            </w:r>
            <w:r>
              <w:rPr>
                <w:rFonts w:ascii="Arial" w:hAnsi="Arial" w:cs="Arial"/>
                <w:sz w:val="20"/>
                <w:szCs w:val="20"/>
              </w:rPr>
              <w:t>ACR</w:t>
            </w:r>
          </w:p>
        </w:tc>
        <w:tc>
          <w:tcPr>
            <w:tcW w:w="1334" w:type="pct"/>
            <w:tcBorders>
              <w:top w:val="single" w:sz="4" w:space="0" w:color="auto"/>
              <w:left w:val="single" w:sz="4" w:space="0" w:color="auto"/>
              <w:bottom w:val="single" w:sz="4" w:space="0" w:color="auto"/>
              <w:right w:val="single" w:sz="4" w:space="0" w:color="auto"/>
            </w:tcBorders>
            <w:vAlign w:val="center"/>
            <w:hideMark/>
          </w:tcPr>
          <w:p w14:paraId="758ACACB"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0.5</w:t>
            </w:r>
            <w:r>
              <w:rPr>
                <w:rFonts w:ascii="Arial" w:hAnsi="Arial" w:cs="Arial"/>
                <w:spacing w:val="-1"/>
                <w:sz w:val="20"/>
                <w:szCs w:val="20"/>
              </w:rPr>
              <w:t>6</w:t>
            </w:r>
            <w:r>
              <w:rPr>
                <w:rFonts w:ascii="Arial" w:hAnsi="Arial" w:cs="Arial"/>
                <w:spacing w:val="1"/>
                <w:sz w:val="20"/>
                <w:szCs w:val="20"/>
              </w:rPr>
              <w:t>1</w:t>
            </w:r>
            <w:r>
              <w:rPr>
                <w:rFonts w:ascii="Arial" w:hAnsi="Arial" w:cs="Arial"/>
                <w:sz w:val="20"/>
                <w:szCs w:val="20"/>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6892C781"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1</w:t>
            </w:r>
            <w:r>
              <w:rPr>
                <w:rFonts w:ascii="Arial" w:hAnsi="Arial" w:cs="Arial"/>
                <w:sz w:val="20"/>
                <w:szCs w:val="20"/>
              </w:rPr>
              <w:t>5</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1FC8025"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63D9B81B" w14:textId="77777777" w:rsidTr="008862C7">
        <w:trPr>
          <w:cantSplit/>
          <w:trHeight w:val="25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07DD91CE"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 xml:space="preserve">Log </w:t>
            </w:r>
            <w:r>
              <w:rPr>
                <w:rFonts w:ascii="Arial" w:hAnsi="Arial" w:cs="Arial"/>
                <w:sz w:val="20"/>
                <w:szCs w:val="20"/>
              </w:rPr>
              <w:t>C</w:t>
            </w:r>
            <w:r>
              <w:rPr>
                <w:rFonts w:ascii="Arial" w:hAnsi="Arial" w:cs="Arial"/>
                <w:spacing w:val="1"/>
                <w:sz w:val="20"/>
                <w:szCs w:val="20"/>
              </w:rPr>
              <w:t>O</w:t>
            </w:r>
            <w:r>
              <w:rPr>
                <w:rFonts w:ascii="Arial" w:hAnsi="Arial" w:cs="Arial"/>
                <w:sz w:val="20"/>
                <w:szCs w:val="20"/>
              </w:rPr>
              <w:t>N</w:t>
            </w:r>
          </w:p>
        </w:tc>
        <w:tc>
          <w:tcPr>
            <w:tcW w:w="1334" w:type="pct"/>
            <w:tcBorders>
              <w:top w:val="single" w:sz="4" w:space="0" w:color="auto"/>
              <w:left w:val="single" w:sz="4" w:space="0" w:color="auto"/>
              <w:bottom w:val="single" w:sz="4" w:space="0" w:color="auto"/>
              <w:right w:val="single" w:sz="4" w:space="0" w:color="auto"/>
            </w:tcBorders>
            <w:vAlign w:val="center"/>
            <w:hideMark/>
          </w:tcPr>
          <w:p w14:paraId="5A2F2D8D"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1.3</w:t>
            </w:r>
            <w:r>
              <w:rPr>
                <w:rFonts w:ascii="Arial" w:hAnsi="Arial" w:cs="Arial"/>
                <w:spacing w:val="-1"/>
                <w:sz w:val="20"/>
                <w:szCs w:val="20"/>
              </w:rPr>
              <w:t>9</w:t>
            </w:r>
            <w:r>
              <w:rPr>
                <w:rFonts w:ascii="Arial" w:hAnsi="Arial" w:cs="Arial"/>
                <w:spacing w:val="1"/>
                <w:sz w:val="20"/>
                <w:szCs w:val="20"/>
              </w:rPr>
              <w:t>5</w:t>
            </w:r>
            <w:r>
              <w:rPr>
                <w:rFonts w:ascii="Arial" w:hAnsi="Arial" w:cs="Arial"/>
                <w:sz w:val="20"/>
                <w:szCs w:val="20"/>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5EF37062"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0.2</w:t>
            </w:r>
            <w:r>
              <w:rPr>
                <w:rFonts w:ascii="Arial" w:hAnsi="Arial" w:cs="Arial"/>
                <w:spacing w:val="-1"/>
                <w:sz w:val="20"/>
                <w:szCs w:val="20"/>
              </w:rPr>
              <w:t>6</w:t>
            </w:r>
            <w:r>
              <w:rPr>
                <w:rFonts w:ascii="Arial" w:hAnsi="Arial" w:cs="Arial"/>
                <w:sz w:val="20"/>
                <w:szCs w:val="20"/>
              </w:rPr>
              <w:t>2</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C2B4A9A"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27FC57A7" w14:textId="77777777" w:rsidTr="008862C7">
        <w:trPr>
          <w:cantSplit/>
          <w:trHeight w:val="24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3278CC8F"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 ID</w:t>
            </w:r>
            <w:r>
              <w:rPr>
                <w:rFonts w:ascii="Arial" w:hAnsi="Arial" w:cs="Arial"/>
                <w:sz w:val="20"/>
                <w:szCs w:val="20"/>
              </w:rPr>
              <w:t>E</w:t>
            </w:r>
          </w:p>
        </w:tc>
        <w:tc>
          <w:tcPr>
            <w:tcW w:w="1334" w:type="pct"/>
            <w:tcBorders>
              <w:top w:val="single" w:sz="4" w:space="0" w:color="auto"/>
              <w:left w:val="single" w:sz="4" w:space="0" w:color="auto"/>
              <w:bottom w:val="single" w:sz="4" w:space="0" w:color="auto"/>
              <w:right w:val="single" w:sz="4" w:space="0" w:color="auto"/>
            </w:tcBorders>
            <w:vAlign w:val="center"/>
            <w:hideMark/>
          </w:tcPr>
          <w:p w14:paraId="5F4C613D"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0.01</w:t>
            </w:r>
            <w:r>
              <w:rPr>
                <w:rFonts w:ascii="Arial" w:hAnsi="Arial" w:cs="Arial"/>
                <w:sz w:val="20"/>
                <w:szCs w:val="20"/>
              </w:rPr>
              <w:t>1</w:t>
            </w:r>
          </w:p>
        </w:tc>
        <w:tc>
          <w:tcPr>
            <w:tcW w:w="1079" w:type="pct"/>
            <w:tcBorders>
              <w:top w:val="single" w:sz="4" w:space="0" w:color="auto"/>
              <w:left w:val="single" w:sz="4" w:space="0" w:color="auto"/>
              <w:bottom w:val="single" w:sz="4" w:space="0" w:color="auto"/>
              <w:right w:val="single" w:sz="4" w:space="0" w:color="auto"/>
            </w:tcBorders>
            <w:vAlign w:val="center"/>
            <w:hideMark/>
          </w:tcPr>
          <w:p w14:paraId="103B5274"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2</w:t>
            </w:r>
            <w:r>
              <w:rPr>
                <w:rFonts w:ascii="Arial" w:hAnsi="Arial" w:cs="Arial"/>
                <w:sz w:val="20"/>
                <w:szCs w:val="20"/>
              </w:rPr>
              <w:t>3</w:t>
            </w:r>
          </w:p>
        </w:tc>
        <w:tc>
          <w:tcPr>
            <w:tcW w:w="1145" w:type="pct"/>
            <w:tcBorders>
              <w:top w:val="single" w:sz="4" w:space="0" w:color="auto"/>
              <w:left w:val="single" w:sz="4" w:space="0" w:color="auto"/>
              <w:bottom w:val="single" w:sz="4" w:space="0" w:color="auto"/>
              <w:right w:val="single" w:sz="4" w:space="0" w:color="auto"/>
            </w:tcBorders>
            <w:vAlign w:val="center"/>
            <w:hideMark/>
          </w:tcPr>
          <w:p w14:paraId="4ED6F831"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0.6</w:t>
            </w:r>
            <w:r>
              <w:rPr>
                <w:rFonts w:ascii="Arial" w:hAnsi="Arial" w:cs="Arial"/>
                <w:spacing w:val="-1"/>
                <w:sz w:val="20"/>
                <w:szCs w:val="20"/>
              </w:rPr>
              <w:t>3</w:t>
            </w:r>
            <w:r>
              <w:rPr>
                <w:rFonts w:ascii="Arial" w:hAnsi="Arial" w:cs="Arial"/>
                <w:sz w:val="20"/>
                <w:szCs w:val="20"/>
              </w:rPr>
              <w:t>1</w:t>
            </w:r>
          </w:p>
        </w:tc>
      </w:tr>
      <w:tr w:rsidR="008862C7" w14:paraId="3C2B7157" w14:textId="77777777" w:rsidTr="008862C7">
        <w:trPr>
          <w:cantSplit/>
          <w:trHeight w:val="22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16BB7212"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 T</w:t>
            </w:r>
            <w:r>
              <w:rPr>
                <w:rFonts w:ascii="Arial" w:hAnsi="Arial" w:cs="Arial"/>
                <w:sz w:val="20"/>
                <w:szCs w:val="20"/>
              </w:rPr>
              <w:t>CER</w:t>
            </w:r>
          </w:p>
        </w:tc>
        <w:tc>
          <w:tcPr>
            <w:tcW w:w="1334" w:type="pct"/>
            <w:tcBorders>
              <w:top w:val="single" w:sz="4" w:space="0" w:color="auto"/>
              <w:left w:val="single" w:sz="4" w:space="0" w:color="auto"/>
              <w:bottom w:val="single" w:sz="4" w:space="0" w:color="auto"/>
              <w:right w:val="single" w:sz="4" w:space="0" w:color="auto"/>
            </w:tcBorders>
            <w:vAlign w:val="center"/>
            <w:hideMark/>
          </w:tcPr>
          <w:p w14:paraId="3013CC32"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0.08</w:t>
            </w:r>
            <w:r>
              <w:rPr>
                <w:rFonts w:ascii="Arial" w:hAnsi="Arial" w:cs="Arial"/>
                <w:sz w:val="20"/>
                <w:szCs w:val="20"/>
              </w:rPr>
              <w:t>3</w:t>
            </w:r>
          </w:p>
        </w:tc>
        <w:tc>
          <w:tcPr>
            <w:tcW w:w="1079" w:type="pct"/>
            <w:tcBorders>
              <w:top w:val="single" w:sz="4" w:space="0" w:color="auto"/>
              <w:left w:val="single" w:sz="4" w:space="0" w:color="auto"/>
              <w:bottom w:val="single" w:sz="4" w:space="0" w:color="auto"/>
              <w:right w:val="single" w:sz="4" w:space="0" w:color="auto"/>
            </w:tcBorders>
            <w:vAlign w:val="center"/>
            <w:hideMark/>
          </w:tcPr>
          <w:p w14:paraId="028D61BA"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4</w:t>
            </w:r>
            <w:r>
              <w:rPr>
                <w:rFonts w:ascii="Arial" w:hAnsi="Arial" w:cs="Arial"/>
                <w:sz w:val="20"/>
                <w:szCs w:val="20"/>
              </w:rPr>
              <w:t>1</w:t>
            </w:r>
          </w:p>
        </w:tc>
        <w:tc>
          <w:tcPr>
            <w:tcW w:w="1145" w:type="pct"/>
            <w:tcBorders>
              <w:top w:val="single" w:sz="4" w:space="0" w:color="auto"/>
              <w:left w:val="single" w:sz="4" w:space="0" w:color="auto"/>
              <w:bottom w:val="single" w:sz="4" w:space="0" w:color="auto"/>
              <w:right w:val="single" w:sz="4" w:space="0" w:color="auto"/>
            </w:tcBorders>
            <w:vAlign w:val="center"/>
            <w:hideMark/>
          </w:tcPr>
          <w:p w14:paraId="04EABB98"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0.5</w:t>
            </w:r>
            <w:r>
              <w:rPr>
                <w:rFonts w:ascii="Arial" w:hAnsi="Arial" w:cs="Arial"/>
                <w:spacing w:val="-1"/>
                <w:sz w:val="20"/>
                <w:szCs w:val="20"/>
              </w:rPr>
              <w:t>5</w:t>
            </w:r>
            <w:r>
              <w:rPr>
                <w:rFonts w:ascii="Arial" w:hAnsi="Arial" w:cs="Arial"/>
                <w:sz w:val="20"/>
                <w:szCs w:val="20"/>
              </w:rPr>
              <w:t>8</w:t>
            </w:r>
          </w:p>
        </w:tc>
      </w:tr>
      <w:tr w:rsidR="008862C7" w14:paraId="75B7BC88" w14:textId="77777777" w:rsidTr="008862C7">
        <w:trPr>
          <w:cantSplit/>
          <w:trHeight w:val="22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69A7ED23"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 DI</w:t>
            </w:r>
            <w:r>
              <w:rPr>
                <w:rFonts w:ascii="Arial" w:hAnsi="Arial" w:cs="Arial"/>
                <w:sz w:val="20"/>
                <w:szCs w:val="20"/>
              </w:rPr>
              <w:t>ST</w:t>
            </w:r>
          </w:p>
        </w:tc>
        <w:tc>
          <w:tcPr>
            <w:tcW w:w="1334" w:type="pct"/>
            <w:tcBorders>
              <w:top w:val="single" w:sz="4" w:space="0" w:color="auto"/>
              <w:left w:val="single" w:sz="4" w:space="0" w:color="auto"/>
              <w:bottom w:val="single" w:sz="4" w:space="0" w:color="auto"/>
              <w:right w:val="single" w:sz="4" w:space="0" w:color="auto"/>
            </w:tcBorders>
            <w:vAlign w:val="center"/>
            <w:hideMark/>
          </w:tcPr>
          <w:p w14:paraId="6A4140C3"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0.16</w:t>
            </w:r>
            <w:r>
              <w:rPr>
                <w:rFonts w:ascii="Arial" w:hAnsi="Arial" w:cs="Arial"/>
                <w:sz w:val="20"/>
                <w:szCs w:val="20"/>
              </w:rPr>
              <w:t>7</w:t>
            </w:r>
          </w:p>
        </w:tc>
        <w:tc>
          <w:tcPr>
            <w:tcW w:w="1079" w:type="pct"/>
            <w:tcBorders>
              <w:top w:val="single" w:sz="4" w:space="0" w:color="auto"/>
              <w:left w:val="single" w:sz="4" w:space="0" w:color="auto"/>
              <w:bottom w:val="single" w:sz="4" w:space="0" w:color="auto"/>
              <w:right w:val="single" w:sz="4" w:space="0" w:color="auto"/>
            </w:tcBorders>
            <w:vAlign w:val="center"/>
            <w:hideMark/>
          </w:tcPr>
          <w:p w14:paraId="645E6C01"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0.2</w:t>
            </w:r>
            <w:r>
              <w:rPr>
                <w:rFonts w:ascii="Arial" w:hAnsi="Arial" w:cs="Arial"/>
                <w:spacing w:val="-1"/>
                <w:sz w:val="20"/>
                <w:szCs w:val="20"/>
              </w:rPr>
              <w:t>5</w:t>
            </w:r>
            <w:r>
              <w:rPr>
                <w:rFonts w:ascii="Arial" w:hAnsi="Arial" w:cs="Arial"/>
                <w:sz w:val="20"/>
                <w:szCs w:val="20"/>
              </w:rPr>
              <w:t>0</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562432C"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0.5</w:t>
            </w:r>
            <w:r>
              <w:rPr>
                <w:rFonts w:ascii="Arial" w:hAnsi="Arial" w:cs="Arial"/>
                <w:spacing w:val="-1"/>
                <w:sz w:val="20"/>
                <w:szCs w:val="20"/>
              </w:rPr>
              <w:t>0</w:t>
            </w:r>
            <w:r>
              <w:rPr>
                <w:rFonts w:ascii="Arial" w:hAnsi="Arial" w:cs="Arial"/>
                <w:sz w:val="20"/>
                <w:szCs w:val="20"/>
              </w:rPr>
              <w:t>2</w:t>
            </w:r>
          </w:p>
        </w:tc>
      </w:tr>
      <w:tr w:rsidR="008862C7" w14:paraId="077B9819" w14:textId="77777777" w:rsidTr="008862C7">
        <w:trPr>
          <w:cantSplit/>
          <w:trHeight w:val="25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24C8AD89"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 xml:space="preserve">Log </w:t>
            </w:r>
            <w:r>
              <w:rPr>
                <w:rFonts w:ascii="Arial" w:hAnsi="Arial" w:cs="Arial"/>
                <w:sz w:val="20"/>
                <w:szCs w:val="20"/>
              </w:rPr>
              <w:t>SUBV</w:t>
            </w:r>
          </w:p>
        </w:tc>
        <w:tc>
          <w:tcPr>
            <w:tcW w:w="1334" w:type="pct"/>
            <w:tcBorders>
              <w:top w:val="single" w:sz="4" w:space="0" w:color="auto"/>
              <w:left w:val="single" w:sz="4" w:space="0" w:color="auto"/>
              <w:bottom w:val="single" w:sz="4" w:space="0" w:color="auto"/>
              <w:right w:val="single" w:sz="4" w:space="0" w:color="auto"/>
            </w:tcBorders>
            <w:vAlign w:val="center"/>
            <w:hideMark/>
          </w:tcPr>
          <w:p w14:paraId="41B62BA0"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0.2</w:t>
            </w:r>
            <w:r>
              <w:rPr>
                <w:rFonts w:ascii="Arial" w:hAnsi="Arial" w:cs="Arial"/>
                <w:sz w:val="20"/>
                <w:szCs w:val="20"/>
              </w:rPr>
              <w:t>73</w:t>
            </w:r>
          </w:p>
        </w:tc>
        <w:tc>
          <w:tcPr>
            <w:tcW w:w="1079" w:type="pct"/>
            <w:tcBorders>
              <w:top w:val="single" w:sz="4" w:space="0" w:color="auto"/>
              <w:left w:val="single" w:sz="4" w:space="0" w:color="auto"/>
              <w:bottom w:val="single" w:sz="4" w:space="0" w:color="auto"/>
              <w:right w:val="single" w:sz="4" w:space="0" w:color="auto"/>
            </w:tcBorders>
            <w:vAlign w:val="center"/>
            <w:hideMark/>
          </w:tcPr>
          <w:p w14:paraId="04B45E36"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0.17</w:t>
            </w:r>
            <w:r>
              <w:rPr>
                <w:rFonts w:ascii="Arial" w:hAnsi="Arial" w:cs="Arial"/>
                <w:spacing w:val="-1"/>
                <w:sz w:val="20"/>
                <w:szCs w:val="20"/>
              </w:rPr>
              <w:t>5</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68F033A"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0.5</w:t>
            </w:r>
            <w:r>
              <w:rPr>
                <w:rFonts w:ascii="Arial" w:hAnsi="Arial" w:cs="Arial"/>
                <w:spacing w:val="-1"/>
                <w:sz w:val="20"/>
                <w:szCs w:val="20"/>
              </w:rPr>
              <w:t>31</w:t>
            </w:r>
          </w:p>
        </w:tc>
      </w:tr>
      <w:tr w:rsidR="008862C7" w14:paraId="3EC1B8F8" w14:textId="77777777" w:rsidTr="008862C7">
        <w:trPr>
          <w:cantSplit/>
          <w:trHeight w:val="15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2B86AA42"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z w:val="20"/>
                <w:szCs w:val="20"/>
              </w:rPr>
              <w:t>Log TAR</w:t>
            </w:r>
          </w:p>
        </w:tc>
        <w:tc>
          <w:tcPr>
            <w:tcW w:w="1334" w:type="pct"/>
            <w:tcBorders>
              <w:top w:val="single" w:sz="4" w:space="0" w:color="auto"/>
              <w:left w:val="single" w:sz="4" w:space="0" w:color="auto"/>
              <w:bottom w:val="single" w:sz="4" w:space="0" w:color="auto"/>
              <w:right w:val="single" w:sz="4" w:space="0" w:color="auto"/>
            </w:tcBorders>
            <w:vAlign w:val="center"/>
            <w:hideMark/>
          </w:tcPr>
          <w:p w14:paraId="683E8223"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0.151</w:t>
            </w:r>
            <w:r>
              <w:rPr>
                <w:rFonts w:ascii="Arial" w:hAnsi="Arial" w:cs="Arial"/>
                <w:sz w:val="20"/>
                <w:szCs w:val="20"/>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41136297"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4</w:t>
            </w:r>
            <w:r>
              <w:rPr>
                <w:rFonts w:ascii="Arial" w:hAnsi="Arial" w:cs="Arial"/>
                <w:sz w:val="20"/>
                <w:szCs w:val="20"/>
              </w:rPr>
              <w:t>8</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FBA0796"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6B1A52AC" w14:textId="77777777" w:rsidTr="008862C7">
        <w:trPr>
          <w:cantSplit/>
          <w:trHeight w:val="30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28E1D3C4"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z w:val="20"/>
                <w:szCs w:val="20"/>
              </w:rPr>
              <w:t>Con</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a</w:t>
            </w:r>
            <w:r>
              <w:rPr>
                <w:rFonts w:ascii="Arial" w:hAnsi="Arial" w:cs="Arial"/>
                <w:sz w:val="20"/>
                <w:szCs w:val="20"/>
              </w:rPr>
              <w:t>nte</w:t>
            </w:r>
          </w:p>
        </w:tc>
        <w:tc>
          <w:tcPr>
            <w:tcW w:w="1334" w:type="pct"/>
            <w:tcBorders>
              <w:top w:val="single" w:sz="4" w:space="0" w:color="auto"/>
              <w:left w:val="single" w:sz="4" w:space="0" w:color="auto"/>
              <w:bottom w:val="single" w:sz="4" w:space="0" w:color="auto"/>
              <w:right w:val="single" w:sz="4" w:space="0" w:color="auto"/>
            </w:tcBorders>
            <w:vAlign w:val="center"/>
            <w:hideMark/>
          </w:tcPr>
          <w:p w14:paraId="7A85DF97"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16.5</w:t>
            </w:r>
            <w:r>
              <w:rPr>
                <w:rFonts w:ascii="Arial" w:hAnsi="Arial" w:cs="Arial"/>
                <w:spacing w:val="-1"/>
                <w:sz w:val="20"/>
                <w:szCs w:val="20"/>
              </w:rPr>
              <w:t>6</w:t>
            </w:r>
            <w:r>
              <w:rPr>
                <w:rFonts w:ascii="Arial" w:hAnsi="Arial" w:cs="Arial"/>
                <w:spacing w:val="1"/>
                <w:sz w:val="20"/>
                <w:szCs w:val="20"/>
              </w:rPr>
              <w:t>9</w:t>
            </w:r>
            <w:r>
              <w:rPr>
                <w:rFonts w:ascii="Arial" w:hAnsi="Arial" w:cs="Arial"/>
                <w:sz w:val="20"/>
                <w:szCs w:val="20"/>
              </w:rPr>
              <w:t>***</w:t>
            </w:r>
          </w:p>
        </w:tc>
        <w:tc>
          <w:tcPr>
            <w:tcW w:w="1079" w:type="pct"/>
            <w:tcBorders>
              <w:top w:val="single" w:sz="4" w:space="0" w:color="auto"/>
              <w:left w:val="single" w:sz="4" w:space="0" w:color="auto"/>
              <w:bottom w:val="single" w:sz="4" w:space="0" w:color="auto"/>
              <w:right w:val="single" w:sz="4" w:space="0" w:color="auto"/>
            </w:tcBorders>
            <w:vAlign w:val="center"/>
            <w:hideMark/>
          </w:tcPr>
          <w:p w14:paraId="7CDF9871"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2.7</w:t>
            </w:r>
            <w:r>
              <w:rPr>
                <w:rFonts w:ascii="Arial" w:hAnsi="Arial" w:cs="Arial"/>
                <w:spacing w:val="-1"/>
                <w:sz w:val="20"/>
                <w:szCs w:val="20"/>
              </w:rPr>
              <w:t>4</w:t>
            </w:r>
            <w:r>
              <w:rPr>
                <w:rFonts w:ascii="Arial" w:hAnsi="Arial" w:cs="Arial"/>
                <w:sz w:val="20"/>
                <w:szCs w:val="20"/>
              </w:rPr>
              <w:t>2</w:t>
            </w:r>
          </w:p>
        </w:tc>
        <w:tc>
          <w:tcPr>
            <w:tcW w:w="1145" w:type="pct"/>
            <w:tcBorders>
              <w:top w:val="single" w:sz="4" w:space="0" w:color="auto"/>
              <w:left w:val="single" w:sz="4" w:space="0" w:color="auto"/>
              <w:bottom w:val="single" w:sz="4" w:space="0" w:color="auto"/>
              <w:right w:val="single" w:sz="4" w:space="0" w:color="auto"/>
            </w:tcBorders>
            <w:vAlign w:val="center"/>
            <w:hideMark/>
          </w:tcPr>
          <w:p w14:paraId="28E8192B"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337B686A" w14:textId="77777777" w:rsidTr="008862C7">
        <w:trPr>
          <w:cantSplit/>
          <w:trHeight w:hRule="exact" w:val="316"/>
          <w:jc w:val="center"/>
        </w:trPr>
        <w:tc>
          <w:tcPr>
            <w:tcW w:w="1442" w:type="pct"/>
            <w:tcBorders>
              <w:top w:val="single" w:sz="4" w:space="0" w:color="auto"/>
              <w:left w:val="single" w:sz="4" w:space="0" w:color="auto"/>
              <w:bottom w:val="nil"/>
              <w:right w:val="single" w:sz="4" w:space="0" w:color="auto"/>
            </w:tcBorders>
            <w:shd w:val="clear" w:color="auto" w:fill="D6E3BC"/>
            <w:vAlign w:val="center"/>
            <w:hideMark/>
          </w:tcPr>
          <w:p w14:paraId="6BE27855"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z w:val="20"/>
                <w:szCs w:val="20"/>
              </w:rPr>
              <w:t xml:space="preserve">Observations </w:t>
            </w:r>
          </w:p>
        </w:tc>
        <w:tc>
          <w:tcPr>
            <w:tcW w:w="3558" w:type="pct"/>
            <w:gridSpan w:val="3"/>
            <w:tcBorders>
              <w:top w:val="single" w:sz="4" w:space="0" w:color="auto"/>
              <w:left w:val="single" w:sz="4" w:space="0" w:color="auto"/>
              <w:bottom w:val="nil"/>
              <w:right w:val="single" w:sz="4" w:space="0" w:color="auto"/>
            </w:tcBorders>
            <w:shd w:val="clear" w:color="auto" w:fill="D6E3BC"/>
            <w:vAlign w:val="center"/>
            <w:hideMark/>
          </w:tcPr>
          <w:p w14:paraId="6A2F4BCA" w14:textId="77777777" w:rsidR="008862C7" w:rsidRDefault="008862C7">
            <w:pPr>
              <w:tabs>
                <w:tab w:val="left" w:pos="708"/>
              </w:tabs>
              <w:autoSpaceDE w:val="0"/>
              <w:autoSpaceDN w:val="0"/>
              <w:adjustRightInd w:val="0"/>
              <w:spacing w:before="120" w:after="0" w:line="240" w:lineRule="auto"/>
              <w:jc w:val="center"/>
              <w:rPr>
                <w:rFonts w:ascii="Arial" w:eastAsia="Times New Roman" w:hAnsi="Arial" w:cs="Arial"/>
                <w:sz w:val="20"/>
                <w:szCs w:val="20"/>
              </w:rPr>
            </w:pPr>
            <w:r>
              <w:rPr>
                <w:rFonts w:ascii="Arial" w:hAnsi="Arial" w:cs="Arial"/>
                <w:sz w:val="20"/>
                <w:szCs w:val="20"/>
              </w:rPr>
              <w:t>1683</w:t>
            </w:r>
          </w:p>
        </w:tc>
      </w:tr>
      <w:tr w:rsidR="008862C7" w14:paraId="4EB8364A" w14:textId="77777777" w:rsidTr="008862C7">
        <w:trPr>
          <w:cantSplit/>
          <w:trHeight w:val="120"/>
          <w:jc w:val="center"/>
        </w:trPr>
        <w:tc>
          <w:tcPr>
            <w:tcW w:w="1442"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206170CB"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N</w:t>
            </w:r>
            <w:r>
              <w:rPr>
                <w:rFonts w:ascii="Arial" w:hAnsi="Arial" w:cs="Arial"/>
                <w:sz w:val="20"/>
                <w:szCs w:val="20"/>
              </w:rPr>
              <w:t>om</w:t>
            </w:r>
            <w:r>
              <w:rPr>
                <w:rFonts w:ascii="Arial" w:hAnsi="Arial" w:cs="Arial"/>
                <w:spacing w:val="1"/>
                <w:sz w:val="20"/>
                <w:szCs w:val="20"/>
              </w:rPr>
              <w:t>b</w:t>
            </w:r>
            <w:r>
              <w:rPr>
                <w:rFonts w:ascii="Arial" w:hAnsi="Arial" w:cs="Arial"/>
                <w:spacing w:val="-1"/>
                <w:sz w:val="20"/>
                <w:szCs w:val="20"/>
              </w:rPr>
              <w:t>r</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ay</w:t>
            </w:r>
            <w:r>
              <w:rPr>
                <w:rFonts w:ascii="Arial" w:hAnsi="Arial" w:cs="Arial"/>
                <w:sz w:val="20"/>
                <w:szCs w:val="20"/>
              </w:rPr>
              <w:t>s</w:t>
            </w:r>
          </w:p>
        </w:tc>
        <w:tc>
          <w:tcPr>
            <w:tcW w:w="3558"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14:paraId="5530DDC2" w14:textId="77777777" w:rsidR="008862C7" w:rsidRDefault="008862C7">
            <w:pPr>
              <w:widowControl w:val="0"/>
              <w:tabs>
                <w:tab w:val="left" w:pos="708"/>
              </w:tabs>
              <w:autoSpaceDE w:val="0"/>
              <w:autoSpaceDN w:val="0"/>
              <w:adjustRightInd w:val="0"/>
              <w:spacing w:before="120" w:after="0" w:line="240" w:lineRule="auto"/>
              <w:jc w:val="center"/>
              <w:rPr>
                <w:rFonts w:ascii="Arial" w:eastAsia="Times New Roman" w:hAnsi="Arial" w:cs="Arial"/>
                <w:sz w:val="20"/>
                <w:szCs w:val="20"/>
              </w:rPr>
            </w:pPr>
            <w:r>
              <w:rPr>
                <w:rFonts w:ascii="Arial" w:hAnsi="Arial" w:cs="Arial"/>
                <w:spacing w:val="1"/>
                <w:sz w:val="20"/>
                <w:szCs w:val="20"/>
              </w:rPr>
              <w:t>51</w:t>
            </w:r>
          </w:p>
        </w:tc>
      </w:tr>
      <w:tr w:rsidR="008862C7" w14:paraId="3210A0D2" w14:textId="77777777" w:rsidTr="008862C7">
        <w:trPr>
          <w:cantSplit/>
          <w:trHeight w:val="152"/>
          <w:jc w:val="center"/>
        </w:trPr>
        <w:tc>
          <w:tcPr>
            <w:tcW w:w="1442" w:type="pct"/>
            <w:tcBorders>
              <w:top w:val="nil"/>
              <w:left w:val="single" w:sz="4" w:space="0" w:color="auto"/>
              <w:bottom w:val="single" w:sz="4" w:space="0" w:color="auto"/>
              <w:right w:val="single" w:sz="4" w:space="0" w:color="auto"/>
            </w:tcBorders>
            <w:vAlign w:val="center"/>
            <w:hideMark/>
          </w:tcPr>
          <w:p w14:paraId="0C07946B" w14:textId="77777777" w:rsidR="008862C7" w:rsidRDefault="008862C7">
            <w:pPr>
              <w:widowControl w:val="0"/>
              <w:tabs>
                <w:tab w:val="left" w:pos="708"/>
              </w:tabs>
              <w:autoSpaceDE w:val="0"/>
              <w:autoSpaceDN w:val="0"/>
              <w:adjustRightInd w:val="0"/>
              <w:spacing w:before="120" w:after="0" w:line="276" w:lineRule="auto"/>
              <w:ind w:left="103"/>
              <w:rPr>
                <w:rFonts w:ascii="Arial" w:eastAsia="Times New Roman" w:hAnsi="Arial" w:cs="Arial"/>
                <w:sz w:val="20"/>
                <w:szCs w:val="20"/>
                <w:lang w:val="en-US"/>
              </w:rPr>
            </w:pPr>
            <w:r>
              <w:rPr>
                <w:rFonts w:ascii="Arial" w:hAnsi="Arial" w:cs="Arial"/>
                <w:position w:val="-6"/>
                <w:sz w:val="20"/>
                <w:szCs w:val="20"/>
                <w:lang w:val="en-US"/>
              </w:rPr>
              <w:t>R</w:t>
            </w:r>
            <w:r>
              <w:rPr>
                <w:rFonts w:ascii="Arial" w:hAnsi="Arial" w:cs="Arial"/>
                <w:sz w:val="20"/>
                <w:szCs w:val="20"/>
                <w:lang w:val="en-US"/>
              </w:rPr>
              <w:t>2</w:t>
            </w:r>
          </w:p>
        </w:tc>
        <w:tc>
          <w:tcPr>
            <w:tcW w:w="3558" w:type="pct"/>
            <w:gridSpan w:val="3"/>
            <w:tcBorders>
              <w:top w:val="nil"/>
              <w:left w:val="single" w:sz="4" w:space="0" w:color="auto"/>
              <w:bottom w:val="single" w:sz="4" w:space="0" w:color="auto"/>
              <w:right w:val="single" w:sz="4" w:space="0" w:color="auto"/>
            </w:tcBorders>
            <w:vAlign w:val="center"/>
            <w:hideMark/>
          </w:tcPr>
          <w:p w14:paraId="19D5970E" w14:textId="77777777" w:rsidR="008862C7" w:rsidRDefault="008862C7">
            <w:pPr>
              <w:widowControl w:val="0"/>
              <w:tabs>
                <w:tab w:val="left" w:pos="708"/>
              </w:tabs>
              <w:autoSpaceDE w:val="0"/>
              <w:autoSpaceDN w:val="0"/>
              <w:adjustRightInd w:val="0"/>
              <w:spacing w:before="120" w:after="0" w:line="276" w:lineRule="auto"/>
              <w:ind w:left="111"/>
              <w:jc w:val="center"/>
              <w:rPr>
                <w:rFonts w:ascii="Arial" w:eastAsia="Times New Roman" w:hAnsi="Arial" w:cs="Arial"/>
                <w:sz w:val="20"/>
                <w:szCs w:val="20"/>
              </w:rPr>
            </w:pPr>
            <w:r>
              <w:rPr>
                <w:rFonts w:ascii="Arial" w:hAnsi="Arial" w:cs="Arial"/>
                <w:spacing w:val="1"/>
                <w:sz w:val="20"/>
                <w:szCs w:val="20"/>
              </w:rPr>
              <w:t>0.5</w:t>
            </w:r>
            <w:r>
              <w:rPr>
                <w:rFonts w:ascii="Arial" w:hAnsi="Arial" w:cs="Arial"/>
                <w:spacing w:val="-1"/>
                <w:sz w:val="20"/>
                <w:szCs w:val="20"/>
              </w:rPr>
              <w:t>6</w:t>
            </w:r>
            <w:r>
              <w:rPr>
                <w:rFonts w:ascii="Arial" w:hAnsi="Arial" w:cs="Arial"/>
                <w:sz w:val="20"/>
                <w:szCs w:val="20"/>
              </w:rPr>
              <w:t>7</w:t>
            </w:r>
          </w:p>
        </w:tc>
      </w:tr>
      <w:tr w:rsidR="008862C7" w14:paraId="0644CF2B" w14:textId="77777777" w:rsidTr="008862C7">
        <w:trPr>
          <w:cantSplit/>
          <w:trHeight w:val="300"/>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42F65CA0" w14:textId="77777777" w:rsidR="008862C7" w:rsidRDefault="008862C7">
            <w:pPr>
              <w:widowControl w:val="0"/>
              <w:tabs>
                <w:tab w:val="left" w:pos="708"/>
              </w:tabs>
              <w:autoSpaceDE w:val="0"/>
              <w:autoSpaceDN w:val="0"/>
              <w:adjustRightInd w:val="0"/>
              <w:spacing w:before="120" w:after="0" w:line="276" w:lineRule="auto"/>
              <w:ind w:left="103"/>
              <w:rPr>
                <w:rFonts w:ascii="Arial" w:eastAsia="Times New Roman" w:hAnsi="Arial" w:cs="Arial"/>
                <w:position w:val="-6"/>
                <w:sz w:val="20"/>
                <w:szCs w:val="20"/>
                <w:lang w:val="en-US"/>
              </w:rPr>
            </w:pPr>
            <w:r>
              <w:rPr>
                <w:rFonts w:ascii="Arial" w:hAnsi="Arial" w:cs="Arial"/>
                <w:sz w:val="20"/>
                <w:szCs w:val="20"/>
                <w:lang w:val="en-US"/>
              </w:rPr>
              <w:t>W</w:t>
            </w:r>
            <w:r>
              <w:rPr>
                <w:rFonts w:ascii="Arial" w:hAnsi="Arial" w:cs="Arial"/>
                <w:spacing w:val="1"/>
                <w:sz w:val="20"/>
                <w:szCs w:val="20"/>
                <w:lang w:val="en-US"/>
              </w:rPr>
              <w:t>al</w:t>
            </w:r>
            <w:r>
              <w:rPr>
                <w:rFonts w:ascii="Arial" w:hAnsi="Arial" w:cs="Arial"/>
                <w:sz w:val="20"/>
                <w:szCs w:val="20"/>
                <w:lang w:val="en-US"/>
              </w:rPr>
              <w:t>d</w:t>
            </w:r>
            <w:r>
              <w:rPr>
                <w:rFonts w:ascii="Arial" w:hAnsi="Arial" w:cs="Arial"/>
                <w:spacing w:val="-3"/>
                <w:sz w:val="20"/>
                <w:szCs w:val="20"/>
                <w:lang w:val="en-US"/>
              </w:rPr>
              <w:t xml:space="preserve"> </w:t>
            </w:r>
            <w:r>
              <w:rPr>
                <w:rFonts w:ascii="Arial" w:hAnsi="Arial" w:cs="Arial"/>
                <w:sz w:val="20"/>
                <w:szCs w:val="20"/>
                <w:lang w:val="en-US"/>
              </w:rPr>
              <w:t>Ch</w:t>
            </w:r>
            <w:r>
              <w:rPr>
                <w:rFonts w:ascii="Arial" w:hAnsi="Arial" w:cs="Arial"/>
                <w:spacing w:val="1"/>
                <w:sz w:val="20"/>
                <w:szCs w:val="20"/>
                <w:lang w:val="en-US"/>
              </w:rPr>
              <w:t>i</w:t>
            </w:r>
            <w:r>
              <w:rPr>
                <w:rFonts w:ascii="Arial" w:hAnsi="Arial" w:cs="Arial"/>
                <w:sz w:val="20"/>
                <w:szCs w:val="20"/>
                <w:lang w:val="en-US"/>
              </w:rPr>
              <w:t>2</w:t>
            </w:r>
            <w:r>
              <w:rPr>
                <w:rFonts w:ascii="Arial" w:hAnsi="Arial" w:cs="Arial"/>
                <w:spacing w:val="-1"/>
                <w:sz w:val="20"/>
                <w:szCs w:val="20"/>
                <w:lang w:val="en-US"/>
              </w:rPr>
              <w:t xml:space="preserve"> (</w:t>
            </w:r>
            <w:r>
              <w:rPr>
                <w:rFonts w:ascii="Arial" w:hAnsi="Arial" w:cs="Arial"/>
                <w:spacing w:val="1"/>
                <w:sz w:val="20"/>
                <w:szCs w:val="20"/>
                <w:lang w:val="en-US"/>
              </w:rPr>
              <w:t>9</w:t>
            </w:r>
            <w:r>
              <w:rPr>
                <w:rFonts w:ascii="Arial" w:hAnsi="Arial" w:cs="Arial"/>
                <w:sz w:val="20"/>
                <w:szCs w:val="20"/>
                <w:lang w:val="en-US"/>
              </w:rPr>
              <w:t>)</w:t>
            </w:r>
          </w:p>
        </w:tc>
        <w:tc>
          <w:tcPr>
            <w:tcW w:w="3558" w:type="pct"/>
            <w:gridSpan w:val="3"/>
            <w:tcBorders>
              <w:top w:val="single" w:sz="4" w:space="0" w:color="auto"/>
              <w:left w:val="single" w:sz="4" w:space="0" w:color="auto"/>
              <w:bottom w:val="single" w:sz="4" w:space="0" w:color="auto"/>
              <w:right w:val="single" w:sz="4" w:space="0" w:color="auto"/>
            </w:tcBorders>
            <w:vAlign w:val="center"/>
            <w:hideMark/>
          </w:tcPr>
          <w:p w14:paraId="004C32C8" w14:textId="77777777" w:rsidR="008862C7" w:rsidRDefault="008862C7">
            <w:pPr>
              <w:widowControl w:val="0"/>
              <w:tabs>
                <w:tab w:val="left" w:pos="708"/>
              </w:tabs>
              <w:autoSpaceDE w:val="0"/>
              <w:autoSpaceDN w:val="0"/>
              <w:adjustRightInd w:val="0"/>
              <w:spacing w:before="120" w:after="0" w:line="276" w:lineRule="auto"/>
              <w:ind w:left="111"/>
              <w:jc w:val="center"/>
              <w:rPr>
                <w:rFonts w:ascii="Arial" w:eastAsia="Times New Roman" w:hAnsi="Arial" w:cs="Arial"/>
                <w:spacing w:val="1"/>
                <w:sz w:val="20"/>
                <w:szCs w:val="20"/>
                <w:lang w:val="en-US"/>
              </w:rPr>
            </w:pPr>
            <w:r>
              <w:rPr>
                <w:rFonts w:ascii="Arial" w:hAnsi="Arial" w:cs="Arial"/>
                <w:spacing w:val="1"/>
                <w:sz w:val="20"/>
                <w:szCs w:val="20"/>
              </w:rPr>
              <w:t>16</w:t>
            </w:r>
            <w:r>
              <w:rPr>
                <w:rFonts w:ascii="Arial" w:hAnsi="Arial" w:cs="Arial"/>
                <w:spacing w:val="-1"/>
                <w:sz w:val="20"/>
                <w:szCs w:val="20"/>
              </w:rPr>
              <w:t>2</w:t>
            </w:r>
            <w:r>
              <w:rPr>
                <w:rFonts w:ascii="Arial" w:hAnsi="Arial" w:cs="Arial"/>
                <w:spacing w:val="1"/>
                <w:sz w:val="20"/>
                <w:szCs w:val="20"/>
              </w:rPr>
              <w:t>3.4</w:t>
            </w:r>
            <w:r>
              <w:rPr>
                <w:rFonts w:ascii="Arial" w:hAnsi="Arial" w:cs="Arial"/>
                <w:sz w:val="20"/>
                <w:szCs w:val="20"/>
              </w:rPr>
              <w:t>0</w:t>
            </w:r>
          </w:p>
        </w:tc>
      </w:tr>
      <w:tr w:rsidR="008862C7" w14:paraId="22443499" w14:textId="77777777" w:rsidTr="008862C7">
        <w:trPr>
          <w:cantSplit/>
          <w:trHeight w:val="285"/>
          <w:jc w:val="center"/>
        </w:trPr>
        <w:tc>
          <w:tcPr>
            <w:tcW w:w="1442" w:type="pct"/>
            <w:tcBorders>
              <w:top w:val="single" w:sz="4" w:space="0" w:color="auto"/>
              <w:left w:val="single" w:sz="4" w:space="0" w:color="auto"/>
              <w:bottom w:val="single" w:sz="4" w:space="0" w:color="auto"/>
              <w:right w:val="single" w:sz="4" w:space="0" w:color="auto"/>
            </w:tcBorders>
            <w:vAlign w:val="center"/>
            <w:hideMark/>
          </w:tcPr>
          <w:p w14:paraId="18CC540E" w14:textId="77777777" w:rsidR="008862C7" w:rsidRDefault="008862C7">
            <w:pPr>
              <w:widowControl w:val="0"/>
              <w:tabs>
                <w:tab w:val="left" w:pos="708"/>
              </w:tabs>
              <w:autoSpaceDE w:val="0"/>
              <w:autoSpaceDN w:val="0"/>
              <w:adjustRightInd w:val="0"/>
              <w:spacing w:before="120" w:after="0" w:line="276" w:lineRule="auto"/>
              <w:ind w:left="103"/>
              <w:rPr>
                <w:rFonts w:ascii="Arial" w:eastAsia="Times New Roman" w:hAnsi="Arial" w:cs="Arial"/>
                <w:sz w:val="20"/>
                <w:szCs w:val="20"/>
                <w:lang w:val="en-US"/>
              </w:rPr>
            </w:pPr>
            <w:r>
              <w:rPr>
                <w:rFonts w:ascii="Arial" w:hAnsi="Arial" w:cs="Arial"/>
                <w:spacing w:val="1"/>
                <w:sz w:val="20"/>
                <w:szCs w:val="20"/>
                <w:lang w:val="en-US"/>
              </w:rPr>
              <w:t>P</w:t>
            </w:r>
            <w:r>
              <w:rPr>
                <w:rFonts w:ascii="Arial" w:hAnsi="Arial" w:cs="Arial"/>
                <w:spacing w:val="-1"/>
                <w:sz w:val="20"/>
                <w:szCs w:val="20"/>
                <w:lang w:val="en-US"/>
              </w:rPr>
              <w:t>r</w:t>
            </w:r>
            <w:r>
              <w:rPr>
                <w:rFonts w:ascii="Arial" w:hAnsi="Arial" w:cs="Arial"/>
                <w:sz w:val="20"/>
                <w:szCs w:val="20"/>
                <w:lang w:val="en-US"/>
              </w:rPr>
              <w:t>ob</w:t>
            </w:r>
            <w:r>
              <w:rPr>
                <w:rFonts w:ascii="Arial" w:hAnsi="Arial" w:cs="Arial"/>
                <w:spacing w:val="-1"/>
                <w:sz w:val="20"/>
                <w:szCs w:val="20"/>
                <w:lang w:val="en-US"/>
              </w:rPr>
              <w:t xml:space="preserve"> </w:t>
            </w:r>
            <w:r>
              <w:rPr>
                <w:rFonts w:ascii="Arial" w:hAnsi="Arial" w:cs="Arial"/>
                <w:sz w:val="20"/>
                <w:szCs w:val="20"/>
                <w:lang w:val="en-US"/>
              </w:rPr>
              <w:t>&gt;</w:t>
            </w:r>
            <w:r>
              <w:rPr>
                <w:rFonts w:ascii="Arial" w:hAnsi="Arial" w:cs="Arial"/>
                <w:spacing w:val="2"/>
                <w:sz w:val="20"/>
                <w:szCs w:val="20"/>
                <w:lang w:val="en-US"/>
              </w:rPr>
              <w:t xml:space="preserve"> </w:t>
            </w:r>
            <w:r>
              <w:rPr>
                <w:rFonts w:ascii="Arial" w:hAnsi="Arial" w:cs="Arial"/>
                <w:sz w:val="20"/>
                <w:szCs w:val="20"/>
                <w:lang w:val="en-US"/>
              </w:rPr>
              <w:t>Ch</w:t>
            </w:r>
            <w:r>
              <w:rPr>
                <w:rFonts w:ascii="Arial" w:hAnsi="Arial" w:cs="Arial"/>
                <w:spacing w:val="-1"/>
                <w:sz w:val="20"/>
                <w:szCs w:val="20"/>
                <w:lang w:val="en-US"/>
              </w:rPr>
              <w:t>i</w:t>
            </w:r>
            <w:r>
              <w:rPr>
                <w:rFonts w:ascii="Arial" w:hAnsi="Arial" w:cs="Arial"/>
                <w:sz w:val="20"/>
                <w:szCs w:val="20"/>
                <w:lang w:val="en-US"/>
              </w:rPr>
              <w:t>2</w:t>
            </w:r>
          </w:p>
        </w:tc>
        <w:tc>
          <w:tcPr>
            <w:tcW w:w="3558" w:type="pct"/>
            <w:gridSpan w:val="3"/>
            <w:tcBorders>
              <w:top w:val="single" w:sz="4" w:space="0" w:color="auto"/>
              <w:left w:val="single" w:sz="4" w:space="0" w:color="auto"/>
              <w:bottom w:val="single" w:sz="4" w:space="0" w:color="auto"/>
              <w:right w:val="single" w:sz="4" w:space="0" w:color="auto"/>
            </w:tcBorders>
            <w:vAlign w:val="center"/>
            <w:hideMark/>
          </w:tcPr>
          <w:p w14:paraId="71C15E1B" w14:textId="77777777" w:rsidR="008862C7" w:rsidRDefault="008862C7">
            <w:pPr>
              <w:widowControl w:val="0"/>
              <w:tabs>
                <w:tab w:val="left" w:pos="708"/>
              </w:tabs>
              <w:autoSpaceDE w:val="0"/>
              <w:autoSpaceDN w:val="0"/>
              <w:adjustRightInd w:val="0"/>
              <w:spacing w:before="120" w:after="0" w:line="276" w:lineRule="auto"/>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bl>
    <w:p w14:paraId="2DA29A57" w14:textId="77777777" w:rsidR="008862C7" w:rsidRDefault="008862C7" w:rsidP="008862C7">
      <w:pPr>
        <w:widowControl w:val="0"/>
        <w:autoSpaceDE w:val="0"/>
        <w:autoSpaceDN w:val="0"/>
        <w:adjustRightInd w:val="0"/>
        <w:spacing w:before="120" w:after="0" w:line="232" w:lineRule="exact"/>
        <w:rPr>
          <w:rFonts w:ascii="Arial" w:eastAsia="Times New Roman" w:hAnsi="Arial" w:cs="Arial"/>
          <w:sz w:val="20"/>
          <w:szCs w:val="20"/>
        </w:rPr>
      </w:pPr>
      <w:r>
        <w:rPr>
          <w:rFonts w:ascii="Arial" w:hAnsi="Arial" w:cs="Arial"/>
          <w:spacing w:val="1"/>
          <w:sz w:val="20"/>
          <w:szCs w:val="20"/>
          <w:u w:val="single"/>
        </w:rPr>
        <w:t>No</w:t>
      </w:r>
      <w:r>
        <w:rPr>
          <w:rFonts w:ascii="Arial" w:hAnsi="Arial" w:cs="Arial"/>
          <w:spacing w:val="-1"/>
          <w:sz w:val="20"/>
          <w:szCs w:val="20"/>
          <w:u w:val="single"/>
        </w:rPr>
        <w:t>t</w:t>
      </w:r>
      <w:r>
        <w:rPr>
          <w:rFonts w:ascii="Arial" w:hAnsi="Arial" w:cs="Arial"/>
          <w:sz w:val="20"/>
          <w:szCs w:val="20"/>
          <w:u w:val="single"/>
        </w:rPr>
        <w:t>e</w:t>
      </w:r>
      <w:r>
        <w:rPr>
          <w:rFonts w:ascii="Arial" w:hAnsi="Arial" w:cs="Arial"/>
          <w:spacing w:val="-3"/>
          <w:sz w:val="20"/>
          <w:szCs w:val="20"/>
        </w:rPr>
        <w:t xml:space="preserve"> </w:t>
      </w:r>
      <w:r>
        <w:rPr>
          <w:rFonts w:ascii="Arial" w:hAnsi="Arial" w:cs="Arial"/>
          <w:sz w:val="20"/>
          <w:szCs w:val="20"/>
        </w:rPr>
        <w:t>:</w:t>
      </w:r>
      <w:r>
        <w:rPr>
          <w:rFonts w:ascii="Arial" w:hAnsi="Arial" w:cs="Arial"/>
          <w:spacing w:val="-1"/>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ica</w:t>
      </w:r>
      <w:r>
        <w:rPr>
          <w:rFonts w:ascii="Arial" w:hAnsi="Arial" w:cs="Arial"/>
          <w:spacing w:val="-1"/>
          <w:sz w:val="20"/>
          <w:szCs w:val="20"/>
        </w:rPr>
        <w:t>t</w:t>
      </w:r>
      <w:r>
        <w:rPr>
          <w:rFonts w:ascii="Arial" w:hAnsi="Arial" w:cs="Arial"/>
          <w:sz w:val="20"/>
          <w:szCs w:val="20"/>
        </w:rPr>
        <w:t>if</w:t>
      </w:r>
      <w:r>
        <w:rPr>
          <w:rFonts w:ascii="Arial" w:hAnsi="Arial" w:cs="Arial"/>
          <w:spacing w:val="-9"/>
          <w:sz w:val="20"/>
          <w:szCs w:val="20"/>
        </w:rPr>
        <w:t xml:space="preserve"> </w:t>
      </w:r>
      <w:r>
        <w:rPr>
          <w:rFonts w:ascii="Arial" w:hAnsi="Arial" w:cs="Arial"/>
          <w:sz w:val="20"/>
          <w:szCs w:val="20"/>
        </w:rPr>
        <w:t>au</w:t>
      </w:r>
      <w:r>
        <w:rPr>
          <w:rFonts w:ascii="Arial" w:hAnsi="Arial" w:cs="Arial"/>
          <w:spacing w:val="1"/>
          <w:sz w:val="20"/>
          <w:szCs w:val="20"/>
        </w:rPr>
        <w:t xml:space="preserve"> seu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 xml:space="preserve"> 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t</w:t>
      </w:r>
      <w:r>
        <w:rPr>
          <w:rFonts w:ascii="Arial" w:hAnsi="Arial" w:cs="Arial"/>
          <w:sz w:val="20"/>
          <w:szCs w:val="20"/>
        </w:rPr>
        <w:t>if</w:t>
      </w:r>
      <w:r>
        <w:rPr>
          <w:rFonts w:ascii="Arial" w:hAnsi="Arial" w:cs="Arial"/>
          <w:spacing w:val="-7"/>
          <w:sz w:val="20"/>
          <w:szCs w:val="20"/>
        </w:rPr>
        <w:t xml:space="preserve"> </w:t>
      </w:r>
      <w:r>
        <w:rPr>
          <w:rFonts w:ascii="Arial" w:hAnsi="Arial" w:cs="Arial"/>
          <w:sz w:val="20"/>
          <w:szCs w:val="20"/>
        </w:rPr>
        <w:t>au</w:t>
      </w:r>
      <w:r>
        <w:rPr>
          <w:rFonts w:ascii="Arial" w:hAnsi="Arial" w:cs="Arial"/>
          <w:spacing w:val="-1"/>
          <w:sz w:val="20"/>
          <w:szCs w:val="20"/>
        </w:rPr>
        <w:t xml:space="preserve"> s</w:t>
      </w:r>
      <w:r>
        <w:rPr>
          <w:rFonts w:ascii="Arial" w:hAnsi="Arial" w:cs="Arial"/>
          <w:spacing w:val="1"/>
          <w:sz w:val="20"/>
          <w:szCs w:val="20"/>
        </w:rPr>
        <w:t>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5%</w:t>
      </w:r>
    </w:p>
    <w:p w14:paraId="5207BD64" w14:textId="77777777" w:rsidR="008862C7" w:rsidRDefault="008862C7" w:rsidP="008862C7">
      <w:pPr>
        <w:widowControl w:val="0"/>
        <w:autoSpaceDE w:val="0"/>
        <w:autoSpaceDN w:val="0"/>
        <w:adjustRightInd w:val="0"/>
        <w:spacing w:before="240" w:after="0" w:line="355" w:lineRule="auto"/>
        <w:ind w:right="86"/>
        <w:jc w:val="both"/>
        <w:rPr>
          <w:rFonts w:ascii="Arial" w:hAnsi="Arial" w:cs="Arial"/>
          <w:sz w:val="24"/>
          <w:szCs w:val="24"/>
        </w:rPr>
      </w:pPr>
      <w:r>
        <w:rPr>
          <w:rFonts w:ascii="Arial" w:hAnsi="Arial" w:cs="Arial"/>
          <w:spacing w:val="1"/>
          <w:sz w:val="24"/>
          <w:szCs w:val="24"/>
        </w:rPr>
        <w:t>Les résultats du modèle montrent q</w:t>
      </w:r>
      <w:r>
        <w:rPr>
          <w:rFonts w:ascii="Arial" w:hAnsi="Arial" w:cs="Arial"/>
          <w:sz w:val="24"/>
          <w:szCs w:val="24"/>
        </w:rPr>
        <w:t>ue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c</w:t>
      </w:r>
      <w:r>
        <w:rPr>
          <w:rFonts w:ascii="Arial" w:hAnsi="Arial" w:cs="Arial"/>
          <w:sz w:val="24"/>
          <w:szCs w:val="24"/>
        </w:rPr>
        <w:t>oe</w:t>
      </w:r>
      <w:r>
        <w:rPr>
          <w:rFonts w:ascii="Arial" w:hAnsi="Arial" w:cs="Arial"/>
          <w:spacing w:val="-1"/>
          <w:sz w:val="24"/>
          <w:szCs w:val="24"/>
        </w:rPr>
        <w:t>ff</w:t>
      </w:r>
      <w:r>
        <w:rPr>
          <w:rFonts w:ascii="Arial" w:hAnsi="Arial" w:cs="Arial"/>
          <w:spacing w:val="1"/>
          <w:sz w:val="24"/>
          <w:szCs w:val="24"/>
        </w:rPr>
        <w:t>i</w:t>
      </w:r>
      <w:r>
        <w:rPr>
          <w:rFonts w:ascii="Arial" w:hAnsi="Arial" w:cs="Arial"/>
          <w:spacing w:val="-1"/>
          <w:sz w:val="24"/>
          <w:szCs w:val="24"/>
        </w:rPr>
        <w:t>c</w:t>
      </w:r>
      <w:r>
        <w:rPr>
          <w:rFonts w:ascii="Arial" w:hAnsi="Arial" w:cs="Arial"/>
          <w:spacing w:val="4"/>
          <w:sz w:val="24"/>
          <w:szCs w:val="24"/>
        </w:rPr>
        <w:t>i</w:t>
      </w:r>
      <w:r>
        <w:rPr>
          <w:rFonts w:ascii="Arial" w:hAnsi="Arial" w:cs="Arial"/>
          <w:sz w:val="24"/>
          <w:szCs w:val="24"/>
        </w:rPr>
        <w:t>ents</w:t>
      </w:r>
      <w:r>
        <w:rPr>
          <w:rFonts w:ascii="Arial" w:hAnsi="Arial" w:cs="Arial"/>
          <w:spacing w:val="-6"/>
          <w:sz w:val="24"/>
          <w:szCs w:val="24"/>
        </w:rPr>
        <w:t xml:space="preserve"> des variables </w:t>
      </w:r>
      <w:r>
        <w:rPr>
          <w:rFonts w:ascii="Arial" w:hAnsi="Arial" w:cs="Arial"/>
          <w:sz w:val="24"/>
          <w:szCs w:val="24"/>
        </w:rPr>
        <w:t>ont</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1"/>
          <w:sz w:val="24"/>
          <w:szCs w:val="24"/>
        </w:rPr>
        <w:t xml:space="preserve"> s</w:t>
      </w:r>
      <w:r>
        <w:rPr>
          <w:rFonts w:ascii="Arial" w:hAnsi="Arial" w:cs="Arial"/>
          <w:spacing w:val="1"/>
          <w:sz w:val="24"/>
          <w:szCs w:val="24"/>
        </w:rPr>
        <w:t>ig</w:t>
      </w:r>
      <w:r>
        <w:rPr>
          <w:rFonts w:ascii="Arial" w:hAnsi="Arial" w:cs="Arial"/>
          <w:sz w:val="24"/>
          <w:szCs w:val="24"/>
        </w:rPr>
        <w:t>nes</w:t>
      </w:r>
      <w:r>
        <w:rPr>
          <w:rFonts w:ascii="Arial" w:hAnsi="Arial" w:cs="Arial"/>
          <w:spacing w:val="-2"/>
          <w:sz w:val="24"/>
          <w:szCs w:val="24"/>
        </w:rPr>
        <w:t xml:space="preserve"> </w:t>
      </w:r>
      <w:r>
        <w:rPr>
          <w:rFonts w:ascii="Arial" w:hAnsi="Arial" w:cs="Arial"/>
          <w:spacing w:val="1"/>
          <w:sz w:val="24"/>
          <w:szCs w:val="24"/>
        </w:rPr>
        <w:t xml:space="preserve">escomptés, </w:t>
      </w:r>
      <w:r>
        <w:rPr>
          <w:rFonts w:ascii="Arial" w:hAnsi="Arial" w:cs="Arial"/>
          <w:spacing w:val="-6"/>
          <w:sz w:val="24"/>
          <w:szCs w:val="24"/>
        </w:rPr>
        <w:t xml:space="preserve"> </w:t>
      </w:r>
      <w:r>
        <w:rPr>
          <w:rFonts w:ascii="Arial" w:hAnsi="Arial" w:cs="Arial"/>
          <w:spacing w:val="-1"/>
          <w:sz w:val="24"/>
          <w:szCs w:val="24"/>
        </w:rPr>
        <w:t xml:space="preserve">excepté log </w:t>
      </w:r>
      <w:r>
        <w:rPr>
          <w:rFonts w:ascii="Arial" w:hAnsi="Arial" w:cs="Arial"/>
          <w:spacing w:val="1"/>
          <w:sz w:val="24"/>
          <w:szCs w:val="24"/>
        </w:rPr>
        <w:t>ID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q</w:t>
      </w:r>
      <w:r>
        <w:rPr>
          <w:rFonts w:ascii="Arial" w:hAnsi="Arial" w:cs="Arial"/>
          <w:spacing w:val="-2"/>
          <w:sz w:val="24"/>
          <w:szCs w:val="24"/>
        </w:rPr>
        <w:t>u</w:t>
      </w:r>
      <w:r>
        <w:rPr>
          <w:rFonts w:ascii="Arial" w:hAnsi="Arial" w:cs="Arial"/>
          <w:sz w:val="24"/>
          <w:szCs w:val="24"/>
        </w:rPr>
        <w:t>i</w:t>
      </w:r>
      <w:r>
        <w:rPr>
          <w:rFonts w:ascii="Arial" w:hAnsi="Arial" w:cs="Arial"/>
          <w:spacing w:val="10"/>
          <w:sz w:val="24"/>
          <w:szCs w:val="24"/>
        </w:rPr>
        <w:t xml:space="preserve"> de plus </w:t>
      </w:r>
      <w:r>
        <w:rPr>
          <w:rFonts w:ascii="Arial" w:hAnsi="Arial" w:cs="Arial"/>
          <w:sz w:val="24"/>
          <w:szCs w:val="24"/>
        </w:rPr>
        <w:t>n</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8"/>
          <w:sz w:val="24"/>
          <w:szCs w:val="24"/>
        </w:rPr>
        <w:t xml:space="preserve"> pas de grande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ion</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7"/>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oton (PMC),</w:t>
      </w:r>
      <w:r>
        <w:rPr>
          <w:rFonts w:ascii="Arial" w:hAnsi="Arial" w:cs="Arial"/>
          <w:spacing w:val="7"/>
          <w:sz w:val="24"/>
          <w:szCs w:val="24"/>
        </w:rPr>
        <w:t xml:space="preserve"> la qualité du coton fibre exporté (QUA),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w:t>
      </w:r>
      <w:r>
        <w:rPr>
          <w:rFonts w:ascii="Arial" w:hAnsi="Arial" w:cs="Arial"/>
          <w:spacing w:val="-2"/>
          <w:sz w:val="24"/>
          <w:szCs w:val="24"/>
        </w:rPr>
        <w:t>t</w:t>
      </w:r>
      <w:r>
        <w:rPr>
          <w:rFonts w:ascii="Arial" w:hAnsi="Arial" w:cs="Arial"/>
          <w:spacing w:val="1"/>
          <w:sz w:val="24"/>
          <w:szCs w:val="24"/>
        </w:rPr>
        <w:t>ag</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 (ACR)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 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es</w:t>
      </w:r>
      <w:r>
        <w:rPr>
          <w:rFonts w:ascii="Arial" w:hAnsi="Arial" w:cs="Arial"/>
          <w:spacing w:val="3"/>
          <w:sz w:val="24"/>
          <w:szCs w:val="24"/>
        </w:rPr>
        <w:t xml:space="preserve"> (CON) </w:t>
      </w:r>
      <w:r>
        <w:rPr>
          <w:rFonts w:ascii="Arial" w:hAnsi="Arial" w:cs="Arial"/>
          <w:sz w:val="24"/>
          <w:szCs w:val="24"/>
        </w:rPr>
        <w:t>et</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es su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 (SUBV)</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 xml:space="preserve">ont </w:t>
      </w:r>
      <w:r>
        <w:rPr>
          <w:rFonts w:ascii="Arial" w:hAnsi="Arial" w:cs="Arial"/>
          <w:spacing w:val="5"/>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fs</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Par contre 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s</w:t>
      </w:r>
      <w:r>
        <w:rPr>
          <w:rFonts w:ascii="Arial" w:hAnsi="Arial" w:cs="Arial"/>
          <w:spacing w:val="1"/>
          <w:sz w:val="24"/>
          <w:szCs w:val="24"/>
        </w:rPr>
        <w:t>y</w:t>
      </w:r>
      <w:r>
        <w:rPr>
          <w:rFonts w:ascii="Arial" w:hAnsi="Arial" w:cs="Arial"/>
          <w:sz w:val="24"/>
          <w:szCs w:val="24"/>
        </w:rPr>
        <w:t>nthét</w:t>
      </w:r>
      <w:r>
        <w:rPr>
          <w:rFonts w:ascii="Arial" w:hAnsi="Arial" w:cs="Arial"/>
          <w:spacing w:val="1"/>
          <w:sz w:val="24"/>
          <w:szCs w:val="24"/>
        </w:rPr>
        <w:t>iq</w:t>
      </w:r>
      <w:r>
        <w:rPr>
          <w:rFonts w:ascii="Arial" w:hAnsi="Arial" w:cs="Arial"/>
          <w:sz w:val="24"/>
          <w:szCs w:val="24"/>
        </w:rPr>
        <w:t>ue</w:t>
      </w:r>
      <w:r>
        <w:rPr>
          <w:rFonts w:ascii="Arial" w:hAnsi="Arial" w:cs="Arial"/>
          <w:spacing w:val="-1"/>
          <w:sz w:val="24"/>
          <w:szCs w:val="24"/>
        </w:rPr>
        <w:t>s (PFS)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 xml:space="preserve">e effectif </w:t>
      </w:r>
      <w:r>
        <w:rPr>
          <w:rFonts w:ascii="Arial" w:hAnsi="Arial" w:cs="Arial"/>
          <w:spacing w:val="-1"/>
          <w:sz w:val="24"/>
          <w:szCs w:val="24"/>
        </w:rPr>
        <w:t>r</w:t>
      </w:r>
      <w:r>
        <w:rPr>
          <w:rFonts w:ascii="Arial" w:hAnsi="Arial" w:cs="Arial"/>
          <w:sz w:val="24"/>
          <w:szCs w:val="24"/>
        </w:rPr>
        <w:t xml:space="preserve">éel (TCER), </w:t>
      </w:r>
      <w:r>
        <w:rPr>
          <w:rFonts w:ascii="Arial" w:hAnsi="Arial" w:cs="Arial"/>
          <w:spacing w:val="1"/>
          <w:sz w:val="24"/>
          <w:szCs w:val="24"/>
        </w:rPr>
        <w:t>l</w:t>
      </w:r>
      <w:r>
        <w:rPr>
          <w:rFonts w:ascii="Arial" w:hAnsi="Arial" w:cs="Arial"/>
          <w:sz w:val="24"/>
          <w:szCs w:val="24"/>
        </w:rPr>
        <w:t>a</w:t>
      </w:r>
      <w:r>
        <w:rPr>
          <w:rFonts w:ascii="Arial" w:hAnsi="Arial" w:cs="Arial"/>
          <w:spacing w:val="11"/>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 (DIST) et le tarif douanier à l’exportation (TAR)</w:t>
      </w:r>
      <w:r>
        <w:rPr>
          <w:rFonts w:ascii="Arial" w:hAnsi="Arial" w:cs="Arial"/>
          <w:spacing w:val="6"/>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1"/>
          <w:sz w:val="24"/>
          <w:szCs w:val="24"/>
        </w:rPr>
        <w:t>liq</w:t>
      </w:r>
      <w:r>
        <w:rPr>
          <w:rFonts w:ascii="Arial" w:hAnsi="Arial" w:cs="Arial"/>
          <w:sz w:val="24"/>
          <w:szCs w:val="24"/>
        </w:rPr>
        <w:t>uent</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8"/>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pacing w:val="-2"/>
          <w:sz w:val="24"/>
          <w:szCs w:val="24"/>
        </w:rPr>
        <w:t>n</w:t>
      </w:r>
      <w:r>
        <w:rPr>
          <w:rFonts w:ascii="Arial" w:hAnsi="Arial" w:cs="Arial"/>
          <w:spacing w:val="1"/>
          <w:sz w:val="24"/>
          <w:szCs w:val="24"/>
        </w:rPr>
        <w:t>i</w:t>
      </w:r>
      <w:r>
        <w:rPr>
          <w:rFonts w:ascii="Arial" w:hAnsi="Arial" w:cs="Arial"/>
          <w:spacing w:val="-1"/>
          <w:sz w:val="24"/>
          <w:szCs w:val="24"/>
        </w:rPr>
        <w:t>fic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ement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ff</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6"/>
          <w:sz w:val="24"/>
          <w:szCs w:val="24"/>
        </w:rPr>
        <w:t xml:space="preserve"> </w:t>
      </w:r>
      <w:r>
        <w:rPr>
          <w:rFonts w:ascii="Arial" w:hAnsi="Arial" w:cs="Arial"/>
          <w:sz w:val="24"/>
          <w:szCs w:val="24"/>
        </w:rPr>
        <w:t>à</w:t>
      </w:r>
      <w:r>
        <w:rPr>
          <w:rFonts w:ascii="Arial" w:hAnsi="Arial" w:cs="Arial"/>
          <w:spacing w:val="11"/>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pacing w:val="1"/>
          <w:sz w:val="24"/>
          <w:szCs w:val="24"/>
        </w:rPr>
        <w:t>Ainsi</w:t>
      </w:r>
      <w:r>
        <w:rPr>
          <w:rFonts w:ascii="Arial" w:hAnsi="Arial" w:cs="Arial"/>
          <w:sz w:val="24"/>
          <w:szCs w:val="24"/>
        </w:rPr>
        <w:t>,</w:t>
      </w:r>
      <w:r>
        <w:rPr>
          <w:rFonts w:ascii="Arial" w:hAnsi="Arial" w:cs="Arial"/>
          <w:spacing w:val="7"/>
          <w:sz w:val="24"/>
          <w:szCs w:val="24"/>
        </w:rPr>
        <w:t xml:space="preserve"> </w:t>
      </w:r>
      <w:r>
        <w:rPr>
          <w:rFonts w:ascii="Arial" w:hAnsi="Arial" w:cs="Arial"/>
          <w:sz w:val="24"/>
          <w:szCs w:val="24"/>
        </w:rPr>
        <w:t>une</w:t>
      </w:r>
      <w:r>
        <w:rPr>
          <w:rFonts w:ascii="Arial" w:hAnsi="Arial" w:cs="Arial"/>
          <w:spacing w:val="9"/>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g</w:t>
      </w:r>
      <w:r>
        <w:rPr>
          <w:rFonts w:ascii="Arial" w:hAnsi="Arial" w:cs="Arial"/>
          <w:sz w:val="24"/>
          <w:szCs w:val="24"/>
        </w:rPr>
        <w:t>ment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10</w:t>
      </w:r>
      <w:r>
        <w:rPr>
          <w:rFonts w:ascii="Arial" w:hAnsi="Arial" w:cs="Arial"/>
          <w:sz w:val="24"/>
          <w:szCs w:val="24"/>
        </w:rPr>
        <w:t>%</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4"/>
          <w:sz w:val="24"/>
          <w:szCs w:val="24"/>
        </w:rPr>
        <w:t>i</w:t>
      </w:r>
      <w:r>
        <w:rPr>
          <w:rFonts w:ascii="Arial" w:hAnsi="Arial" w:cs="Arial"/>
          <w:sz w:val="24"/>
          <w:szCs w:val="24"/>
        </w:rPr>
        <w:t>x</w:t>
      </w:r>
      <w:r>
        <w:rPr>
          <w:rFonts w:ascii="Arial" w:hAnsi="Arial" w:cs="Arial"/>
          <w:spacing w:val="9"/>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7"/>
          <w:sz w:val="24"/>
          <w:szCs w:val="24"/>
        </w:rPr>
        <w:t xml:space="preserve"> </w:t>
      </w:r>
      <w:r>
        <w:rPr>
          <w:rFonts w:ascii="Arial" w:hAnsi="Arial" w:cs="Arial"/>
          <w:sz w:val="24"/>
          <w:szCs w:val="24"/>
        </w:rPr>
        <w:t>et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ag</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w:t>
      </w:r>
      <w:r>
        <w:rPr>
          <w:rFonts w:ascii="Arial" w:hAnsi="Arial" w:cs="Arial"/>
          <w:spacing w:val="7"/>
          <w:sz w:val="24"/>
          <w:szCs w:val="24"/>
        </w:rPr>
        <w:t xml:space="preserve"> </w:t>
      </w:r>
      <w:r>
        <w:rPr>
          <w:rFonts w:ascii="Arial" w:hAnsi="Arial" w:cs="Arial"/>
          <w:spacing w:val="1"/>
          <w:sz w:val="24"/>
          <w:szCs w:val="24"/>
        </w:rPr>
        <w:t>i</w:t>
      </w:r>
      <w:r>
        <w:rPr>
          <w:rFonts w:ascii="Arial" w:hAnsi="Arial" w:cs="Arial"/>
          <w:spacing w:val="-2"/>
          <w:sz w:val="24"/>
          <w:szCs w:val="24"/>
        </w:rPr>
        <w:t>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iv</w:t>
      </w:r>
      <w:r>
        <w:rPr>
          <w:rFonts w:ascii="Arial" w:hAnsi="Arial" w:cs="Arial"/>
          <w:sz w:val="24"/>
          <w:szCs w:val="24"/>
        </w:rPr>
        <w:t>ement</w:t>
      </w:r>
      <w:r>
        <w:rPr>
          <w:rFonts w:ascii="Arial" w:hAnsi="Arial" w:cs="Arial"/>
          <w:spacing w:val="1"/>
          <w:sz w:val="24"/>
          <w:szCs w:val="24"/>
        </w:rPr>
        <w:t xml:space="preserve"> l</w:t>
      </w:r>
      <w:r>
        <w:rPr>
          <w:rFonts w:ascii="Arial" w:hAnsi="Arial" w:cs="Arial"/>
          <w:sz w:val="24"/>
          <w:szCs w:val="24"/>
        </w:rPr>
        <w:t>es</w:t>
      </w:r>
      <w:r>
        <w:rPr>
          <w:rFonts w:ascii="Arial" w:hAnsi="Arial" w:cs="Arial"/>
          <w:spacing w:val="9"/>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sp</w:t>
      </w:r>
      <w:r>
        <w:rPr>
          <w:rFonts w:ascii="Arial" w:hAnsi="Arial" w:cs="Arial"/>
          <w:spacing w:val="2"/>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6,14</w:t>
      </w:r>
      <w:r>
        <w:rPr>
          <w:rFonts w:ascii="Arial" w:hAnsi="Arial" w:cs="Arial"/>
          <w:sz w:val="24"/>
          <w:szCs w:val="24"/>
        </w:rPr>
        <w:t>% et</w:t>
      </w:r>
      <w:r>
        <w:rPr>
          <w:rFonts w:ascii="Arial" w:hAnsi="Arial" w:cs="Arial"/>
          <w:spacing w:val="6"/>
          <w:sz w:val="24"/>
          <w:szCs w:val="24"/>
        </w:rPr>
        <w:t xml:space="preserve"> </w:t>
      </w:r>
      <w:r>
        <w:rPr>
          <w:rFonts w:ascii="Arial" w:hAnsi="Arial" w:cs="Arial"/>
          <w:spacing w:val="1"/>
          <w:sz w:val="24"/>
          <w:szCs w:val="24"/>
        </w:rPr>
        <w:t>5,</w:t>
      </w:r>
      <w:r>
        <w:rPr>
          <w:rFonts w:ascii="Arial" w:hAnsi="Arial" w:cs="Arial"/>
          <w:spacing w:val="-1"/>
          <w:sz w:val="24"/>
          <w:szCs w:val="24"/>
        </w:rPr>
        <w:t>6</w:t>
      </w:r>
      <w:r>
        <w:rPr>
          <w:rFonts w:ascii="Arial" w:hAnsi="Arial" w:cs="Arial"/>
          <w:spacing w:val="1"/>
          <w:sz w:val="24"/>
          <w:szCs w:val="24"/>
        </w:rPr>
        <w:t>1</w:t>
      </w:r>
      <w:r>
        <w:rPr>
          <w:rFonts w:ascii="Arial" w:hAnsi="Arial" w:cs="Arial"/>
          <w:spacing w:val="-1"/>
          <w:sz w:val="24"/>
          <w:szCs w:val="24"/>
        </w:rPr>
        <w:t>%</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En</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un</w:t>
      </w:r>
      <w:r>
        <w:rPr>
          <w:rFonts w:ascii="Arial" w:hAnsi="Arial" w:cs="Arial"/>
          <w:spacing w:val="8"/>
          <w:sz w:val="24"/>
          <w:szCs w:val="24"/>
        </w:rPr>
        <w:t xml:space="preserve"> </w:t>
      </w:r>
      <w:r>
        <w:rPr>
          <w:rFonts w:ascii="Arial" w:hAnsi="Arial" w:cs="Arial"/>
          <w:spacing w:val="1"/>
          <w:sz w:val="24"/>
          <w:szCs w:val="24"/>
        </w:rPr>
        <w:t>a</w:t>
      </w:r>
      <w:r>
        <w:rPr>
          <w:rFonts w:ascii="Arial" w:hAnsi="Arial" w:cs="Arial"/>
          <w:spacing w:val="-1"/>
          <w:sz w:val="24"/>
          <w:szCs w:val="24"/>
        </w:rPr>
        <w:t>ccr</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10</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4"/>
          <w:sz w:val="24"/>
          <w:szCs w:val="24"/>
        </w:rPr>
        <w:t xml:space="preserve"> </w:t>
      </w:r>
      <w:r>
        <w:rPr>
          <w:rFonts w:ascii="Arial" w:hAnsi="Arial" w:cs="Arial"/>
          <w:spacing w:val="-1"/>
          <w:sz w:val="24"/>
          <w:szCs w:val="24"/>
        </w:rPr>
        <w:t>TCER</w:t>
      </w:r>
      <w:r>
        <w:rPr>
          <w:rFonts w:ascii="Arial" w:hAnsi="Arial" w:cs="Arial"/>
          <w:spacing w:val="1"/>
          <w:sz w:val="24"/>
          <w:szCs w:val="24"/>
        </w:rPr>
        <w:t xml:space="preserve"> </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 xml:space="preserve">de la subvention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f</w:t>
      </w:r>
      <w:r>
        <w:rPr>
          <w:rFonts w:ascii="Arial" w:hAnsi="Arial" w:cs="Arial"/>
          <w:spacing w:val="1"/>
          <w:sz w:val="24"/>
          <w:szCs w:val="24"/>
        </w:rPr>
        <w:t>l</w:t>
      </w:r>
      <w:r>
        <w:rPr>
          <w:rFonts w:ascii="Arial" w:hAnsi="Arial" w:cs="Arial"/>
          <w:sz w:val="24"/>
          <w:szCs w:val="24"/>
        </w:rPr>
        <w:t>uen</w:t>
      </w:r>
      <w:r>
        <w:rPr>
          <w:rFonts w:ascii="Arial" w:hAnsi="Arial" w:cs="Arial"/>
          <w:spacing w:val="-1"/>
          <w:sz w:val="24"/>
          <w:szCs w:val="24"/>
        </w:rPr>
        <w:t>c</w:t>
      </w:r>
      <w:r>
        <w:rPr>
          <w:rFonts w:ascii="Arial" w:hAnsi="Arial" w:cs="Arial"/>
          <w:sz w:val="24"/>
          <w:szCs w:val="24"/>
        </w:rPr>
        <w:t>ent</w:t>
      </w:r>
      <w:r>
        <w:rPr>
          <w:rFonts w:ascii="Arial" w:hAnsi="Arial" w:cs="Arial"/>
          <w:spacing w:val="7"/>
          <w:sz w:val="24"/>
          <w:szCs w:val="24"/>
        </w:rPr>
        <w:t xml:space="preserve"> </w:t>
      </w:r>
      <w:r>
        <w:rPr>
          <w:rFonts w:ascii="Arial" w:hAnsi="Arial" w:cs="Arial"/>
          <w:sz w:val="24"/>
          <w:szCs w:val="24"/>
        </w:rPr>
        <w:t>né</w:t>
      </w:r>
      <w:r>
        <w:rPr>
          <w:rFonts w:ascii="Arial" w:hAnsi="Arial" w:cs="Arial"/>
          <w:spacing w:val="1"/>
          <w:sz w:val="24"/>
          <w:szCs w:val="24"/>
        </w:rPr>
        <w:t>ga</w:t>
      </w:r>
      <w:r>
        <w:rPr>
          <w:rFonts w:ascii="Arial" w:hAnsi="Arial" w:cs="Arial"/>
          <w:sz w:val="24"/>
          <w:szCs w:val="24"/>
        </w:rPr>
        <w:t>t</w:t>
      </w:r>
      <w:r>
        <w:rPr>
          <w:rFonts w:ascii="Arial" w:hAnsi="Arial" w:cs="Arial"/>
          <w:spacing w:val="1"/>
          <w:sz w:val="24"/>
          <w:szCs w:val="24"/>
        </w:rPr>
        <w:t>iv</w:t>
      </w:r>
      <w:r>
        <w:rPr>
          <w:rFonts w:ascii="Arial" w:hAnsi="Arial" w:cs="Arial"/>
          <w:spacing w:val="-2"/>
          <w:sz w:val="24"/>
          <w:szCs w:val="24"/>
        </w:rPr>
        <w:t>e</w:t>
      </w:r>
      <w:r>
        <w:rPr>
          <w:rFonts w:ascii="Arial" w:hAnsi="Arial" w:cs="Arial"/>
          <w:sz w:val="24"/>
          <w:szCs w:val="24"/>
        </w:rPr>
        <w:t xml:space="preserve">ment </w:t>
      </w:r>
      <w:r>
        <w:rPr>
          <w:rFonts w:ascii="Arial" w:hAnsi="Arial" w:cs="Arial"/>
          <w:spacing w:val="1"/>
          <w:sz w:val="24"/>
          <w:szCs w:val="24"/>
        </w:rPr>
        <w:t>l</w:t>
      </w:r>
      <w:r>
        <w:rPr>
          <w:rFonts w:ascii="Arial" w:hAnsi="Arial" w:cs="Arial"/>
          <w:sz w:val="24"/>
          <w:szCs w:val="24"/>
        </w:rPr>
        <w:t>es</w:t>
      </w:r>
      <w:r>
        <w:rPr>
          <w:rFonts w:ascii="Arial" w:hAnsi="Arial" w:cs="Arial"/>
          <w:spacing w:val="9"/>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s</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12"/>
          <w:sz w:val="24"/>
          <w:szCs w:val="24"/>
        </w:rPr>
        <w:t xml:space="preserve"> </w:t>
      </w:r>
      <w:r>
        <w:rPr>
          <w:rFonts w:ascii="Arial" w:hAnsi="Arial" w:cs="Arial"/>
          <w:spacing w:val="1"/>
          <w:sz w:val="24"/>
          <w:szCs w:val="24"/>
        </w:rPr>
        <w:t>8, 7</w:t>
      </w:r>
      <w:r>
        <w:rPr>
          <w:rFonts w:ascii="Arial" w:hAnsi="Arial" w:cs="Arial"/>
          <w:sz w:val="24"/>
          <w:szCs w:val="24"/>
        </w:rPr>
        <w:t>%</w:t>
      </w:r>
      <w:r>
        <w:rPr>
          <w:rFonts w:ascii="Arial" w:hAnsi="Arial" w:cs="Arial"/>
          <w:spacing w:val="5"/>
          <w:sz w:val="24"/>
          <w:szCs w:val="24"/>
        </w:rPr>
        <w:t xml:space="preserve"> </w:t>
      </w:r>
      <w:r>
        <w:rPr>
          <w:rFonts w:ascii="Arial" w:hAnsi="Arial" w:cs="Arial"/>
          <w:sz w:val="24"/>
          <w:szCs w:val="24"/>
        </w:rPr>
        <w:t>et</w:t>
      </w:r>
      <w:r>
        <w:rPr>
          <w:rFonts w:ascii="Arial" w:hAnsi="Arial" w:cs="Arial"/>
          <w:spacing w:val="9"/>
          <w:sz w:val="24"/>
          <w:szCs w:val="24"/>
        </w:rPr>
        <w:t xml:space="preserve"> </w:t>
      </w:r>
      <w:r>
        <w:rPr>
          <w:rFonts w:ascii="Arial" w:hAnsi="Arial" w:cs="Arial"/>
          <w:spacing w:val="1"/>
          <w:sz w:val="24"/>
          <w:szCs w:val="24"/>
        </w:rPr>
        <w:t>2</w:t>
      </w:r>
      <w:r>
        <w:rPr>
          <w:rFonts w:ascii="Arial" w:hAnsi="Arial" w:cs="Arial"/>
          <w:sz w:val="24"/>
          <w:szCs w:val="24"/>
        </w:rPr>
        <w:t>7,3</w:t>
      </w:r>
      <w:r>
        <w:rPr>
          <w:rFonts w:ascii="Arial" w:hAnsi="Arial" w:cs="Arial"/>
          <w:spacing w:val="-1"/>
          <w:sz w:val="24"/>
          <w:szCs w:val="24"/>
        </w:rPr>
        <w:t>%</w:t>
      </w:r>
      <w:r>
        <w:rPr>
          <w:rFonts w:ascii="Arial" w:hAnsi="Arial" w:cs="Arial"/>
          <w:sz w:val="24"/>
          <w:szCs w:val="24"/>
        </w:rPr>
        <w:t xml:space="preserve">. </w:t>
      </w:r>
    </w:p>
    <w:p w14:paraId="0DF9919A" w14:textId="77777777" w:rsidR="008862C7" w:rsidRDefault="008862C7" w:rsidP="008862C7">
      <w:pPr>
        <w:widowControl w:val="0"/>
        <w:autoSpaceDE w:val="0"/>
        <w:autoSpaceDN w:val="0"/>
        <w:adjustRightInd w:val="0"/>
        <w:spacing w:before="120" w:after="0" w:line="355" w:lineRule="auto"/>
        <w:ind w:right="86"/>
        <w:jc w:val="both"/>
        <w:rPr>
          <w:rFonts w:ascii="Arial" w:hAnsi="Arial" w:cs="Arial"/>
          <w:sz w:val="24"/>
          <w:szCs w:val="24"/>
        </w:rPr>
      </w:pPr>
      <w:r>
        <w:rPr>
          <w:rFonts w:ascii="Arial" w:hAnsi="Arial" w:cs="Arial"/>
          <w:spacing w:val="1"/>
          <w:sz w:val="24"/>
          <w:szCs w:val="24"/>
        </w:rPr>
        <w:t>N</w:t>
      </w:r>
      <w:r>
        <w:rPr>
          <w:rFonts w:ascii="Arial" w:hAnsi="Arial" w:cs="Arial"/>
          <w:sz w:val="24"/>
          <w:szCs w:val="24"/>
        </w:rPr>
        <w:t>ous</w:t>
      </w:r>
      <w:r>
        <w:rPr>
          <w:rFonts w:ascii="Arial" w:hAnsi="Arial" w:cs="Arial"/>
          <w:spacing w:val="10"/>
          <w:sz w:val="24"/>
          <w:szCs w:val="24"/>
        </w:rPr>
        <w:t xml:space="preserve"> </w:t>
      </w:r>
      <w:r>
        <w:rPr>
          <w:rFonts w:ascii="Arial" w:hAnsi="Arial" w:cs="Arial"/>
          <w:spacing w:val="1"/>
          <w:sz w:val="24"/>
          <w:szCs w:val="24"/>
        </w:rPr>
        <w:t>av</w:t>
      </w:r>
      <w:r>
        <w:rPr>
          <w:rFonts w:ascii="Arial" w:hAnsi="Arial" w:cs="Arial"/>
          <w:sz w:val="24"/>
          <w:szCs w:val="24"/>
        </w:rPr>
        <w:t>ons</w:t>
      </w:r>
      <w:r>
        <w:rPr>
          <w:rFonts w:ascii="Arial" w:hAnsi="Arial" w:cs="Arial"/>
          <w:spacing w:val="7"/>
          <w:sz w:val="24"/>
          <w:szCs w:val="24"/>
        </w:rPr>
        <w:t xml:space="preserve"> </w:t>
      </w:r>
      <w:r>
        <w:rPr>
          <w:rFonts w:ascii="Arial" w:hAnsi="Arial" w:cs="Arial"/>
          <w:sz w:val="24"/>
          <w:szCs w:val="24"/>
        </w:rPr>
        <w:t>en</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i</w:t>
      </w:r>
      <w:r>
        <w:rPr>
          <w:rFonts w:ascii="Arial" w:hAnsi="Arial" w:cs="Arial"/>
          <w:sz w:val="24"/>
          <w:szCs w:val="24"/>
        </w:rPr>
        <w:t>te</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rr</w:t>
      </w:r>
      <w:r>
        <w:rPr>
          <w:rFonts w:ascii="Arial" w:hAnsi="Arial" w:cs="Arial"/>
          <w:spacing w:val="1"/>
          <w:sz w:val="24"/>
          <w:szCs w:val="24"/>
        </w:rPr>
        <w:t>ig</w:t>
      </w:r>
      <w:r>
        <w:rPr>
          <w:rFonts w:ascii="Arial" w:hAnsi="Arial" w:cs="Arial"/>
          <w:sz w:val="24"/>
          <w:szCs w:val="24"/>
        </w:rPr>
        <w:t>é</w:t>
      </w:r>
      <w:r>
        <w:rPr>
          <w:rFonts w:ascii="Arial" w:hAnsi="Arial" w:cs="Arial"/>
          <w:spacing w:val="8"/>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w:t>
      </w:r>
      <w:r>
        <w:rPr>
          <w:rFonts w:ascii="Arial" w:hAnsi="Arial" w:cs="Arial"/>
          <w:sz w:val="24"/>
          <w:szCs w:val="24"/>
        </w:rPr>
        <w:t>uto</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rr</w:t>
      </w:r>
      <w:r>
        <w:rPr>
          <w:rFonts w:ascii="Arial" w:hAnsi="Arial" w:cs="Arial"/>
          <w:sz w:val="24"/>
          <w:szCs w:val="24"/>
        </w:rPr>
        <w:t>é</w:t>
      </w:r>
      <w:r>
        <w:rPr>
          <w:rFonts w:ascii="Arial" w:hAnsi="Arial" w:cs="Arial"/>
          <w:spacing w:val="1"/>
          <w:sz w:val="24"/>
          <w:szCs w:val="24"/>
        </w:rPr>
        <w:t>la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z w:val="24"/>
          <w:szCs w:val="24"/>
        </w:rPr>
        <w:t>et</w:t>
      </w:r>
      <w:r>
        <w:rPr>
          <w:rFonts w:ascii="Arial" w:hAnsi="Arial" w:cs="Arial"/>
          <w:spacing w:val="10"/>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hété</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sc</w:t>
      </w:r>
      <w:r>
        <w:rPr>
          <w:rFonts w:ascii="Arial" w:hAnsi="Arial" w:cs="Arial"/>
          <w:spacing w:val="2"/>
          <w:sz w:val="24"/>
          <w:szCs w:val="24"/>
        </w:rPr>
        <w:t>é</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té </w:t>
      </w:r>
      <w:r>
        <w:rPr>
          <w:rFonts w:ascii="Arial" w:hAnsi="Arial" w:cs="Arial"/>
          <w:spacing w:val="-1"/>
          <w:sz w:val="24"/>
          <w:szCs w:val="24"/>
        </w:rPr>
        <w:t>sp</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iq</w:t>
      </w:r>
      <w:r>
        <w:rPr>
          <w:rFonts w:ascii="Arial" w:hAnsi="Arial" w:cs="Arial"/>
          <w:sz w:val="24"/>
          <w:szCs w:val="24"/>
        </w:rPr>
        <w:t>ue</w:t>
      </w:r>
      <w:r>
        <w:rPr>
          <w:rFonts w:ascii="Arial" w:hAnsi="Arial" w:cs="Arial"/>
          <w:spacing w:val="6"/>
          <w:sz w:val="24"/>
          <w:szCs w:val="24"/>
        </w:rPr>
        <w:t xml:space="preserve"> </w:t>
      </w:r>
      <w:r>
        <w:rPr>
          <w:rFonts w:ascii="Arial" w:hAnsi="Arial" w:cs="Arial"/>
          <w:sz w:val="24"/>
          <w:szCs w:val="24"/>
        </w:rPr>
        <w:t xml:space="preserve">à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aq</w:t>
      </w:r>
      <w:r>
        <w:rPr>
          <w:rFonts w:ascii="Arial" w:hAnsi="Arial" w:cs="Arial"/>
          <w:sz w:val="24"/>
          <w:szCs w:val="24"/>
        </w:rPr>
        <w:t>ue variable du modèle.</w:t>
      </w:r>
    </w:p>
    <w:p w14:paraId="3A53867B" w14:textId="77777777" w:rsidR="0079544B" w:rsidRDefault="0079544B" w:rsidP="008862C7">
      <w:pPr>
        <w:widowControl w:val="0"/>
        <w:autoSpaceDE w:val="0"/>
        <w:autoSpaceDN w:val="0"/>
        <w:adjustRightInd w:val="0"/>
        <w:spacing w:after="0" w:line="360" w:lineRule="auto"/>
        <w:ind w:right="727"/>
        <w:jc w:val="both"/>
        <w:rPr>
          <w:rFonts w:ascii="Arial" w:hAnsi="Arial" w:cs="Arial"/>
          <w:b/>
          <w:spacing w:val="1"/>
          <w:sz w:val="24"/>
          <w:szCs w:val="24"/>
        </w:rPr>
      </w:pPr>
    </w:p>
    <w:p w14:paraId="315AE5BD" w14:textId="77777777" w:rsidR="0079544B" w:rsidRDefault="0079544B" w:rsidP="008862C7">
      <w:pPr>
        <w:widowControl w:val="0"/>
        <w:autoSpaceDE w:val="0"/>
        <w:autoSpaceDN w:val="0"/>
        <w:adjustRightInd w:val="0"/>
        <w:spacing w:after="0" w:line="360" w:lineRule="auto"/>
        <w:ind w:right="727"/>
        <w:jc w:val="both"/>
        <w:rPr>
          <w:rFonts w:ascii="Arial" w:hAnsi="Arial" w:cs="Arial"/>
          <w:b/>
          <w:spacing w:val="1"/>
          <w:sz w:val="24"/>
          <w:szCs w:val="24"/>
        </w:rPr>
      </w:pPr>
    </w:p>
    <w:p w14:paraId="072C6153" w14:textId="77777777" w:rsidR="0079544B" w:rsidRDefault="0079544B" w:rsidP="008862C7">
      <w:pPr>
        <w:widowControl w:val="0"/>
        <w:autoSpaceDE w:val="0"/>
        <w:autoSpaceDN w:val="0"/>
        <w:adjustRightInd w:val="0"/>
        <w:spacing w:after="0" w:line="360" w:lineRule="auto"/>
        <w:ind w:right="727"/>
        <w:jc w:val="both"/>
        <w:rPr>
          <w:rFonts w:ascii="Arial" w:hAnsi="Arial" w:cs="Arial"/>
          <w:b/>
          <w:spacing w:val="1"/>
          <w:sz w:val="24"/>
          <w:szCs w:val="24"/>
        </w:rPr>
      </w:pPr>
    </w:p>
    <w:p w14:paraId="4C9E6293" w14:textId="77777777" w:rsidR="0079544B" w:rsidRDefault="0079544B" w:rsidP="008862C7">
      <w:pPr>
        <w:widowControl w:val="0"/>
        <w:autoSpaceDE w:val="0"/>
        <w:autoSpaceDN w:val="0"/>
        <w:adjustRightInd w:val="0"/>
        <w:spacing w:after="0" w:line="360" w:lineRule="auto"/>
        <w:ind w:right="727"/>
        <w:jc w:val="both"/>
        <w:rPr>
          <w:rFonts w:ascii="Arial" w:hAnsi="Arial" w:cs="Arial"/>
          <w:b/>
          <w:spacing w:val="1"/>
          <w:sz w:val="24"/>
          <w:szCs w:val="24"/>
        </w:rPr>
      </w:pPr>
    </w:p>
    <w:p w14:paraId="73388ECB" w14:textId="77777777" w:rsidR="008862C7" w:rsidRDefault="008862C7" w:rsidP="008862C7">
      <w:pPr>
        <w:widowControl w:val="0"/>
        <w:autoSpaceDE w:val="0"/>
        <w:autoSpaceDN w:val="0"/>
        <w:adjustRightInd w:val="0"/>
        <w:spacing w:after="0" w:line="360" w:lineRule="auto"/>
        <w:ind w:right="727"/>
        <w:jc w:val="both"/>
        <w:rPr>
          <w:rFonts w:ascii="Arial" w:hAnsi="Arial" w:cs="Arial"/>
          <w:sz w:val="24"/>
          <w:szCs w:val="24"/>
        </w:rPr>
      </w:pPr>
      <w:r>
        <w:rPr>
          <w:rFonts w:ascii="Arial" w:hAnsi="Arial" w:cs="Arial"/>
          <w:b/>
          <w:spacing w:val="1"/>
          <w:sz w:val="24"/>
          <w:szCs w:val="24"/>
        </w:rPr>
        <w:lastRenderedPageBreak/>
        <w:t>Tabl</w:t>
      </w:r>
      <w:r>
        <w:rPr>
          <w:rFonts w:ascii="Arial" w:hAnsi="Arial" w:cs="Arial"/>
          <w:b/>
          <w:spacing w:val="-2"/>
          <w:sz w:val="24"/>
          <w:szCs w:val="24"/>
        </w:rPr>
        <w:t>e</w:t>
      </w:r>
      <w:r>
        <w:rPr>
          <w:rFonts w:ascii="Arial" w:hAnsi="Arial" w:cs="Arial"/>
          <w:b/>
          <w:spacing w:val="1"/>
          <w:sz w:val="24"/>
          <w:szCs w:val="24"/>
        </w:rPr>
        <w:t>a</w:t>
      </w:r>
      <w:r>
        <w:rPr>
          <w:rFonts w:ascii="Arial" w:hAnsi="Arial" w:cs="Arial"/>
          <w:b/>
          <w:sz w:val="24"/>
          <w:szCs w:val="24"/>
        </w:rPr>
        <w:t>u</w:t>
      </w:r>
      <w:r>
        <w:rPr>
          <w:rFonts w:ascii="Arial" w:hAnsi="Arial" w:cs="Arial"/>
          <w:b/>
          <w:spacing w:val="-4"/>
          <w:sz w:val="24"/>
          <w:szCs w:val="24"/>
        </w:rPr>
        <w:t xml:space="preserve"> </w:t>
      </w:r>
      <w:r>
        <w:rPr>
          <w:rFonts w:ascii="Arial" w:hAnsi="Arial" w:cs="Arial"/>
          <w:b/>
          <w:spacing w:val="1"/>
          <w:sz w:val="24"/>
          <w:szCs w:val="24"/>
        </w:rPr>
        <w:t>4</w:t>
      </w:r>
      <w:r>
        <w:rPr>
          <w:rFonts w:ascii="Arial" w:hAnsi="Arial" w:cs="Arial"/>
          <w:b/>
          <w:spacing w:val="-2"/>
          <w:sz w:val="24"/>
          <w:szCs w:val="24"/>
        </w:rPr>
        <w:t>.</w:t>
      </w:r>
      <w:r>
        <w:rPr>
          <w:rFonts w:ascii="Arial" w:hAnsi="Arial" w:cs="Arial"/>
          <w:b/>
          <w:spacing w:val="1"/>
          <w:sz w:val="24"/>
          <w:szCs w:val="24"/>
        </w:rPr>
        <w:t>11</w:t>
      </w:r>
      <w:r>
        <w:rPr>
          <w:rFonts w:ascii="Arial" w:hAnsi="Arial" w:cs="Arial"/>
          <w:b/>
          <w:spacing w:val="-2"/>
          <w:sz w:val="24"/>
          <w:szCs w:val="24"/>
        </w:rPr>
        <w:t> </w:t>
      </w:r>
      <w:r>
        <w:rPr>
          <w:rFonts w:ascii="Arial" w:hAnsi="Arial" w:cs="Arial"/>
          <w:b/>
          <w:sz w:val="24"/>
          <w:szCs w:val="24"/>
        </w:rPr>
        <w:t>:</w:t>
      </w:r>
      <w:r>
        <w:rPr>
          <w:rFonts w:ascii="Arial" w:hAnsi="Arial" w:cs="Arial"/>
          <w:sz w:val="24"/>
          <w:szCs w:val="24"/>
        </w:rPr>
        <w:t xml:space="preserve"> Co</w:t>
      </w:r>
      <w:r>
        <w:rPr>
          <w:rFonts w:ascii="Arial" w:hAnsi="Arial" w:cs="Arial"/>
          <w:spacing w:val="-1"/>
          <w:sz w:val="24"/>
          <w:szCs w:val="24"/>
        </w:rPr>
        <w:t>rr</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ut</w:t>
      </w:r>
      <w:r>
        <w:rPr>
          <w:rFonts w:ascii="Arial" w:hAnsi="Arial" w:cs="Arial"/>
          <w:spacing w:val="2"/>
          <w:sz w:val="24"/>
          <w:szCs w:val="24"/>
        </w:rPr>
        <w:t>o</w:t>
      </w:r>
      <w:r>
        <w:rPr>
          <w:rFonts w:ascii="Arial" w:hAnsi="Arial" w:cs="Arial"/>
          <w:spacing w:val="-1"/>
          <w:sz w:val="24"/>
          <w:szCs w:val="24"/>
        </w:rPr>
        <w:t>co</w:t>
      </w:r>
      <w:r>
        <w:rPr>
          <w:rFonts w:ascii="Arial" w:hAnsi="Arial" w:cs="Arial"/>
          <w:spacing w:val="2"/>
          <w:sz w:val="24"/>
          <w:szCs w:val="24"/>
        </w:rPr>
        <w:t>r</w:t>
      </w:r>
      <w:r>
        <w:rPr>
          <w:rFonts w:ascii="Arial" w:hAnsi="Arial" w:cs="Arial"/>
          <w:spacing w:val="-1"/>
          <w:sz w:val="24"/>
          <w:szCs w:val="24"/>
        </w:rPr>
        <w:t>ré</w:t>
      </w:r>
      <w:r>
        <w:rPr>
          <w:rFonts w:ascii="Arial" w:hAnsi="Arial" w:cs="Arial"/>
          <w:sz w:val="24"/>
          <w:szCs w:val="24"/>
        </w:rPr>
        <w:t>l</w:t>
      </w:r>
      <w:r>
        <w:rPr>
          <w:rFonts w:ascii="Arial" w:hAnsi="Arial" w:cs="Arial"/>
          <w:spacing w:val="1"/>
          <w:sz w:val="24"/>
          <w:szCs w:val="24"/>
        </w:rPr>
        <w:t>at</w:t>
      </w:r>
      <w:r>
        <w:rPr>
          <w:rFonts w:ascii="Arial" w:hAnsi="Arial" w:cs="Arial"/>
          <w:sz w:val="24"/>
          <w:szCs w:val="24"/>
        </w:rPr>
        <w:t>i</w:t>
      </w:r>
      <w:r>
        <w:rPr>
          <w:rFonts w:ascii="Arial" w:hAnsi="Arial" w:cs="Arial"/>
          <w:spacing w:val="1"/>
          <w:sz w:val="24"/>
          <w:szCs w:val="24"/>
        </w:rPr>
        <w:t>o</w:t>
      </w:r>
      <w:r>
        <w:rPr>
          <w:rFonts w:ascii="Arial" w:hAnsi="Arial" w:cs="Arial"/>
          <w:spacing w:val="-2"/>
          <w:sz w:val="24"/>
          <w:szCs w:val="24"/>
        </w:rPr>
        <w:t>n</w:t>
      </w:r>
      <w:r>
        <w:rPr>
          <w:rFonts w:ascii="Arial" w:hAnsi="Arial" w:cs="Arial"/>
          <w:spacing w:val="-11"/>
          <w:sz w:val="24"/>
          <w:szCs w:val="24"/>
        </w:rPr>
        <w:t xml:space="preserve"> </w:t>
      </w:r>
      <w:r>
        <w:rPr>
          <w:rFonts w:ascii="Arial" w:hAnsi="Arial" w:cs="Arial"/>
          <w:spacing w:val="2"/>
          <w:sz w:val="24"/>
          <w:szCs w:val="24"/>
        </w:rPr>
        <w:t>s</w:t>
      </w:r>
      <w:r>
        <w:rPr>
          <w:rFonts w:ascii="Arial" w:hAnsi="Arial" w:cs="Arial"/>
          <w:spacing w:val="-1"/>
          <w:sz w:val="24"/>
          <w:szCs w:val="24"/>
        </w:rPr>
        <w:t>p</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iq</w:t>
      </w:r>
      <w:r>
        <w:rPr>
          <w:rFonts w:ascii="Arial" w:hAnsi="Arial" w:cs="Arial"/>
          <w:sz w:val="24"/>
          <w:szCs w:val="24"/>
        </w:rPr>
        <w:t>ue</w:t>
      </w:r>
      <w:r>
        <w:rPr>
          <w:rFonts w:ascii="Arial" w:hAnsi="Arial" w:cs="Arial"/>
          <w:spacing w:val="-5"/>
          <w:sz w:val="24"/>
          <w:szCs w:val="24"/>
        </w:rPr>
        <w:t xml:space="preserve"> </w:t>
      </w:r>
      <w:r>
        <w:rPr>
          <w:rFonts w:ascii="Arial" w:hAnsi="Arial" w:cs="Arial"/>
          <w:sz w:val="24"/>
          <w:szCs w:val="24"/>
        </w:rPr>
        <w:t>et</w:t>
      </w:r>
      <w:r>
        <w:rPr>
          <w:rFonts w:ascii="Arial" w:hAnsi="Arial" w:cs="Arial"/>
          <w:spacing w:val="-1"/>
          <w:sz w:val="24"/>
          <w:szCs w:val="24"/>
        </w:rPr>
        <w:t xml:space="preserve"> </w:t>
      </w:r>
      <w:r>
        <w:rPr>
          <w:rFonts w:ascii="Arial" w:hAnsi="Arial" w:cs="Arial"/>
          <w:sz w:val="24"/>
          <w:szCs w:val="24"/>
        </w:rPr>
        <w:t>hété</w:t>
      </w:r>
      <w:r>
        <w:rPr>
          <w:rFonts w:ascii="Arial" w:hAnsi="Arial" w:cs="Arial"/>
          <w:spacing w:val="-1"/>
          <w:sz w:val="24"/>
          <w:szCs w:val="24"/>
        </w:rPr>
        <w:t>r</w:t>
      </w:r>
      <w:r>
        <w:rPr>
          <w:rFonts w:ascii="Arial" w:hAnsi="Arial" w:cs="Arial"/>
          <w:sz w:val="24"/>
          <w:szCs w:val="24"/>
        </w:rPr>
        <w:t>o</w:t>
      </w:r>
      <w:r>
        <w:rPr>
          <w:rFonts w:ascii="Arial" w:hAnsi="Arial" w:cs="Arial"/>
          <w:spacing w:val="2"/>
          <w:sz w:val="24"/>
          <w:szCs w:val="24"/>
        </w:rPr>
        <w:t>s</w:t>
      </w:r>
      <w:r>
        <w:rPr>
          <w:rFonts w:ascii="Arial" w:hAnsi="Arial" w:cs="Arial"/>
          <w:spacing w:val="-1"/>
          <w:sz w:val="24"/>
          <w:szCs w:val="24"/>
        </w:rPr>
        <w:t>c</w:t>
      </w:r>
      <w:r>
        <w:rPr>
          <w:rFonts w:ascii="Arial" w:hAnsi="Arial" w:cs="Arial"/>
          <w:sz w:val="24"/>
          <w:szCs w:val="24"/>
        </w:rPr>
        <w:t>é</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té </w:t>
      </w:r>
    </w:p>
    <w:p w14:paraId="5BCB0971" w14:textId="77777777" w:rsidR="008862C7" w:rsidRDefault="008862C7" w:rsidP="008862C7">
      <w:pPr>
        <w:widowControl w:val="0"/>
        <w:autoSpaceDE w:val="0"/>
        <w:autoSpaceDN w:val="0"/>
        <w:adjustRightInd w:val="0"/>
        <w:spacing w:after="0" w:line="220" w:lineRule="exact"/>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3356"/>
        <w:gridCol w:w="2235"/>
        <w:gridCol w:w="2233"/>
        <w:gridCol w:w="2534"/>
      </w:tblGrid>
      <w:tr w:rsidR="008862C7" w14:paraId="427830FC" w14:textId="77777777" w:rsidTr="008862C7">
        <w:trPr>
          <w:cantSplit/>
          <w:trHeight w:hRule="exact" w:val="485"/>
        </w:trPr>
        <w:tc>
          <w:tcPr>
            <w:tcW w:w="1620" w:type="pct"/>
            <w:tcBorders>
              <w:top w:val="single" w:sz="12" w:space="0" w:color="000000"/>
              <w:left w:val="single" w:sz="4" w:space="0" w:color="auto"/>
              <w:bottom w:val="single" w:sz="12" w:space="0" w:color="000000"/>
              <w:right w:val="single" w:sz="4" w:space="0" w:color="auto"/>
            </w:tcBorders>
            <w:shd w:val="clear" w:color="auto" w:fill="D6E3BC"/>
            <w:hideMark/>
          </w:tcPr>
          <w:p w14:paraId="17360C18" w14:textId="77777777" w:rsidR="008862C7" w:rsidRDefault="008862C7">
            <w:pPr>
              <w:widowControl w:val="0"/>
              <w:tabs>
                <w:tab w:val="left" w:pos="708"/>
              </w:tabs>
              <w:autoSpaceDE w:val="0"/>
              <w:autoSpaceDN w:val="0"/>
              <w:adjustRightInd w:val="0"/>
              <w:spacing w:before="120" w:after="0" w:line="276" w:lineRule="auto"/>
              <w:ind w:left="103"/>
              <w:rPr>
                <w:rFonts w:ascii="Arial" w:eastAsia="Times New Roman" w:hAnsi="Arial" w:cs="Arial"/>
                <w:sz w:val="20"/>
                <w:szCs w:val="20"/>
              </w:rPr>
            </w:pPr>
            <w:r>
              <w:rPr>
                <w:rFonts w:ascii="Arial" w:hAnsi="Arial" w:cs="Arial"/>
                <w:position w:val="-1"/>
                <w:sz w:val="20"/>
                <w:szCs w:val="20"/>
              </w:rPr>
              <w:t>V</w:t>
            </w:r>
            <w:r>
              <w:rPr>
                <w:rFonts w:ascii="Arial" w:hAnsi="Arial" w:cs="Arial"/>
                <w:spacing w:val="1"/>
                <w:position w:val="-1"/>
                <w:sz w:val="20"/>
                <w:szCs w:val="20"/>
              </w:rPr>
              <w:t>a</w:t>
            </w:r>
            <w:r>
              <w:rPr>
                <w:rFonts w:ascii="Arial" w:hAnsi="Arial" w:cs="Arial"/>
                <w:spacing w:val="-1"/>
                <w:position w:val="-1"/>
                <w:sz w:val="20"/>
                <w:szCs w:val="20"/>
              </w:rPr>
              <w:t>r</w:t>
            </w:r>
            <w:r>
              <w:rPr>
                <w:rFonts w:ascii="Arial" w:hAnsi="Arial" w:cs="Arial"/>
                <w:spacing w:val="1"/>
                <w:position w:val="-1"/>
                <w:sz w:val="20"/>
                <w:szCs w:val="20"/>
              </w:rPr>
              <w:t>ia</w:t>
            </w:r>
            <w:r>
              <w:rPr>
                <w:rFonts w:ascii="Arial" w:hAnsi="Arial" w:cs="Arial"/>
                <w:spacing w:val="-1"/>
                <w:position w:val="-1"/>
                <w:sz w:val="20"/>
                <w:szCs w:val="20"/>
              </w:rPr>
              <w:t>b</w:t>
            </w:r>
            <w:r>
              <w:rPr>
                <w:rFonts w:ascii="Arial" w:hAnsi="Arial" w:cs="Arial"/>
                <w:spacing w:val="1"/>
                <w:position w:val="-1"/>
                <w:sz w:val="20"/>
                <w:szCs w:val="20"/>
              </w:rPr>
              <w:t>l</w:t>
            </w:r>
            <w:r>
              <w:rPr>
                <w:rFonts w:ascii="Arial" w:hAnsi="Arial" w:cs="Arial"/>
                <w:position w:val="-1"/>
                <w:sz w:val="20"/>
                <w:szCs w:val="20"/>
              </w:rPr>
              <w:t>es</w:t>
            </w:r>
            <w:r>
              <w:rPr>
                <w:rFonts w:ascii="Arial" w:hAnsi="Arial" w:cs="Arial"/>
                <w:spacing w:val="-7"/>
                <w:position w:val="-1"/>
                <w:sz w:val="20"/>
                <w:szCs w:val="20"/>
              </w:rPr>
              <w:t xml:space="preserve"> </w:t>
            </w:r>
            <w:r>
              <w:rPr>
                <w:rFonts w:ascii="Arial" w:hAnsi="Arial" w:cs="Arial"/>
                <w:position w:val="-1"/>
                <w:sz w:val="20"/>
                <w:szCs w:val="20"/>
              </w:rPr>
              <w:t>e</w:t>
            </w:r>
            <w:r>
              <w:rPr>
                <w:rFonts w:ascii="Arial" w:hAnsi="Arial" w:cs="Arial"/>
                <w:spacing w:val="1"/>
                <w:position w:val="-1"/>
                <w:sz w:val="20"/>
                <w:szCs w:val="20"/>
              </w:rPr>
              <w:t>x</w:t>
            </w:r>
            <w:r>
              <w:rPr>
                <w:rFonts w:ascii="Arial" w:hAnsi="Arial" w:cs="Arial"/>
                <w:spacing w:val="-1"/>
                <w:position w:val="-1"/>
                <w:sz w:val="20"/>
                <w:szCs w:val="20"/>
              </w:rPr>
              <w:t>p</w:t>
            </w:r>
            <w:r>
              <w:rPr>
                <w:rFonts w:ascii="Arial" w:hAnsi="Arial" w:cs="Arial"/>
                <w:spacing w:val="1"/>
                <w:position w:val="-1"/>
                <w:sz w:val="20"/>
                <w:szCs w:val="20"/>
              </w:rPr>
              <w:t>li</w:t>
            </w:r>
            <w:r>
              <w:rPr>
                <w:rFonts w:ascii="Arial" w:hAnsi="Arial" w:cs="Arial"/>
                <w:spacing w:val="-1"/>
                <w:position w:val="-1"/>
                <w:sz w:val="20"/>
                <w:szCs w:val="20"/>
              </w:rPr>
              <w:t>c</w:t>
            </w:r>
            <w:r>
              <w:rPr>
                <w:rFonts w:ascii="Arial" w:hAnsi="Arial" w:cs="Arial"/>
                <w:spacing w:val="1"/>
                <w:position w:val="-1"/>
                <w:sz w:val="20"/>
                <w:szCs w:val="20"/>
              </w:rPr>
              <w:t>a</w:t>
            </w:r>
            <w:r>
              <w:rPr>
                <w:rFonts w:ascii="Arial" w:hAnsi="Arial" w:cs="Arial"/>
                <w:spacing w:val="-2"/>
                <w:position w:val="-1"/>
                <w:sz w:val="20"/>
                <w:szCs w:val="20"/>
              </w:rPr>
              <w:t>t</w:t>
            </w:r>
            <w:r>
              <w:rPr>
                <w:rFonts w:ascii="Arial" w:hAnsi="Arial" w:cs="Arial"/>
                <w:spacing w:val="1"/>
                <w:position w:val="-1"/>
                <w:sz w:val="20"/>
                <w:szCs w:val="20"/>
              </w:rPr>
              <w:t>iv</w:t>
            </w:r>
            <w:r>
              <w:rPr>
                <w:rFonts w:ascii="Arial" w:hAnsi="Arial" w:cs="Arial"/>
                <w:position w:val="-1"/>
                <w:sz w:val="20"/>
                <w:szCs w:val="20"/>
              </w:rPr>
              <w:t>es</w:t>
            </w:r>
          </w:p>
        </w:tc>
        <w:tc>
          <w:tcPr>
            <w:tcW w:w="1079" w:type="pct"/>
            <w:tcBorders>
              <w:top w:val="single" w:sz="12" w:space="0" w:color="000000"/>
              <w:left w:val="single" w:sz="4" w:space="0" w:color="auto"/>
              <w:bottom w:val="single" w:sz="12" w:space="0" w:color="000000"/>
              <w:right w:val="single" w:sz="4" w:space="0" w:color="auto"/>
            </w:tcBorders>
            <w:shd w:val="clear" w:color="auto" w:fill="D6E3BC"/>
            <w:hideMark/>
          </w:tcPr>
          <w:p w14:paraId="0F7AB89B" w14:textId="77777777" w:rsidR="008862C7" w:rsidRDefault="008862C7">
            <w:pPr>
              <w:widowControl w:val="0"/>
              <w:tabs>
                <w:tab w:val="left" w:pos="708"/>
              </w:tabs>
              <w:autoSpaceDE w:val="0"/>
              <w:autoSpaceDN w:val="0"/>
              <w:adjustRightInd w:val="0"/>
              <w:spacing w:before="120" w:after="0" w:line="276" w:lineRule="auto"/>
              <w:ind w:left="111"/>
              <w:jc w:val="center"/>
              <w:rPr>
                <w:rFonts w:ascii="Arial" w:eastAsia="Times New Roman" w:hAnsi="Arial" w:cs="Arial"/>
                <w:sz w:val="20"/>
                <w:szCs w:val="20"/>
              </w:rPr>
            </w:pPr>
            <w:r>
              <w:rPr>
                <w:rFonts w:ascii="Arial" w:hAnsi="Arial" w:cs="Arial"/>
                <w:position w:val="-1"/>
                <w:sz w:val="20"/>
                <w:szCs w:val="20"/>
              </w:rPr>
              <w:t>Coe</w:t>
            </w:r>
            <w:r>
              <w:rPr>
                <w:rFonts w:ascii="Arial" w:hAnsi="Arial" w:cs="Arial"/>
                <w:spacing w:val="-1"/>
                <w:position w:val="-1"/>
                <w:sz w:val="20"/>
                <w:szCs w:val="20"/>
              </w:rPr>
              <w:t>ff</w:t>
            </w:r>
            <w:r>
              <w:rPr>
                <w:rFonts w:ascii="Arial" w:hAnsi="Arial" w:cs="Arial"/>
                <w:spacing w:val="1"/>
                <w:position w:val="-1"/>
                <w:sz w:val="20"/>
                <w:szCs w:val="20"/>
              </w:rPr>
              <w:t>i</w:t>
            </w:r>
            <w:r>
              <w:rPr>
                <w:rFonts w:ascii="Arial" w:hAnsi="Arial" w:cs="Arial"/>
                <w:spacing w:val="-1"/>
                <w:position w:val="-1"/>
                <w:sz w:val="20"/>
                <w:szCs w:val="20"/>
              </w:rPr>
              <w:t>c</w:t>
            </w:r>
            <w:r>
              <w:rPr>
                <w:rFonts w:ascii="Arial" w:hAnsi="Arial" w:cs="Arial"/>
                <w:spacing w:val="1"/>
                <w:position w:val="-1"/>
                <w:sz w:val="20"/>
                <w:szCs w:val="20"/>
              </w:rPr>
              <w:t>i</w:t>
            </w:r>
            <w:r>
              <w:rPr>
                <w:rFonts w:ascii="Arial" w:hAnsi="Arial" w:cs="Arial"/>
                <w:position w:val="-1"/>
                <w:sz w:val="20"/>
                <w:szCs w:val="20"/>
              </w:rPr>
              <w:t>ents</w:t>
            </w:r>
          </w:p>
        </w:tc>
        <w:tc>
          <w:tcPr>
            <w:tcW w:w="1078" w:type="pct"/>
            <w:tcBorders>
              <w:top w:val="single" w:sz="12" w:space="0" w:color="000000"/>
              <w:left w:val="single" w:sz="4" w:space="0" w:color="auto"/>
              <w:bottom w:val="single" w:sz="12" w:space="0" w:color="000000"/>
              <w:right w:val="single" w:sz="4" w:space="0" w:color="auto"/>
            </w:tcBorders>
            <w:shd w:val="clear" w:color="auto" w:fill="D6E3BC"/>
            <w:hideMark/>
          </w:tcPr>
          <w:p w14:paraId="7208DB83" w14:textId="77777777" w:rsidR="008862C7" w:rsidRDefault="008862C7">
            <w:pPr>
              <w:widowControl w:val="0"/>
              <w:tabs>
                <w:tab w:val="left" w:pos="708"/>
              </w:tabs>
              <w:autoSpaceDE w:val="0"/>
              <w:autoSpaceDN w:val="0"/>
              <w:adjustRightInd w:val="0"/>
              <w:spacing w:before="120" w:after="0" w:line="276" w:lineRule="auto"/>
              <w:ind w:left="413"/>
              <w:jc w:val="center"/>
              <w:rPr>
                <w:rFonts w:ascii="Arial" w:eastAsia="Times New Roman" w:hAnsi="Arial" w:cs="Arial"/>
                <w:sz w:val="20"/>
                <w:szCs w:val="20"/>
              </w:rPr>
            </w:pPr>
            <w:r>
              <w:rPr>
                <w:rFonts w:ascii="Arial" w:hAnsi="Arial" w:cs="Arial"/>
                <w:position w:val="-1"/>
                <w:sz w:val="20"/>
                <w:szCs w:val="20"/>
              </w:rPr>
              <w:t>St</w:t>
            </w:r>
            <w:r>
              <w:rPr>
                <w:rFonts w:ascii="Arial" w:hAnsi="Arial" w:cs="Arial"/>
                <w:spacing w:val="-1"/>
                <w:position w:val="-1"/>
                <w:sz w:val="20"/>
                <w:szCs w:val="20"/>
              </w:rPr>
              <w:t>d</w:t>
            </w:r>
            <w:r>
              <w:rPr>
                <w:rFonts w:ascii="Arial" w:hAnsi="Arial" w:cs="Arial"/>
                <w:position w:val="-1"/>
                <w:sz w:val="20"/>
                <w:szCs w:val="20"/>
              </w:rPr>
              <w:t>.</w:t>
            </w:r>
            <w:r>
              <w:rPr>
                <w:rFonts w:ascii="Arial" w:hAnsi="Arial" w:cs="Arial"/>
                <w:spacing w:val="-1"/>
                <w:position w:val="-1"/>
                <w:sz w:val="20"/>
                <w:szCs w:val="20"/>
              </w:rPr>
              <w:t xml:space="preserve"> </w:t>
            </w:r>
            <w:r>
              <w:rPr>
                <w:rFonts w:ascii="Arial" w:hAnsi="Arial" w:cs="Arial"/>
                <w:position w:val="-1"/>
                <w:sz w:val="20"/>
                <w:szCs w:val="20"/>
              </w:rPr>
              <w:t>E</w:t>
            </w:r>
            <w:r>
              <w:rPr>
                <w:rFonts w:ascii="Arial" w:hAnsi="Arial" w:cs="Arial"/>
                <w:spacing w:val="-1"/>
                <w:position w:val="-1"/>
                <w:sz w:val="20"/>
                <w:szCs w:val="20"/>
              </w:rPr>
              <w:t>rr</w:t>
            </w:r>
            <w:r>
              <w:rPr>
                <w:rFonts w:ascii="Arial" w:hAnsi="Arial" w:cs="Arial"/>
                <w:position w:val="-1"/>
                <w:sz w:val="20"/>
                <w:szCs w:val="20"/>
              </w:rPr>
              <w:t>or</w:t>
            </w:r>
          </w:p>
        </w:tc>
        <w:tc>
          <w:tcPr>
            <w:tcW w:w="1223" w:type="pct"/>
            <w:tcBorders>
              <w:top w:val="single" w:sz="12" w:space="0" w:color="000000"/>
              <w:left w:val="single" w:sz="4" w:space="0" w:color="auto"/>
              <w:bottom w:val="single" w:sz="12" w:space="0" w:color="000000"/>
              <w:right w:val="single" w:sz="4" w:space="0" w:color="auto"/>
            </w:tcBorders>
            <w:shd w:val="clear" w:color="auto" w:fill="D6E3BC"/>
            <w:hideMark/>
          </w:tcPr>
          <w:p w14:paraId="58DA1C30" w14:textId="77777777" w:rsidR="008862C7" w:rsidRDefault="008862C7">
            <w:pPr>
              <w:widowControl w:val="0"/>
              <w:tabs>
                <w:tab w:val="left" w:pos="708"/>
              </w:tabs>
              <w:autoSpaceDE w:val="0"/>
              <w:autoSpaceDN w:val="0"/>
              <w:adjustRightInd w:val="0"/>
              <w:spacing w:before="120" w:after="0" w:line="276" w:lineRule="auto"/>
              <w:ind w:left="498"/>
              <w:jc w:val="center"/>
              <w:rPr>
                <w:rFonts w:ascii="Arial" w:eastAsia="Times New Roman" w:hAnsi="Arial" w:cs="Arial"/>
                <w:sz w:val="20"/>
                <w:szCs w:val="20"/>
              </w:rPr>
            </w:pPr>
            <w:r>
              <w:rPr>
                <w:rFonts w:ascii="Arial" w:hAnsi="Arial" w:cs="Arial"/>
                <w:spacing w:val="1"/>
                <w:position w:val="-1"/>
                <w:sz w:val="20"/>
                <w:szCs w:val="20"/>
              </w:rPr>
              <w:t>P</w:t>
            </w:r>
            <w:r>
              <w:rPr>
                <w:rFonts w:ascii="Arial" w:hAnsi="Arial" w:cs="Arial"/>
                <w:spacing w:val="-1"/>
                <w:position w:val="-1"/>
                <w:sz w:val="20"/>
                <w:szCs w:val="20"/>
              </w:rPr>
              <w:t>-</w:t>
            </w:r>
            <w:r>
              <w:rPr>
                <w:rFonts w:ascii="Arial" w:hAnsi="Arial" w:cs="Arial"/>
                <w:spacing w:val="1"/>
                <w:position w:val="-1"/>
                <w:sz w:val="20"/>
                <w:szCs w:val="20"/>
              </w:rPr>
              <w:t>val</w:t>
            </w:r>
            <w:r>
              <w:rPr>
                <w:rFonts w:ascii="Arial" w:hAnsi="Arial" w:cs="Arial"/>
                <w:position w:val="-1"/>
                <w:sz w:val="20"/>
                <w:szCs w:val="20"/>
              </w:rPr>
              <w:t>ue</w:t>
            </w:r>
          </w:p>
        </w:tc>
      </w:tr>
      <w:tr w:rsidR="008862C7" w14:paraId="06F35199" w14:textId="77777777" w:rsidTr="008862C7">
        <w:trPr>
          <w:cantSplit/>
          <w:trHeight w:val="210"/>
        </w:trPr>
        <w:tc>
          <w:tcPr>
            <w:tcW w:w="1620" w:type="pct"/>
            <w:tcBorders>
              <w:top w:val="single" w:sz="12" w:space="0" w:color="000000"/>
              <w:left w:val="single" w:sz="4" w:space="0" w:color="auto"/>
              <w:bottom w:val="single" w:sz="4" w:space="0" w:color="auto"/>
              <w:right w:val="single" w:sz="4" w:space="0" w:color="auto"/>
            </w:tcBorders>
            <w:hideMark/>
          </w:tcPr>
          <w:p w14:paraId="17FBFB55"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pacing w:val="1"/>
                <w:sz w:val="20"/>
                <w:szCs w:val="20"/>
              </w:rPr>
              <w:t>LogP</w:t>
            </w:r>
            <w:r>
              <w:rPr>
                <w:rFonts w:ascii="Arial" w:hAnsi="Arial" w:cs="Arial"/>
                <w:spacing w:val="-1"/>
                <w:sz w:val="20"/>
                <w:szCs w:val="20"/>
              </w:rPr>
              <w:t>M</w:t>
            </w:r>
            <w:r>
              <w:rPr>
                <w:rFonts w:ascii="Arial" w:hAnsi="Arial" w:cs="Arial"/>
                <w:sz w:val="20"/>
                <w:szCs w:val="20"/>
              </w:rPr>
              <w:t>C</w:t>
            </w:r>
          </w:p>
        </w:tc>
        <w:tc>
          <w:tcPr>
            <w:tcW w:w="1079" w:type="pct"/>
            <w:tcBorders>
              <w:top w:val="single" w:sz="12" w:space="0" w:color="000000"/>
              <w:left w:val="single" w:sz="4" w:space="0" w:color="auto"/>
              <w:bottom w:val="single" w:sz="4" w:space="0" w:color="auto"/>
              <w:right w:val="single" w:sz="4" w:space="0" w:color="auto"/>
            </w:tcBorders>
            <w:hideMark/>
          </w:tcPr>
          <w:p w14:paraId="38E59FCE"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z w:val="20"/>
                <w:szCs w:val="20"/>
              </w:rPr>
            </w:pPr>
            <w:r>
              <w:rPr>
                <w:rFonts w:ascii="Arial" w:hAnsi="Arial" w:cs="Arial"/>
                <w:spacing w:val="1"/>
                <w:sz w:val="20"/>
                <w:szCs w:val="20"/>
              </w:rPr>
              <w:t>0.6</w:t>
            </w:r>
            <w:r>
              <w:rPr>
                <w:rFonts w:ascii="Arial" w:hAnsi="Arial" w:cs="Arial"/>
                <w:spacing w:val="-1"/>
                <w:sz w:val="20"/>
                <w:szCs w:val="20"/>
              </w:rPr>
              <w:t>2</w:t>
            </w:r>
            <w:r>
              <w:rPr>
                <w:rFonts w:ascii="Arial" w:hAnsi="Arial" w:cs="Arial"/>
                <w:spacing w:val="1"/>
                <w:sz w:val="20"/>
                <w:szCs w:val="20"/>
              </w:rPr>
              <w:t>2</w:t>
            </w:r>
            <w:r>
              <w:rPr>
                <w:rFonts w:ascii="Arial" w:hAnsi="Arial" w:cs="Arial"/>
                <w:sz w:val="20"/>
                <w:szCs w:val="20"/>
              </w:rPr>
              <w:t>***</w:t>
            </w:r>
          </w:p>
        </w:tc>
        <w:tc>
          <w:tcPr>
            <w:tcW w:w="1078" w:type="pct"/>
            <w:tcBorders>
              <w:top w:val="single" w:sz="12" w:space="0" w:color="000000"/>
              <w:left w:val="single" w:sz="4" w:space="0" w:color="auto"/>
              <w:bottom w:val="single" w:sz="4" w:space="0" w:color="auto"/>
              <w:right w:val="single" w:sz="4" w:space="0" w:color="auto"/>
            </w:tcBorders>
            <w:hideMark/>
          </w:tcPr>
          <w:p w14:paraId="5C3076F4"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z w:val="20"/>
                <w:szCs w:val="20"/>
              </w:rPr>
            </w:pPr>
            <w:r>
              <w:rPr>
                <w:rFonts w:ascii="Arial" w:hAnsi="Arial" w:cs="Arial"/>
                <w:spacing w:val="1"/>
                <w:sz w:val="20"/>
                <w:szCs w:val="20"/>
              </w:rPr>
              <w:t>0.2</w:t>
            </w:r>
            <w:r>
              <w:rPr>
                <w:rFonts w:ascii="Arial" w:hAnsi="Arial" w:cs="Arial"/>
                <w:spacing w:val="-1"/>
                <w:sz w:val="20"/>
                <w:szCs w:val="20"/>
              </w:rPr>
              <w:t>2</w:t>
            </w:r>
            <w:r>
              <w:rPr>
                <w:rFonts w:ascii="Arial" w:hAnsi="Arial" w:cs="Arial"/>
                <w:sz w:val="20"/>
                <w:szCs w:val="20"/>
              </w:rPr>
              <w:t>2</w:t>
            </w:r>
          </w:p>
        </w:tc>
        <w:tc>
          <w:tcPr>
            <w:tcW w:w="1223" w:type="pct"/>
            <w:tcBorders>
              <w:top w:val="single" w:sz="12" w:space="0" w:color="000000"/>
              <w:left w:val="single" w:sz="4" w:space="0" w:color="auto"/>
              <w:bottom w:val="single" w:sz="4" w:space="0" w:color="auto"/>
              <w:right w:val="single" w:sz="4" w:space="0" w:color="auto"/>
            </w:tcBorders>
            <w:hideMark/>
          </w:tcPr>
          <w:p w14:paraId="4A5055AB"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5</w:t>
            </w:r>
          </w:p>
        </w:tc>
      </w:tr>
      <w:tr w:rsidR="008862C7" w14:paraId="72B92797"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hideMark/>
          </w:tcPr>
          <w:p w14:paraId="3F8E1135"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LogPF</w:t>
            </w:r>
            <w:r>
              <w:rPr>
                <w:rFonts w:ascii="Arial" w:hAnsi="Arial" w:cs="Arial"/>
                <w:sz w:val="20"/>
                <w:szCs w:val="20"/>
              </w:rPr>
              <w:t>S</w:t>
            </w:r>
          </w:p>
        </w:tc>
        <w:tc>
          <w:tcPr>
            <w:tcW w:w="1079" w:type="pct"/>
            <w:tcBorders>
              <w:top w:val="single" w:sz="4" w:space="0" w:color="auto"/>
              <w:left w:val="single" w:sz="4" w:space="0" w:color="auto"/>
              <w:bottom w:val="single" w:sz="4" w:space="0" w:color="auto"/>
              <w:right w:val="single" w:sz="4" w:space="0" w:color="auto"/>
            </w:tcBorders>
            <w:hideMark/>
          </w:tcPr>
          <w:p w14:paraId="4836E1B0"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0.2</w:t>
            </w:r>
            <w:r>
              <w:rPr>
                <w:rFonts w:ascii="Arial" w:hAnsi="Arial" w:cs="Arial"/>
                <w:spacing w:val="-1"/>
                <w:sz w:val="20"/>
                <w:szCs w:val="20"/>
              </w:rPr>
              <w:t>2</w:t>
            </w:r>
            <w:r>
              <w:rPr>
                <w:rFonts w:ascii="Arial" w:hAnsi="Arial" w:cs="Arial"/>
                <w:sz w:val="20"/>
                <w:szCs w:val="20"/>
              </w:rPr>
              <w:t>8</w:t>
            </w:r>
          </w:p>
        </w:tc>
        <w:tc>
          <w:tcPr>
            <w:tcW w:w="1078" w:type="pct"/>
            <w:tcBorders>
              <w:top w:val="single" w:sz="4" w:space="0" w:color="auto"/>
              <w:left w:val="single" w:sz="4" w:space="0" w:color="auto"/>
              <w:bottom w:val="single" w:sz="4" w:space="0" w:color="auto"/>
              <w:right w:val="single" w:sz="4" w:space="0" w:color="auto"/>
            </w:tcBorders>
            <w:hideMark/>
          </w:tcPr>
          <w:p w14:paraId="7C7D090E"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0.3</w:t>
            </w:r>
            <w:r>
              <w:rPr>
                <w:rFonts w:ascii="Arial" w:hAnsi="Arial" w:cs="Arial"/>
                <w:spacing w:val="-1"/>
                <w:sz w:val="20"/>
                <w:szCs w:val="20"/>
              </w:rPr>
              <w:t>3</w:t>
            </w:r>
            <w:r>
              <w:rPr>
                <w:rFonts w:ascii="Arial" w:hAnsi="Arial" w:cs="Arial"/>
                <w:sz w:val="20"/>
                <w:szCs w:val="20"/>
              </w:rPr>
              <w:t>8</w:t>
            </w:r>
          </w:p>
        </w:tc>
        <w:tc>
          <w:tcPr>
            <w:tcW w:w="1223" w:type="pct"/>
            <w:tcBorders>
              <w:top w:val="single" w:sz="4" w:space="0" w:color="auto"/>
              <w:left w:val="single" w:sz="4" w:space="0" w:color="auto"/>
              <w:bottom w:val="single" w:sz="4" w:space="0" w:color="auto"/>
              <w:right w:val="single" w:sz="4" w:space="0" w:color="auto"/>
            </w:tcBorders>
            <w:hideMark/>
          </w:tcPr>
          <w:p w14:paraId="63D16268"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0.4</w:t>
            </w:r>
            <w:r>
              <w:rPr>
                <w:rFonts w:ascii="Arial" w:hAnsi="Arial" w:cs="Arial"/>
                <w:spacing w:val="-1"/>
                <w:sz w:val="20"/>
                <w:szCs w:val="20"/>
              </w:rPr>
              <w:t>4</w:t>
            </w:r>
            <w:r>
              <w:rPr>
                <w:rFonts w:ascii="Arial" w:hAnsi="Arial" w:cs="Arial"/>
                <w:sz w:val="20"/>
                <w:szCs w:val="20"/>
              </w:rPr>
              <w:t>9</w:t>
            </w:r>
          </w:p>
        </w:tc>
      </w:tr>
      <w:tr w:rsidR="008862C7" w14:paraId="052DCC31" w14:textId="77777777" w:rsidTr="008862C7">
        <w:trPr>
          <w:cantSplit/>
          <w:trHeight w:val="205"/>
        </w:trPr>
        <w:tc>
          <w:tcPr>
            <w:tcW w:w="1620" w:type="pct"/>
            <w:tcBorders>
              <w:top w:val="single" w:sz="4" w:space="0" w:color="auto"/>
              <w:left w:val="single" w:sz="4" w:space="0" w:color="auto"/>
              <w:bottom w:val="single" w:sz="4" w:space="0" w:color="auto"/>
              <w:right w:val="single" w:sz="4" w:space="0" w:color="auto"/>
            </w:tcBorders>
            <w:hideMark/>
          </w:tcPr>
          <w:p w14:paraId="4430B6B4"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z w:val="20"/>
                <w:szCs w:val="20"/>
              </w:rPr>
              <w:t>LogQUA</w:t>
            </w:r>
          </w:p>
        </w:tc>
        <w:tc>
          <w:tcPr>
            <w:tcW w:w="1079" w:type="pct"/>
            <w:tcBorders>
              <w:top w:val="single" w:sz="4" w:space="0" w:color="auto"/>
              <w:left w:val="single" w:sz="4" w:space="0" w:color="auto"/>
              <w:bottom w:val="single" w:sz="4" w:space="0" w:color="auto"/>
              <w:right w:val="single" w:sz="4" w:space="0" w:color="auto"/>
            </w:tcBorders>
            <w:hideMark/>
          </w:tcPr>
          <w:p w14:paraId="1BDDF222"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z w:val="20"/>
                <w:szCs w:val="20"/>
              </w:rPr>
              <w:t>0.310***</w:t>
            </w:r>
          </w:p>
        </w:tc>
        <w:tc>
          <w:tcPr>
            <w:tcW w:w="1078" w:type="pct"/>
            <w:tcBorders>
              <w:top w:val="single" w:sz="4" w:space="0" w:color="auto"/>
              <w:left w:val="single" w:sz="4" w:space="0" w:color="auto"/>
              <w:bottom w:val="single" w:sz="4" w:space="0" w:color="auto"/>
              <w:right w:val="single" w:sz="4" w:space="0" w:color="auto"/>
            </w:tcBorders>
            <w:hideMark/>
          </w:tcPr>
          <w:p w14:paraId="2C9EB48E"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z w:val="20"/>
                <w:szCs w:val="20"/>
              </w:rPr>
              <w:t>0.752</w:t>
            </w:r>
          </w:p>
        </w:tc>
        <w:tc>
          <w:tcPr>
            <w:tcW w:w="1223" w:type="pct"/>
            <w:tcBorders>
              <w:top w:val="single" w:sz="4" w:space="0" w:color="auto"/>
              <w:left w:val="single" w:sz="4" w:space="0" w:color="auto"/>
              <w:bottom w:val="single" w:sz="4" w:space="0" w:color="auto"/>
              <w:right w:val="single" w:sz="4" w:space="0" w:color="auto"/>
            </w:tcBorders>
            <w:hideMark/>
          </w:tcPr>
          <w:p w14:paraId="5F8179E2"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z w:val="20"/>
                <w:szCs w:val="20"/>
              </w:rPr>
              <w:t>0.000</w:t>
            </w:r>
          </w:p>
        </w:tc>
      </w:tr>
      <w:tr w:rsidR="008862C7" w14:paraId="5F09E7F9"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hideMark/>
          </w:tcPr>
          <w:p w14:paraId="48FF154B"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pacing w:val="1"/>
                <w:sz w:val="20"/>
                <w:szCs w:val="20"/>
              </w:rPr>
              <w:t>Log</w:t>
            </w:r>
            <w:r>
              <w:rPr>
                <w:rFonts w:ascii="Arial" w:hAnsi="Arial" w:cs="Arial"/>
                <w:sz w:val="20"/>
                <w:szCs w:val="20"/>
              </w:rPr>
              <w:t>ACR</w:t>
            </w:r>
          </w:p>
        </w:tc>
        <w:tc>
          <w:tcPr>
            <w:tcW w:w="1079" w:type="pct"/>
            <w:tcBorders>
              <w:top w:val="single" w:sz="4" w:space="0" w:color="auto"/>
              <w:left w:val="single" w:sz="4" w:space="0" w:color="auto"/>
              <w:bottom w:val="single" w:sz="4" w:space="0" w:color="auto"/>
              <w:right w:val="single" w:sz="4" w:space="0" w:color="auto"/>
            </w:tcBorders>
            <w:hideMark/>
          </w:tcPr>
          <w:p w14:paraId="7CE0BF80"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z w:val="20"/>
                <w:szCs w:val="20"/>
              </w:rPr>
            </w:pPr>
            <w:r>
              <w:rPr>
                <w:rFonts w:ascii="Arial" w:hAnsi="Arial" w:cs="Arial"/>
                <w:spacing w:val="1"/>
                <w:sz w:val="20"/>
                <w:szCs w:val="20"/>
              </w:rPr>
              <w:t>0.5</w:t>
            </w:r>
            <w:r>
              <w:rPr>
                <w:rFonts w:ascii="Arial" w:hAnsi="Arial" w:cs="Arial"/>
                <w:spacing w:val="-1"/>
                <w:sz w:val="20"/>
                <w:szCs w:val="20"/>
              </w:rPr>
              <w:t>9</w:t>
            </w:r>
            <w:r>
              <w:rPr>
                <w:rFonts w:ascii="Arial" w:hAnsi="Arial" w:cs="Arial"/>
                <w:spacing w:val="1"/>
                <w:sz w:val="20"/>
                <w:szCs w:val="20"/>
              </w:rPr>
              <w:t>8</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551F88DC"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1</w:t>
            </w:r>
            <w:r>
              <w:rPr>
                <w:rFonts w:ascii="Arial" w:hAnsi="Arial" w:cs="Arial"/>
                <w:sz w:val="20"/>
                <w:szCs w:val="20"/>
              </w:rPr>
              <w:t>9</w:t>
            </w:r>
          </w:p>
        </w:tc>
        <w:tc>
          <w:tcPr>
            <w:tcW w:w="1223" w:type="pct"/>
            <w:tcBorders>
              <w:top w:val="single" w:sz="4" w:space="0" w:color="auto"/>
              <w:left w:val="single" w:sz="4" w:space="0" w:color="auto"/>
              <w:bottom w:val="single" w:sz="4" w:space="0" w:color="auto"/>
              <w:right w:val="single" w:sz="4" w:space="0" w:color="auto"/>
            </w:tcBorders>
            <w:hideMark/>
          </w:tcPr>
          <w:p w14:paraId="35D24766"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2358B867" w14:textId="77777777" w:rsidTr="008862C7">
        <w:trPr>
          <w:cantSplit/>
          <w:trHeight w:val="225"/>
        </w:trPr>
        <w:tc>
          <w:tcPr>
            <w:tcW w:w="1620" w:type="pct"/>
            <w:tcBorders>
              <w:top w:val="single" w:sz="4" w:space="0" w:color="auto"/>
              <w:left w:val="single" w:sz="4" w:space="0" w:color="auto"/>
              <w:bottom w:val="single" w:sz="4" w:space="0" w:color="auto"/>
              <w:right w:val="single" w:sz="4" w:space="0" w:color="auto"/>
            </w:tcBorders>
            <w:hideMark/>
          </w:tcPr>
          <w:p w14:paraId="1A152615"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z w:val="20"/>
                <w:szCs w:val="20"/>
              </w:rPr>
              <w:t>Log C</w:t>
            </w:r>
            <w:r>
              <w:rPr>
                <w:rFonts w:ascii="Arial" w:hAnsi="Arial" w:cs="Arial"/>
                <w:spacing w:val="1"/>
                <w:sz w:val="20"/>
                <w:szCs w:val="20"/>
              </w:rPr>
              <w:t>O</w:t>
            </w:r>
            <w:r>
              <w:rPr>
                <w:rFonts w:ascii="Arial" w:hAnsi="Arial" w:cs="Arial"/>
                <w:sz w:val="20"/>
                <w:szCs w:val="20"/>
              </w:rPr>
              <w:t>N</w:t>
            </w:r>
          </w:p>
        </w:tc>
        <w:tc>
          <w:tcPr>
            <w:tcW w:w="1079" w:type="pct"/>
            <w:tcBorders>
              <w:top w:val="single" w:sz="4" w:space="0" w:color="auto"/>
              <w:left w:val="single" w:sz="4" w:space="0" w:color="auto"/>
              <w:bottom w:val="single" w:sz="4" w:space="0" w:color="auto"/>
              <w:right w:val="single" w:sz="4" w:space="0" w:color="auto"/>
            </w:tcBorders>
            <w:hideMark/>
          </w:tcPr>
          <w:p w14:paraId="3862B950"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z w:val="20"/>
                <w:szCs w:val="20"/>
              </w:rPr>
            </w:pPr>
            <w:r>
              <w:rPr>
                <w:rFonts w:ascii="Arial" w:hAnsi="Arial" w:cs="Arial"/>
                <w:spacing w:val="1"/>
                <w:sz w:val="20"/>
                <w:szCs w:val="20"/>
              </w:rPr>
              <w:t>2.0</w:t>
            </w:r>
            <w:r>
              <w:rPr>
                <w:rFonts w:ascii="Arial" w:hAnsi="Arial" w:cs="Arial"/>
                <w:spacing w:val="-1"/>
                <w:sz w:val="20"/>
                <w:szCs w:val="20"/>
              </w:rPr>
              <w:t>3</w:t>
            </w:r>
            <w:r>
              <w:rPr>
                <w:rFonts w:ascii="Arial" w:hAnsi="Arial" w:cs="Arial"/>
                <w:spacing w:val="1"/>
                <w:sz w:val="20"/>
                <w:szCs w:val="20"/>
              </w:rPr>
              <w:t>3</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3E6C090E"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z w:val="20"/>
                <w:szCs w:val="20"/>
              </w:rPr>
            </w:pPr>
            <w:r>
              <w:rPr>
                <w:rFonts w:ascii="Arial" w:hAnsi="Arial" w:cs="Arial"/>
                <w:spacing w:val="1"/>
                <w:sz w:val="20"/>
                <w:szCs w:val="20"/>
              </w:rPr>
              <w:t>0.7</w:t>
            </w:r>
            <w:r>
              <w:rPr>
                <w:rFonts w:ascii="Arial" w:hAnsi="Arial" w:cs="Arial"/>
                <w:spacing w:val="-1"/>
                <w:sz w:val="20"/>
                <w:szCs w:val="20"/>
              </w:rPr>
              <w:t>0</w:t>
            </w:r>
            <w:r>
              <w:rPr>
                <w:rFonts w:ascii="Arial" w:hAnsi="Arial" w:cs="Arial"/>
                <w:sz w:val="20"/>
                <w:szCs w:val="20"/>
              </w:rPr>
              <w:t>2</w:t>
            </w:r>
          </w:p>
        </w:tc>
        <w:tc>
          <w:tcPr>
            <w:tcW w:w="1223" w:type="pct"/>
            <w:tcBorders>
              <w:top w:val="single" w:sz="4" w:space="0" w:color="auto"/>
              <w:left w:val="single" w:sz="4" w:space="0" w:color="auto"/>
              <w:bottom w:val="single" w:sz="4" w:space="0" w:color="auto"/>
              <w:right w:val="single" w:sz="4" w:space="0" w:color="auto"/>
            </w:tcBorders>
            <w:hideMark/>
          </w:tcPr>
          <w:p w14:paraId="51A43381"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1EA5C55B" w14:textId="77777777" w:rsidTr="008862C7">
        <w:trPr>
          <w:cantSplit/>
          <w:trHeight w:val="270"/>
        </w:trPr>
        <w:tc>
          <w:tcPr>
            <w:tcW w:w="1620" w:type="pct"/>
            <w:tcBorders>
              <w:top w:val="single" w:sz="4" w:space="0" w:color="auto"/>
              <w:left w:val="single" w:sz="4" w:space="0" w:color="auto"/>
              <w:bottom w:val="single" w:sz="4" w:space="0" w:color="auto"/>
              <w:right w:val="single" w:sz="4" w:space="0" w:color="auto"/>
            </w:tcBorders>
            <w:hideMark/>
          </w:tcPr>
          <w:p w14:paraId="1DA70769"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pacing w:val="1"/>
                <w:sz w:val="20"/>
                <w:szCs w:val="20"/>
              </w:rPr>
              <w:t>LogID</w:t>
            </w:r>
            <w:r>
              <w:rPr>
                <w:rFonts w:ascii="Arial" w:hAnsi="Arial" w:cs="Arial"/>
                <w:sz w:val="20"/>
                <w:szCs w:val="20"/>
              </w:rPr>
              <w:t>E</w:t>
            </w:r>
          </w:p>
        </w:tc>
        <w:tc>
          <w:tcPr>
            <w:tcW w:w="1079" w:type="pct"/>
            <w:tcBorders>
              <w:top w:val="single" w:sz="4" w:space="0" w:color="auto"/>
              <w:left w:val="single" w:sz="4" w:space="0" w:color="auto"/>
              <w:bottom w:val="single" w:sz="4" w:space="0" w:color="auto"/>
              <w:right w:val="single" w:sz="4" w:space="0" w:color="auto"/>
            </w:tcBorders>
            <w:hideMark/>
          </w:tcPr>
          <w:p w14:paraId="2BD3FF44"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2</w:t>
            </w:r>
            <w:r>
              <w:rPr>
                <w:rFonts w:ascii="Arial" w:hAnsi="Arial" w:cs="Arial"/>
                <w:sz w:val="20"/>
                <w:szCs w:val="20"/>
              </w:rPr>
              <w:t>4</w:t>
            </w:r>
          </w:p>
        </w:tc>
        <w:tc>
          <w:tcPr>
            <w:tcW w:w="1078" w:type="pct"/>
            <w:tcBorders>
              <w:top w:val="single" w:sz="4" w:space="0" w:color="auto"/>
              <w:left w:val="single" w:sz="4" w:space="0" w:color="auto"/>
              <w:bottom w:val="single" w:sz="4" w:space="0" w:color="auto"/>
              <w:right w:val="single" w:sz="4" w:space="0" w:color="auto"/>
            </w:tcBorders>
            <w:hideMark/>
          </w:tcPr>
          <w:p w14:paraId="7EF4AF69"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2</w:t>
            </w:r>
            <w:r>
              <w:rPr>
                <w:rFonts w:ascii="Arial" w:hAnsi="Arial" w:cs="Arial"/>
                <w:sz w:val="20"/>
                <w:szCs w:val="20"/>
              </w:rPr>
              <w:t>8</w:t>
            </w:r>
          </w:p>
        </w:tc>
        <w:tc>
          <w:tcPr>
            <w:tcW w:w="1223" w:type="pct"/>
            <w:tcBorders>
              <w:top w:val="single" w:sz="4" w:space="0" w:color="auto"/>
              <w:left w:val="single" w:sz="4" w:space="0" w:color="auto"/>
              <w:bottom w:val="single" w:sz="4" w:space="0" w:color="auto"/>
              <w:right w:val="single" w:sz="4" w:space="0" w:color="auto"/>
            </w:tcBorders>
            <w:hideMark/>
          </w:tcPr>
          <w:p w14:paraId="0BFA5BF0"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0.4</w:t>
            </w:r>
            <w:r>
              <w:rPr>
                <w:rFonts w:ascii="Arial" w:hAnsi="Arial" w:cs="Arial"/>
                <w:spacing w:val="-1"/>
                <w:sz w:val="20"/>
                <w:szCs w:val="20"/>
              </w:rPr>
              <w:t>0</w:t>
            </w:r>
            <w:r>
              <w:rPr>
                <w:rFonts w:ascii="Arial" w:hAnsi="Arial" w:cs="Arial"/>
                <w:sz w:val="20"/>
                <w:szCs w:val="20"/>
              </w:rPr>
              <w:t>1</w:t>
            </w:r>
          </w:p>
        </w:tc>
      </w:tr>
      <w:tr w:rsidR="008862C7" w14:paraId="6AFE74CA"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hideMark/>
          </w:tcPr>
          <w:p w14:paraId="5890EC41"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LogT</w:t>
            </w:r>
            <w:r>
              <w:rPr>
                <w:rFonts w:ascii="Arial" w:hAnsi="Arial" w:cs="Arial"/>
                <w:sz w:val="20"/>
                <w:szCs w:val="20"/>
              </w:rPr>
              <w:t>CER</w:t>
            </w:r>
          </w:p>
        </w:tc>
        <w:tc>
          <w:tcPr>
            <w:tcW w:w="1079" w:type="pct"/>
            <w:tcBorders>
              <w:top w:val="single" w:sz="4" w:space="0" w:color="auto"/>
              <w:left w:val="single" w:sz="4" w:space="0" w:color="auto"/>
              <w:bottom w:val="single" w:sz="4" w:space="0" w:color="auto"/>
              <w:right w:val="single" w:sz="4" w:space="0" w:color="auto"/>
            </w:tcBorders>
            <w:hideMark/>
          </w:tcPr>
          <w:p w14:paraId="4AC45C4B"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0.841</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6A158B8D"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8</w:t>
            </w:r>
            <w:r>
              <w:rPr>
                <w:rFonts w:ascii="Arial" w:hAnsi="Arial" w:cs="Arial"/>
                <w:sz w:val="20"/>
                <w:szCs w:val="20"/>
              </w:rPr>
              <w:t>4</w:t>
            </w:r>
          </w:p>
        </w:tc>
        <w:tc>
          <w:tcPr>
            <w:tcW w:w="1223" w:type="pct"/>
            <w:tcBorders>
              <w:top w:val="single" w:sz="4" w:space="0" w:color="auto"/>
              <w:left w:val="single" w:sz="4" w:space="0" w:color="auto"/>
              <w:bottom w:val="single" w:sz="4" w:space="0" w:color="auto"/>
              <w:right w:val="single" w:sz="4" w:space="0" w:color="auto"/>
            </w:tcBorders>
            <w:hideMark/>
          </w:tcPr>
          <w:p w14:paraId="5797860D"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675F5CB9"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hideMark/>
          </w:tcPr>
          <w:p w14:paraId="3ED361F1"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pacing w:val="1"/>
                <w:sz w:val="20"/>
                <w:szCs w:val="20"/>
              </w:rPr>
              <w:t>LogDI</w:t>
            </w:r>
            <w:r>
              <w:rPr>
                <w:rFonts w:ascii="Arial" w:hAnsi="Arial" w:cs="Arial"/>
                <w:sz w:val="20"/>
                <w:szCs w:val="20"/>
              </w:rPr>
              <w:t>ST</w:t>
            </w:r>
          </w:p>
        </w:tc>
        <w:tc>
          <w:tcPr>
            <w:tcW w:w="1079" w:type="pct"/>
            <w:tcBorders>
              <w:top w:val="single" w:sz="4" w:space="0" w:color="auto"/>
              <w:left w:val="single" w:sz="4" w:space="0" w:color="auto"/>
              <w:bottom w:val="single" w:sz="4" w:space="0" w:color="auto"/>
              <w:right w:val="single" w:sz="4" w:space="0" w:color="auto"/>
            </w:tcBorders>
            <w:hideMark/>
          </w:tcPr>
          <w:p w14:paraId="4E613E6E"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0.39</w:t>
            </w:r>
            <w:r>
              <w:rPr>
                <w:rFonts w:ascii="Arial" w:hAnsi="Arial" w:cs="Arial"/>
                <w:sz w:val="20"/>
                <w:szCs w:val="20"/>
              </w:rPr>
              <w:t>9</w:t>
            </w:r>
          </w:p>
        </w:tc>
        <w:tc>
          <w:tcPr>
            <w:tcW w:w="1078" w:type="pct"/>
            <w:tcBorders>
              <w:top w:val="single" w:sz="4" w:space="0" w:color="auto"/>
              <w:left w:val="single" w:sz="4" w:space="0" w:color="auto"/>
              <w:bottom w:val="single" w:sz="4" w:space="0" w:color="auto"/>
              <w:right w:val="single" w:sz="4" w:space="0" w:color="auto"/>
            </w:tcBorders>
            <w:hideMark/>
          </w:tcPr>
          <w:p w14:paraId="03A4E0AD"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0.3</w:t>
            </w:r>
            <w:r>
              <w:rPr>
                <w:rFonts w:ascii="Arial" w:hAnsi="Arial" w:cs="Arial"/>
                <w:spacing w:val="-1"/>
                <w:sz w:val="20"/>
                <w:szCs w:val="20"/>
              </w:rPr>
              <w:t>4</w:t>
            </w:r>
            <w:r>
              <w:rPr>
                <w:rFonts w:ascii="Arial" w:hAnsi="Arial" w:cs="Arial"/>
                <w:sz w:val="20"/>
                <w:szCs w:val="20"/>
              </w:rPr>
              <w:t>1</w:t>
            </w:r>
          </w:p>
        </w:tc>
        <w:tc>
          <w:tcPr>
            <w:tcW w:w="1223" w:type="pct"/>
            <w:tcBorders>
              <w:top w:val="single" w:sz="4" w:space="0" w:color="auto"/>
              <w:left w:val="single" w:sz="4" w:space="0" w:color="auto"/>
              <w:bottom w:val="single" w:sz="4" w:space="0" w:color="auto"/>
              <w:right w:val="single" w:sz="4" w:space="0" w:color="auto"/>
            </w:tcBorders>
            <w:hideMark/>
          </w:tcPr>
          <w:p w14:paraId="674BF0BC"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0.2</w:t>
            </w:r>
            <w:r>
              <w:rPr>
                <w:rFonts w:ascii="Arial" w:hAnsi="Arial" w:cs="Arial"/>
                <w:spacing w:val="-1"/>
                <w:sz w:val="20"/>
                <w:szCs w:val="20"/>
              </w:rPr>
              <w:t>4</w:t>
            </w:r>
            <w:r>
              <w:rPr>
                <w:rFonts w:ascii="Arial" w:hAnsi="Arial" w:cs="Arial"/>
                <w:sz w:val="20"/>
                <w:szCs w:val="20"/>
              </w:rPr>
              <w:t>2</w:t>
            </w:r>
          </w:p>
        </w:tc>
      </w:tr>
      <w:tr w:rsidR="008862C7" w14:paraId="50C56039" w14:textId="77777777" w:rsidTr="008862C7">
        <w:trPr>
          <w:cantSplit/>
          <w:trHeight w:val="270"/>
        </w:trPr>
        <w:tc>
          <w:tcPr>
            <w:tcW w:w="1620" w:type="pct"/>
            <w:tcBorders>
              <w:top w:val="single" w:sz="4" w:space="0" w:color="auto"/>
              <w:left w:val="single" w:sz="4" w:space="0" w:color="auto"/>
              <w:bottom w:val="single" w:sz="4" w:space="0" w:color="auto"/>
              <w:right w:val="single" w:sz="4" w:space="0" w:color="auto"/>
            </w:tcBorders>
            <w:hideMark/>
          </w:tcPr>
          <w:p w14:paraId="50750BC8"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z w:val="20"/>
                <w:szCs w:val="20"/>
              </w:rPr>
              <w:t>LogS</w:t>
            </w:r>
            <w:r>
              <w:rPr>
                <w:rFonts w:ascii="Arial" w:hAnsi="Arial" w:cs="Arial"/>
                <w:spacing w:val="1"/>
                <w:sz w:val="20"/>
                <w:szCs w:val="20"/>
              </w:rPr>
              <w:t>U</w:t>
            </w:r>
            <w:r>
              <w:rPr>
                <w:rFonts w:ascii="Arial" w:hAnsi="Arial" w:cs="Arial"/>
                <w:sz w:val="20"/>
                <w:szCs w:val="20"/>
              </w:rPr>
              <w:t>BV</w:t>
            </w:r>
          </w:p>
        </w:tc>
        <w:tc>
          <w:tcPr>
            <w:tcW w:w="1079" w:type="pct"/>
            <w:tcBorders>
              <w:top w:val="single" w:sz="4" w:space="0" w:color="auto"/>
              <w:left w:val="single" w:sz="4" w:space="0" w:color="auto"/>
              <w:bottom w:val="single" w:sz="4" w:space="0" w:color="auto"/>
              <w:right w:val="single" w:sz="4" w:space="0" w:color="auto"/>
            </w:tcBorders>
            <w:hideMark/>
          </w:tcPr>
          <w:p w14:paraId="3551EB0C"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0.216</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22B2FAB6"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3</w:t>
            </w:r>
            <w:r>
              <w:rPr>
                <w:rFonts w:ascii="Arial" w:hAnsi="Arial" w:cs="Arial"/>
                <w:sz w:val="20"/>
                <w:szCs w:val="20"/>
              </w:rPr>
              <w:t>4</w:t>
            </w:r>
          </w:p>
        </w:tc>
        <w:tc>
          <w:tcPr>
            <w:tcW w:w="1223" w:type="pct"/>
            <w:tcBorders>
              <w:top w:val="single" w:sz="4" w:space="0" w:color="auto"/>
              <w:left w:val="single" w:sz="4" w:space="0" w:color="auto"/>
              <w:bottom w:val="single" w:sz="4" w:space="0" w:color="auto"/>
              <w:right w:val="single" w:sz="4" w:space="0" w:color="auto"/>
            </w:tcBorders>
            <w:hideMark/>
          </w:tcPr>
          <w:p w14:paraId="4748D94E"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0</w:t>
            </w:r>
            <w:r>
              <w:rPr>
                <w:rFonts w:ascii="Arial" w:hAnsi="Arial" w:cs="Arial"/>
                <w:sz w:val="20"/>
                <w:szCs w:val="20"/>
              </w:rPr>
              <w:t>0</w:t>
            </w:r>
          </w:p>
        </w:tc>
      </w:tr>
      <w:tr w:rsidR="008862C7" w14:paraId="2927C65B"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hideMark/>
          </w:tcPr>
          <w:p w14:paraId="3F095136"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z w:val="20"/>
                <w:szCs w:val="20"/>
              </w:rPr>
            </w:pPr>
            <w:r>
              <w:rPr>
                <w:rFonts w:ascii="Arial" w:hAnsi="Arial" w:cs="Arial"/>
                <w:spacing w:val="1"/>
                <w:sz w:val="20"/>
                <w:szCs w:val="20"/>
              </w:rPr>
              <w:t>LogTAR</w:t>
            </w:r>
          </w:p>
        </w:tc>
        <w:tc>
          <w:tcPr>
            <w:tcW w:w="1079" w:type="pct"/>
            <w:tcBorders>
              <w:top w:val="single" w:sz="4" w:space="0" w:color="auto"/>
              <w:left w:val="single" w:sz="4" w:space="0" w:color="auto"/>
              <w:bottom w:val="single" w:sz="4" w:space="0" w:color="auto"/>
              <w:right w:val="single" w:sz="4" w:space="0" w:color="auto"/>
            </w:tcBorders>
            <w:hideMark/>
          </w:tcPr>
          <w:p w14:paraId="637D4AAC"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0.807</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58A6A251" w14:textId="77777777" w:rsidR="008862C7" w:rsidRDefault="008862C7">
            <w:pPr>
              <w:widowControl w:val="0"/>
              <w:tabs>
                <w:tab w:val="left" w:pos="708"/>
              </w:tabs>
              <w:autoSpaceDE w:val="0"/>
              <w:autoSpaceDN w:val="0"/>
              <w:adjustRightInd w:val="0"/>
              <w:spacing w:before="120" w:after="0" w:line="240" w:lineRule="auto"/>
              <w:ind w:left="413"/>
              <w:jc w:val="center"/>
              <w:rPr>
                <w:rFonts w:ascii="Arial" w:eastAsia="Times New Roman" w:hAnsi="Arial" w:cs="Arial"/>
                <w:spacing w:val="1"/>
                <w:sz w:val="20"/>
                <w:szCs w:val="20"/>
              </w:rPr>
            </w:pPr>
            <w:r>
              <w:rPr>
                <w:rFonts w:ascii="Arial" w:hAnsi="Arial" w:cs="Arial"/>
                <w:spacing w:val="1"/>
                <w:sz w:val="20"/>
                <w:szCs w:val="20"/>
              </w:rPr>
              <w:t>0.1</w:t>
            </w:r>
            <w:r>
              <w:rPr>
                <w:rFonts w:ascii="Arial" w:hAnsi="Arial" w:cs="Arial"/>
                <w:spacing w:val="-1"/>
                <w:sz w:val="20"/>
                <w:szCs w:val="20"/>
              </w:rPr>
              <w:t>3</w:t>
            </w:r>
            <w:r>
              <w:rPr>
                <w:rFonts w:ascii="Arial" w:hAnsi="Arial" w:cs="Arial"/>
                <w:sz w:val="20"/>
                <w:szCs w:val="20"/>
              </w:rPr>
              <w:t>7</w:t>
            </w:r>
          </w:p>
        </w:tc>
        <w:tc>
          <w:tcPr>
            <w:tcW w:w="1223" w:type="pct"/>
            <w:tcBorders>
              <w:top w:val="single" w:sz="4" w:space="0" w:color="auto"/>
              <w:left w:val="single" w:sz="4" w:space="0" w:color="auto"/>
              <w:bottom w:val="single" w:sz="4" w:space="0" w:color="auto"/>
              <w:right w:val="single" w:sz="4" w:space="0" w:color="auto"/>
            </w:tcBorders>
            <w:hideMark/>
          </w:tcPr>
          <w:p w14:paraId="0BADE49B" w14:textId="77777777" w:rsidR="008862C7" w:rsidRDefault="008862C7">
            <w:pPr>
              <w:widowControl w:val="0"/>
              <w:tabs>
                <w:tab w:val="left" w:pos="708"/>
              </w:tabs>
              <w:autoSpaceDE w:val="0"/>
              <w:autoSpaceDN w:val="0"/>
              <w:adjustRightInd w:val="0"/>
              <w:spacing w:before="120" w:after="0" w:line="240" w:lineRule="auto"/>
              <w:ind w:left="498"/>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2</w:t>
            </w:r>
            <w:r>
              <w:rPr>
                <w:rFonts w:ascii="Arial" w:hAnsi="Arial" w:cs="Arial"/>
                <w:sz w:val="20"/>
                <w:szCs w:val="20"/>
              </w:rPr>
              <w:t>0</w:t>
            </w:r>
          </w:p>
        </w:tc>
      </w:tr>
      <w:tr w:rsidR="008862C7" w14:paraId="0602BD2A" w14:textId="77777777" w:rsidTr="008862C7">
        <w:trPr>
          <w:cantSplit/>
          <w:trHeight w:val="270"/>
        </w:trPr>
        <w:tc>
          <w:tcPr>
            <w:tcW w:w="1620" w:type="pct"/>
            <w:tcBorders>
              <w:top w:val="single" w:sz="4" w:space="0" w:color="auto"/>
              <w:left w:val="single" w:sz="4" w:space="0" w:color="auto"/>
              <w:bottom w:val="single" w:sz="4" w:space="0" w:color="auto"/>
              <w:right w:val="single" w:sz="4" w:space="0" w:color="auto"/>
            </w:tcBorders>
            <w:hideMark/>
          </w:tcPr>
          <w:p w14:paraId="75F165CD" w14:textId="77777777" w:rsidR="008862C7" w:rsidRDefault="008862C7">
            <w:pPr>
              <w:widowControl w:val="0"/>
              <w:tabs>
                <w:tab w:val="left" w:pos="708"/>
              </w:tabs>
              <w:autoSpaceDE w:val="0"/>
              <w:autoSpaceDN w:val="0"/>
              <w:adjustRightInd w:val="0"/>
              <w:spacing w:before="120" w:after="0" w:line="240" w:lineRule="auto"/>
              <w:ind w:left="103"/>
              <w:rPr>
                <w:rFonts w:ascii="Arial" w:eastAsia="Times New Roman" w:hAnsi="Arial" w:cs="Arial"/>
                <w:spacing w:val="1"/>
                <w:sz w:val="20"/>
                <w:szCs w:val="20"/>
              </w:rPr>
            </w:pPr>
            <w:r>
              <w:rPr>
                <w:rFonts w:ascii="Arial" w:hAnsi="Arial" w:cs="Arial"/>
                <w:sz w:val="20"/>
                <w:szCs w:val="20"/>
              </w:rPr>
              <w:t>Con</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a</w:t>
            </w:r>
            <w:r>
              <w:rPr>
                <w:rFonts w:ascii="Arial" w:hAnsi="Arial" w:cs="Arial"/>
                <w:sz w:val="20"/>
                <w:szCs w:val="20"/>
              </w:rPr>
              <w:t>nte</w:t>
            </w:r>
          </w:p>
        </w:tc>
        <w:tc>
          <w:tcPr>
            <w:tcW w:w="1079" w:type="pct"/>
            <w:tcBorders>
              <w:top w:val="single" w:sz="4" w:space="0" w:color="auto"/>
              <w:left w:val="single" w:sz="4" w:space="0" w:color="auto"/>
              <w:bottom w:val="single" w:sz="4" w:space="0" w:color="auto"/>
              <w:right w:val="single" w:sz="4" w:space="0" w:color="auto"/>
            </w:tcBorders>
            <w:hideMark/>
          </w:tcPr>
          <w:p w14:paraId="48DB5405" w14:textId="77777777" w:rsidR="008862C7" w:rsidRDefault="008862C7">
            <w:pPr>
              <w:widowControl w:val="0"/>
              <w:tabs>
                <w:tab w:val="left" w:pos="708"/>
              </w:tabs>
              <w:autoSpaceDE w:val="0"/>
              <w:autoSpaceDN w:val="0"/>
              <w:adjustRightInd w:val="0"/>
              <w:spacing w:before="120" w:after="0" w:line="240" w:lineRule="auto"/>
              <w:ind w:left="111"/>
              <w:jc w:val="center"/>
              <w:rPr>
                <w:rFonts w:ascii="Arial" w:eastAsia="Times New Roman" w:hAnsi="Arial" w:cs="Arial"/>
                <w:spacing w:val="-1"/>
                <w:sz w:val="20"/>
                <w:szCs w:val="20"/>
              </w:rPr>
            </w:pPr>
            <w:r>
              <w:rPr>
                <w:rFonts w:ascii="Arial" w:hAnsi="Arial" w:cs="Arial"/>
                <w:spacing w:val="-1"/>
                <w:sz w:val="20"/>
                <w:szCs w:val="20"/>
              </w:rPr>
              <w:t>-</w:t>
            </w:r>
            <w:r>
              <w:rPr>
                <w:rFonts w:ascii="Arial" w:hAnsi="Arial" w:cs="Arial"/>
                <w:spacing w:val="1"/>
                <w:sz w:val="20"/>
                <w:szCs w:val="20"/>
              </w:rPr>
              <w:t>17.4</w:t>
            </w:r>
            <w:r>
              <w:rPr>
                <w:rFonts w:ascii="Arial" w:hAnsi="Arial" w:cs="Arial"/>
                <w:spacing w:val="-1"/>
                <w:sz w:val="20"/>
                <w:szCs w:val="20"/>
              </w:rPr>
              <w:t>6</w:t>
            </w:r>
            <w:r>
              <w:rPr>
                <w:rFonts w:ascii="Arial" w:hAnsi="Arial" w:cs="Arial"/>
                <w:spacing w:val="1"/>
                <w:sz w:val="20"/>
                <w:szCs w:val="20"/>
              </w:rPr>
              <w:t>3</w:t>
            </w:r>
            <w:r>
              <w:rPr>
                <w:rFonts w:ascii="Arial" w:hAnsi="Arial" w:cs="Arial"/>
                <w:sz w:val="20"/>
                <w:szCs w:val="20"/>
              </w:rPr>
              <w:t>**</w:t>
            </w:r>
          </w:p>
        </w:tc>
        <w:tc>
          <w:tcPr>
            <w:tcW w:w="1078" w:type="pct"/>
            <w:tcBorders>
              <w:top w:val="single" w:sz="4" w:space="0" w:color="auto"/>
              <w:left w:val="single" w:sz="4" w:space="0" w:color="auto"/>
              <w:bottom w:val="single" w:sz="4" w:space="0" w:color="auto"/>
              <w:right w:val="single" w:sz="4" w:space="0" w:color="auto"/>
            </w:tcBorders>
            <w:hideMark/>
          </w:tcPr>
          <w:p w14:paraId="2133290C" w14:textId="77777777" w:rsidR="008862C7" w:rsidRDefault="008862C7">
            <w:pPr>
              <w:widowControl w:val="0"/>
              <w:tabs>
                <w:tab w:val="left" w:pos="708"/>
              </w:tabs>
              <w:autoSpaceDE w:val="0"/>
              <w:autoSpaceDN w:val="0"/>
              <w:adjustRightInd w:val="0"/>
              <w:spacing w:before="120" w:after="0" w:line="240" w:lineRule="auto"/>
              <w:ind w:left="412"/>
              <w:jc w:val="center"/>
              <w:rPr>
                <w:rFonts w:ascii="Arial" w:eastAsia="Times New Roman" w:hAnsi="Arial" w:cs="Arial"/>
                <w:spacing w:val="1"/>
                <w:sz w:val="20"/>
                <w:szCs w:val="20"/>
              </w:rPr>
            </w:pPr>
            <w:r>
              <w:rPr>
                <w:rFonts w:ascii="Arial" w:hAnsi="Arial" w:cs="Arial"/>
                <w:spacing w:val="1"/>
                <w:sz w:val="20"/>
                <w:szCs w:val="20"/>
              </w:rPr>
              <w:t>6.9</w:t>
            </w:r>
            <w:r>
              <w:rPr>
                <w:rFonts w:ascii="Arial" w:hAnsi="Arial" w:cs="Arial"/>
                <w:spacing w:val="-1"/>
                <w:sz w:val="20"/>
                <w:szCs w:val="20"/>
              </w:rPr>
              <w:t>8</w:t>
            </w:r>
            <w:r>
              <w:rPr>
                <w:rFonts w:ascii="Arial" w:hAnsi="Arial" w:cs="Arial"/>
                <w:sz w:val="20"/>
                <w:szCs w:val="20"/>
              </w:rPr>
              <w:t>8</w:t>
            </w:r>
          </w:p>
        </w:tc>
        <w:tc>
          <w:tcPr>
            <w:tcW w:w="1223" w:type="pct"/>
            <w:tcBorders>
              <w:top w:val="single" w:sz="4" w:space="0" w:color="auto"/>
              <w:left w:val="single" w:sz="4" w:space="0" w:color="auto"/>
              <w:bottom w:val="single" w:sz="4" w:space="0" w:color="auto"/>
              <w:right w:val="single" w:sz="4" w:space="0" w:color="auto"/>
            </w:tcBorders>
            <w:hideMark/>
          </w:tcPr>
          <w:p w14:paraId="42BA740C" w14:textId="77777777" w:rsidR="008862C7" w:rsidRDefault="008862C7">
            <w:pPr>
              <w:widowControl w:val="0"/>
              <w:tabs>
                <w:tab w:val="left" w:pos="708"/>
              </w:tabs>
              <w:autoSpaceDE w:val="0"/>
              <w:autoSpaceDN w:val="0"/>
              <w:adjustRightInd w:val="0"/>
              <w:spacing w:before="120" w:after="0" w:line="240" w:lineRule="auto"/>
              <w:ind w:left="497"/>
              <w:jc w:val="center"/>
              <w:rPr>
                <w:rFonts w:ascii="Arial" w:eastAsia="Times New Roman" w:hAnsi="Arial" w:cs="Arial"/>
                <w:spacing w:val="1"/>
                <w:sz w:val="20"/>
                <w:szCs w:val="20"/>
              </w:rPr>
            </w:pPr>
            <w:r>
              <w:rPr>
                <w:rFonts w:ascii="Arial" w:hAnsi="Arial" w:cs="Arial"/>
                <w:spacing w:val="1"/>
                <w:sz w:val="20"/>
                <w:szCs w:val="20"/>
              </w:rPr>
              <w:t>0.0</w:t>
            </w:r>
            <w:r>
              <w:rPr>
                <w:rFonts w:ascii="Arial" w:hAnsi="Arial" w:cs="Arial"/>
                <w:spacing w:val="-1"/>
                <w:sz w:val="20"/>
                <w:szCs w:val="20"/>
              </w:rPr>
              <w:t>1</w:t>
            </w:r>
            <w:r>
              <w:rPr>
                <w:rFonts w:ascii="Arial" w:hAnsi="Arial" w:cs="Arial"/>
                <w:sz w:val="20"/>
                <w:szCs w:val="20"/>
              </w:rPr>
              <w:t>2</w:t>
            </w:r>
          </w:p>
        </w:tc>
      </w:tr>
      <w:tr w:rsidR="008862C7" w14:paraId="705D8350" w14:textId="77777777" w:rsidTr="008862C7">
        <w:trPr>
          <w:cantSplit/>
          <w:trHeight w:hRule="exact" w:val="316"/>
        </w:trPr>
        <w:tc>
          <w:tcPr>
            <w:tcW w:w="1620" w:type="pct"/>
            <w:tcBorders>
              <w:top w:val="single" w:sz="4" w:space="0" w:color="auto"/>
              <w:left w:val="single" w:sz="4" w:space="0" w:color="auto"/>
              <w:bottom w:val="nil"/>
              <w:right w:val="single" w:sz="4" w:space="0" w:color="auto"/>
            </w:tcBorders>
            <w:shd w:val="clear" w:color="auto" w:fill="D6E3BC"/>
            <w:vAlign w:val="center"/>
            <w:hideMark/>
          </w:tcPr>
          <w:p w14:paraId="321FAEB4" w14:textId="77777777" w:rsidR="008862C7" w:rsidRDefault="008862C7">
            <w:pPr>
              <w:widowControl w:val="0"/>
              <w:tabs>
                <w:tab w:val="left" w:pos="708"/>
              </w:tabs>
              <w:autoSpaceDE w:val="0"/>
              <w:autoSpaceDN w:val="0"/>
              <w:adjustRightInd w:val="0"/>
              <w:spacing w:after="0" w:line="240" w:lineRule="auto"/>
              <w:ind w:left="103"/>
              <w:rPr>
                <w:rFonts w:ascii="Arial" w:eastAsia="Times New Roman" w:hAnsi="Arial" w:cs="Arial"/>
                <w:sz w:val="20"/>
                <w:szCs w:val="20"/>
              </w:rPr>
            </w:pPr>
            <w:r>
              <w:rPr>
                <w:rFonts w:ascii="Arial" w:hAnsi="Arial" w:cs="Arial"/>
                <w:sz w:val="20"/>
                <w:szCs w:val="20"/>
              </w:rPr>
              <w:t xml:space="preserve">Observations </w:t>
            </w:r>
          </w:p>
        </w:tc>
        <w:tc>
          <w:tcPr>
            <w:tcW w:w="3380" w:type="pct"/>
            <w:gridSpan w:val="3"/>
            <w:tcBorders>
              <w:top w:val="single" w:sz="4" w:space="0" w:color="auto"/>
              <w:left w:val="single" w:sz="4" w:space="0" w:color="auto"/>
              <w:bottom w:val="nil"/>
              <w:right w:val="single" w:sz="4" w:space="0" w:color="auto"/>
            </w:tcBorders>
            <w:shd w:val="clear" w:color="auto" w:fill="D6E3BC"/>
            <w:vAlign w:val="center"/>
            <w:hideMark/>
          </w:tcPr>
          <w:p w14:paraId="047DFCF2" w14:textId="77777777" w:rsidR="008862C7" w:rsidRDefault="008862C7">
            <w:pPr>
              <w:tabs>
                <w:tab w:val="left" w:pos="708"/>
              </w:tabs>
              <w:autoSpaceDE w:val="0"/>
              <w:autoSpaceDN w:val="0"/>
              <w:adjustRightInd w:val="0"/>
              <w:spacing w:after="0" w:line="240" w:lineRule="auto"/>
              <w:jc w:val="center"/>
              <w:rPr>
                <w:rFonts w:ascii="Arial" w:eastAsia="Times New Roman" w:hAnsi="Arial" w:cs="Arial"/>
                <w:sz w:val="20"/>
                <w:szCs w:val="20"/>
              </w:rPr>
            </w:pPr>
            <w:r>
              <w:rPr>
                <w:rFonts w:ascii="Arial" w:hAnsi="Arial" w:cs="Arial"/>
                <w:sz w:val="20"/>
                <w:szCs w:val="20"/>
              </w:rPr>
              <w:t>1683</w:t>
            </w:r>
          </w:p>
        </w:tc>
      </w:tr>
      <w:tr w:rsidR="008862C7" w14:paraId="0EC97C39" w14:textId="77777777" w:rsidTr="008862C7">
        <w:trPr>
          <w:cantSplit/>
          <w:trHeight w:val="120"/>
        </w:trPr>
        <w:tc>
          <w:tcPr>
            <w:tcW w:w="1620"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E838521" w14:textId="77777777" w:rsidR="008862C7" w:rsidRDefault="008862C7">
            <w:pPr>
              <w:widowControl w:val="0"/>
              <w:tabs>
                <w:tab w:val="left" w:pos="708"/>
              </w:tabs>
              <w:autoSpaceDE w:val="0"/>
              <w:autoSpaceDN w:val="0"/>
              <w:adjustRightInd w:val="0"/>
              <w:spacing w:after="0" w:line="240" w:lineRule="auto"/>
              <w:ind w:left="103"/>
              <w:rPr>
                <w:rFonts w:ascii="Arial" w:eastAsia="Times New Roman" w:hAnsi="Arial" w:cs="Arial"/>
                <w:spacing w:val="1"/>
                <w:sz w:val="20"/>
                <w:szCs w:val="20"/>
              </w:rPr>
            </w:pPr>
            <w:r>
              <w:rPr>
                <w:rFonts w:ascii="Arial" w:hAnsi="Arial" w:cs="Arial"/>
                <w:spacing w:val="1"/>
                <w:sz w:val="20"/>
                <w:szCs w:val="20"/>
              </w:rPr>
              <w:t>N</w:t>
            </w:r>
            <w:r>
              <w:rPr>
                <w:rFonts w:ascii="Arial" w:hAnsi="Arial" w:cs="Arial"/>
                <w:sz w:val="20"/>
                <w:szCs w:val="20"/>
              </w:rPr>
              <w:t>om</w:t>
            </w:r>
            <w:r>
              <w:rPr>
                <w:rFonts w:ascii="Arial" w:hAnsi="Arial" w:cs="Arial"/>
                <w:spacing w:val="1"/>
                <w:sz w:val="20"/>
                <w:szCs w:val="20"/>
              </w:rPr>
              <w:t>b</w:t>
            </w:r>
            <w:r>
              <w:rPr>
                <w:rFonts w:ascii="Arial" w:hAnsi="Arial" w:cs="Arial"/>
                <w:spacing w:val="-1"/>
                <w:sz w:val="20"/>
                <w:szCs w:val="20"/>
              </w:rPr>
              <w:t>r</w:t>
            </w:r>
            <w:r>
              <w:rPr>
                <w:rFonts w:ascii="Arial" w:hAnsi="Arial" w:cs="Arial"/>
                <w:sz w:val="20"/>
                <w:szCs w:val="20"/>
              </w:rPr>
              <w:t>e</w:t>
            </w:r>
            <w:r>
              <w:rPr>
                <w:rFonts w:ascii="Arial" w:hAnsi="Arial" w:cs="Arial"/>
                <w:spacing w:val="-5"/>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2"/>
                <w:sz w:val="20"/>
                <w:szCs w:val="20"/>
              </w:rPr>
              <w:t xml:space="preserve"> </w:t>
            </w:r>
            <w:r>
              <w:rPr>
                <w:rFonts w:ascii="Arial" w:hAnsi="Arial" w:cs="Arial"/>
                <w:spacing w:val="-1"/>
                <w:sz w:val="20"/>
                <w:szCs w:val="20"/>
              </w:rPr>
              <w:t>p</w:t>
            </w:r>
            <w:r>
              <w:rPr>
                <w:rFonts w:ascii="Arial" w:hAnsi="Arial" w:cs="Arial"/>
                <w:spacing w:val="1"/>
                <w:sz w:val="20"/>
                <w:szCs w:val="20"/>
              </w:rPr>
              <w:t>ay</w:t>
            </w:r>
            <w:r>
              <w:rPr>
                <w:rFonts w:ascii="Arial" w:hAnsi="Arial" w:cs="Arial"/>
                <w:sz w:val="20"/>
                <w:szCs w:val="20"/>
              </w:rPr>
              <w:t>s</w:t>
            </w:r>
          </w:p>
        </w:tc>
        <w:tc>
          <w:tcPr>
            <w:tcW w:w="338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14:paraId="26972093" w14:textId="77777777" w:rsidR="008862C7" w:rsidRDefault="008862C7">
            <w:pPr>
              <w:widowControl w:val="0"/>
              <w:tabs>
                <w:tab w:val="left" w:pos="708"/>
              </w:tabs>
              <w:autoSpaceDE w:val="0"/>
              <w:autoSpaceDN w:val="0"/>
              <w:adjustRightInd w:val="0"/>
              <w:spacing w:after="0" w:line="240" w:lineRule="auto"/>
              <w:jc w:val="center"/>
              <w:rPr>
                <w:rFonts w:ascii="Arial" w:eastAsia="Times New Roman" w:hAnsi="Arial" w:cs="Arial"/>
                <w:sz w:val="20"/>
                <w:szCs w:val="20"/>
              </w:rPr>
            </w:pPr>
            <w:r>
              <w:rPr>
                <w:rFonts w:ascii="Arial" w:hAnsi="Arial" w:cs="Arial"/>
                <w:spacing w:val="1"/>
                <w:sz w:val="20"/>
                <w:szCs w:val="20"/>
              </w:rPr>
              <w:t>51</w:t>
            </w:r>
          </w:p>
        </w:tc>
      </w:tr>
      <w:tr w:rsidR="008862C7" w14:paraId="1E36343A" w14:textId="77777777" w:rsidTr="008862C7">
        <w:trPr>
          <w:cantSplit/>
          <w:trHeight w:val="236"/>
        </w:trPr>
        <w:tc>
          <w:tcPr>
            <w:tcW w:w="1620" w:type="pct"/>
            <w:tcBorders>
              <w:top w:val="single" w:sz="4" w:space="0" w:color="auto"/>
              <w:left w:val="single" w:sz="4" w:space="0" w:color="auto"/>
              <w:bottom w:val="single" w:sz="4" w:space="0" w:color="auto"/>
              <w:right w:val="single" w:sz="4" w:space="0" w:color="auto"/>
            </w:tcBorders>
            <w:shd w:val="clear" w:color="auto" w:fill="D6E3BC"/>
            <w:hideMark/>
          </w:tcPr>
          <w:p w14:paraId="62AF61DC" w14:textId="77777777" w:rsidR="008862C7" w:rsidRDefault="008862C7">
            <w:pPr>
              <w:widowControl w:val="0"/>
              <w:tabs>
                <w:tab w:val="left" w:pos="708"/>
              </w:tabs>
              <w:autoSpaceDE w:val="0"/>
              <w:autoSpaceDN w:val="0"/>
              <w:adjustRightInd w:val="0"/>
              <w:spacing w:after="0" w:line="240" w:lineRule="auto"/>
              <w:ind w:left="103"/>
              <w:rPr>
                <w:rFonts w:ascii="Arial" w:eastAsia="Times New Roman" w:hAnsi="Arial" w:cs="Arial"/>
                <w:sz w:val="20"/>
                <w:szCs w:val="20"/>
                <w:lang w:val="en-US"/>
              </w:rPr>
            </w:pPr>
            <w:r>
              <w:rPr>
                <w:rFonts w:ascii="Arial" w:hAnsi="Arial" w:cs="Arial"/>
                <w:position w:val="-6"/>
                <w:sz w:val="20"/>
                <w:szCs w:val="20"/>
                <w:lang w:val="en-US"/>
              </w:rPr>
              <w:t>R</w:t>
            </w:r>
            <w:r>
              <w:rPr>
                <w:rFonts w:ascii="Arial" w:hAnsi="Arial" w:cs="Arial"/>
                <w:sz w:val="20"/>
                <w:szCs w:val="20"/>
                <w:lang w:val="en-US"/>
              </w:rPr>
              <w:t>2</w:t>
            </w:r>
          </w:p>
        </w:tc>
        <w:tc>
          <w:tcPr>
            <w:tcW w:w="338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14:paraId="7D4A15E0" w14:textId="77777777" w:rsidR="008862C7" w:rsidRDefault="008862C7">
            <w:pPr>
              <w:widowControl w:val="0"/>
              <w:tabs>
                <w:tab w:val="left" w:pos="708"/>
              </w:tabs>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lang w:val="en-US"/>
              </w:rPr>
              <w:t>0,5876</w:t>
            </w:r>
          </w:p>
        </w:tc>
      </w:tr>
      <w:tr w:rsidR="008862C7" w14:paraId="1B9126D8" w14:textId="77777777" w:rsidTr="008862C7">
        <w:trPr>
          <w:cantSplit/>
          <w:trHeight w:val="150"/>
        </w:trPr>
        <w:tc>
          <w:tcPr>
            <w:tcW w:w="1620" w:type="pct"/>
            <w:tcBorders>
              <w:top w:val="single" w:sz="4" w:space="0" w:color="auto"/>
              <w:left w:val="single" w:sz="4" w:space="0" w:color="auto"/>
              <w:bottom w:val="single" w:sz="4" w:space="0" w:color="auto"/>
              <w:right w:val="single" w:sz="4" w:space="0" w:color="auto"/>
            </w:tcBorders>
            <w:shd w:val="clear" w:color="auto" w:fill="D6E3BC"/>
            <w:hideMark/>
          </w:tcPr>
          <w:p w14:paraId="207E66AB" w14:textId="77777777" w:rsidR="008862C7" w:rsidRDefault="008862C7">
            <w:pPr>
              <w:widowControl w:val="0"/>
              <w:tabs>
                <w:tab w:val="left" w:pos="708"/>
              </w:tabs>
              <w:autoSpaceDE w:val="0"/>
              <w:autoSpaceDN w:val="0"/>
              <w:adjustRightInd w:val="0"/>
              <w:spacing w:after="0" w:line="240" w:lineRule="auto"/>
              <w:ind w:left="103"/>
              <w:rPr>
                <w:rFonts w:ascii="Arial" w:eastAsia="Times New Roman" w:hAnsi="Arial" w:cs="Arial"/>
                <w:position w:val="-6"/>
                <w:sz w:val="20"/>
                <w:szCs w:val="20"/>
                <w:lang w:val="en-US"/>
              </w:rPr>
            </w:pPr>
            <w:r>
              <w:rPr>
                <w:rFonts w:ascii="Arial" w:hAnsi="Arial" w:cs="Arial"/>
                <w:sz w:val="20"/>
                <w:szCs w:val="20"/>
                <w:lang w:val="en-US"/>
              </w:rPr>
              <w:t>W</w:t>
            </w:r>
            <w:r>
              <w:rPr>
                <w:rFonts w:ascii="Arial" w:hAnsi="Arial" w:cs="Arial"/>
                <w:spacing w:val="1"/>
                <w:sz w:val="20"/>
                <w:szCs w:val="20"/>
                <w:lang w:val="en-US"/>
              </w:rPr>
              <w:t>al</w:t>
            </w:r>
            <w:r>
              <w:rPr>
                <w:rFonts w:ascii="Arial" w:hAnsi="Arial" w:cs="Arial"/>
                <w:sz w:val="20"/>
                <w:szCs w:val="20"/>
                <w:lang w:val="en-US"/>
              </w:rPr>
              <w:t>d</w:t>
            </w:r>
            <w:r>
              <w:rPr>
                <w:rFonts w:ascii="Arial" w:hAnsi="Arial" w:cs="Arial"/>
                <w:spacing w:val="-3"/>
                <w:sz w:val="20"/>
                <w:szCs w:val="20"/>
                <w:lang w:val="en-US"/>
              </w:rPr>
              <w:t xml:space="preserve"> </w:t>
            </w:r>
            <w:r>
              <w:rPr>
                <w:rFonts w:ascii="Arial" w:hAnsi="Arial" w:cs="Arial"/>
                <w:sz w:val="20"/>
                <w:szCs w:val="20"/>
                <w:lang w:val="en-US"/>
              </w:rPr>
              <w:t>Ch</w:t>
            </w:r>
            <w:r>
              <w:rPr>
                <w:rFonts w:ascii="Arial" w:hAnsi="Arial" w:cs="Arial"/>
                <w:spacing w:val="1"/>
                <w:sz w:val="20"/>
                <w:szCs w:val="20"/>
                <w:lang w:val="en-US"/>
              </w:rPr>
              <w:t>i</w:t>
            </w:r>
            <w:r>
              <w:rPr>
                <w:rFonts w:ascii="Arial" w:hAnsi="Arial" w:cs="Arial"/>
                <w:sz w:val="20"/>
                <w:szCs w:val="20"/>
                <w:lang w:val="en-US"/>
              </w:rPr>
              <w:t>2</w:t>
            </w:r>
            <w:r>
              <w:rPr>
                <w:rFonts w:ascii="Arial" w:hAnsi="Arial" w:cs="Arial"/>
                <w:spacing w:val="-1"/>
                <w:sz w:val="20"/>
                <w:szCs w:val="20"/>
                <w:lang w:val="en-US"/>
              </w:rPr>
              <w:t xml:space="preserve"> (</w:t>
            </w:r>
            <w:r>
              <w:rPr>
                <w:rFonts w:ascii="Arial" w:hAnsi="Arial" w:cs="Arial"/>
                <w:spacing w:val="1"/>
                <w:sz w:val="20"/>
                <w:szCs w:val="20"/>
                <w:lang w:val="en-US"/>
              </w:rPr>
              <w:t>9</w:t>
            </w:r>
            <w:r>
              <w:rPr>
                <w:rFonts w:ascii="Arial" w:hAnsi="Arial" w:cs="Arial"/>
                <w:sz w:val="20"/>
                <w:szCs w:val="20"/>
                <w:lang w:val="en-US"/>
              </w:rPr>
              <w:t>)</w:t>
            </w:r>
          </w:p>
        </w:tc>
        <w:tc>
          <w:tcPr>
            <w:tcW w:w="338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14:paraId="2C35808B" w14:textId="77777777" w:rsidR="008862C7" w:rsidRDefault="008862C7">
            <w:pPr>
              <w:spacing w:after="0" w:line="240" w:lineRule="auto"/>
              <w:rPr>
                <w:rFonts w:eastAsia="Calibri" w:cs="Times New Roman"/>
                <w:sz w:val="20"/>
                <w:szCs w:val="20"/>
              </w:rPr>
            </w:pPr>
          </w:p>
        </w:tc>
      </w:tr>
      <w:tr w:rsidR="008862C7" w14:paraId="3B48FF01" w14:textId="77777777" w:rsidTr="008862C7">
        <w:trPr>
          <w:cantSplit/>
          <w:trHeight w:val="240"/>
        </w:trPr>
        <w:tc>
          <w:tcPr>
            <w:tcW w:w="1620" w:type="pct"/>
            <w:tcBorders>
              <w:top w:val="single" w:sz="4" w:space="0" w:color="auto"/>
              <w:left w:val="single" w:sz="4" w:space="0" w:color="auto"/>
              <w:bottom w:val="single" w:sz="4" w:space="0" w:color="auto"/>
              <w:right w:val="single" w:sz="4" w:space="0" w:color="auto"/>
            </w:tcBorders>
            <w:shd w:val="clear" w:color="auto" w:fill="D6E3BC"/>
            <w:hideMark/>
          </w:tcPr>
          <w:p w14:paraId="2A8BF7D9" w14:textId="77777777" w:rsidR="008862C7" w:rsidRDefault="008862C7">
            <w:pPr>
              <w:widowControl w:val="0"/>
              <w:tabs>
                <w:tab w:val="left" w:pos="708"/>
              </w:tabs>
              <w:autoSpaceDE w:val="0"/>
              <w:autoSpaceDN w:val="0"/>
              <w:adjustRightInd w:val="0"/>
              <w:spacing w:after="0" w:line="240" w:lineRule="auto"/>
              <w:ind w:left="103"/>
              <w:rPr>
                <w:rFonts w:ascii="Arial" w:eastAsia="Times New Roman" w:hAnsi="Arial" w:cs="Arial"/>
                <w:sz w:val="20"/>
                <w:szCs w:val="20"/>
                <w:lang w:val="en-US"/>
              </w:rPr>
            </w:pPr>
            <w:r>
              <w:rPr>
                <w:rFonts w:ascii="Arial" w:hAnsi="Arial" w:cs="Arial"/>
                <w:spacing w:val="1"/>
                <w:sz w:val="20"/>
                <w:szCs w:val="20"/>
                <w:lang w:val="en-US"/>
              </w:rPr>
              <w:t>P</w:t>
            </w:r>
            <w:r>
              <w:rPr>
                <w:rFonts w:ascii="Arial" w:hAnsi="Arial" w:cs="Arial"/>
                <w:spacing w:val="-1"/>
                <w:sz w:val="20"/>
                <w:szCs w:val="20"/>
                <w:lang w:val="en-US"/>
              </w:rPr>
              <w:t>r</w:t>
            </w:r>
            <w:r>
              <w:rPr>
                <w:rFonts w:ascii="Arial" w:hAnsi="Arial" w:cs="Arial"/>
                <w:sz w:val="20"/>
                <w:szCs w:val="20"/>
                <w:lang w:val="en-US"/>
              </w:rPr>
              <w:t>ob</w:t>
            </w:r>
            <w:r>
              <w:rPr>
                <w:rFonts w:ascii="Arial" w:hAnsi="Arial" w:cs="Arial"/>
                <w:spacing w:val="-1"/>
                <w:sz w:val="20"/>
                <w:szCs w:val="20"/>
                <w:lang w:val="en-US"/>
              </w:rPr>
              <w:t xml:space="preserve"> </w:t>
            </w:r>
            <w:r>
              <w:rPr>
                <w:rFonts w:ascii="Arial" w:hAnsi="Arial" w:cs="Arial"/>
                <w:sz w:val="20"/>
                <w:szCs w:val="20"/>
                <w:lang w:val="en-US"/>
              </w:rPr>
              <w:t>&gt;</w:t>
            </w:r>
            <w:r>
              <w:rPr>
                <w:rFonts w:ascii="Arial" w:hAnsi="Arial" w:cs="Arial"/>
                <w:spacing w:val="2"/>
                <w:sz w:val="20"/>
                <w:szCs w:val="20"/>
                <w:lang w:val="en-US"/>
              </w:rPr>
              <w:t xml:space="preserve"> </w:t>
            </w:r>
            <w:r>
              <w:rPr>
                <w:rFonts w:ascii="Arial" w:hAnsi="Arial" w:cs="Arial"/>
                <w:sz w:val="20"/>
                <w:szCs w:val="20"/>
                <w:lang w:val="en-US"/>
              </w:rPr>
              <w:t>Ch</w:t>
            </w:r>
            <w:r>
              <w:rPr>
                <w:rFonts w:ascii="Arial" w:hAnsi="Arial" w:cs="Arial"/>
                <w:spacing w:val="-1"/>
                <w:sz w:val="20"/>
                <w:szCs w:val="20"/>
                <w:lang w:val="en-US"/>
              </w:rPr>
              <w:t>i</w:t>
            </w:r>
            <w:r>
              <w:rPr>
                <w:rFonts w:ascii="Arial" w:hAnsi="Arial" w:cs="Arial"/>
                <w:sz w:val="20"/>
                <w:szCs w:val="20"/>
                <w:lang w:val="en-US"/>
              </w:rPr>
              <w:t>2</w:t>
            </w:r>
          </w:p>
        </w:tc>
        <w:tc>
          <w:tcPr>
            <w:tcW w:w="338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14:paraId="56B00F54" w14:textId="77777777" w:rsidR="008862C7" w:rsidRDefault="008862C7">
            <w:pPr>
              <w:widowControl w:val="0"/>
              <w:tabs>
                <w:tab w:val="left" w:pos="708"/>
              </w:tabs>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lang w:val="en-US"/>
              </w:rPr>
              <w:t>0,000</w:t>
            </w:r>
          </w:p>
        </w:tc>
      </w:tr>
    </w:tbl>
    <w:p w14:paraId="7A6B9C02" w14:textId="77777777" w:rsidR="008862C7" w:rsidRDefault="008862C7" w:rsidP="008862C7">
      <w:pPr>
        <w:widowControl w:val="0"/>
        <w:autoSpaceDE w:val="0"/>
        <w:autoSpaceDN w:val="0"/>
        <w:adjustRightInd w:val="0"/>
        <w:spacing w:before="120" w:after="0" w:line="232" w:lineRule="exact"/>
        <w:rPr>
          <w:rFonts w:ascii="Arial" w:eastAsia="Times New Roman" w:hAnsi="Arial" w:cs="Arial"/>
          <w:sz w:val="20"/>
          <w:szCs w:val="20"/>
        </w:rPr>
      </w:pPr>
      <w:r>
        <w:rPr>
          <w:rFonts w:ascii="Arial" w:hAnsi="Arial" w:cs="Arial"/>
          <w:spacing w:val="1"/>
          <w:sz w:val="20"/>
          <w:szCs w:val="20"/>
          <w:u w:val="single"/>
        </w:rPr>
        <w:t>No</w:t>
      </w:r>
      <w:r>
        <w:rPr>
          <w:rFonts w:ascii="Arial" w:hAnsi="Arial" w:cs="Arial"/>
          <w:spacing w:val="-1"/>
          <w:sz w:val="20"/>
          <w:szCs w:val="20"/>
          <w:u w:val="single"/>
        </w:rPr>
        <w:t>t</w:t>
      </w:r>
      <w:r>
        <w:rPr>
          <w:rFonts w:ascii="Arial" w:hAnsi="Arial" w:cs="Arial"/>
          <w:sz w:val="20"/>
          <w:szCs w:val="20"/>
          <w:u w:val="single"/>
        </w:rPr>
        <w:t>e</w:t>
      </w:r>
      <w:r>
        <w:rPr>
          <w:rFonts w:ascii="Arial" w:hAnsi="Arial" w:cs="Arial"/>
          <w:spacing w:val="-3"/>
          <w:sz w:val="20"/>
          <w:szCs w:val="20"/>
        </w:rPr>
        <w:t xml:space="preserve"> </w:t>
      </w:r>
      <w:r>
        <w:rPr>
          <w:rFonts w:ascii="Arial" w:hAnsi="Arial" w:cs="Arial"/>
          <w:sz w:val="20"/>
          <w:szCs w:val="20"/>
        </w:rPr>
        <w:t>:</w:t>
      </w:r>
      <w:r>
        <w:rPr>
          <w:rFonts w:ascii="Arial" w:hAnsi="Arial" w:cs="Arial"/>
          <w:spacing w:val="-1"/>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2"/>
          <w:sz w:val="20"/>
          <w:szCs w:val="20"/>
        </w:rPr>
        <w:t xml:space="preserve"> </w:t>
      </w:r>
      <w:r>
        <w:rPr>
          <w:rFonts w:ascii="Arial" w:hAnsi="Arial" w:cs="Arial"/>
          <w:spacing w:val="-1"/>
          <w:sz w:val="20"/>
          <w:szCs w:val="20"/>
        </w:rPr>
        <w:t>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ica</w:t>
      </w:r>
      <w:r>
        <w:rPr>
          <w:rFonts w:ascii="Arial" w:hAnsi="Arial" w:cs="Arial"/>
          <w:spacing w:val="-1"/>
          <w:sz w:val="20"/>
          <w:szCs w:val="20"/>
        </w:rPr>
        <w:t>t</w:t>
      </w:r>
      <w:r>
        <w:rPr>
          <w:rFonts w:ascii="Arial" w:hAnsi="Arial" w:cs="Arial"/>
          <w:sz w:val="20"/>
          <w:szCs w:val="20"/>
        </w:rPr>
        <w:t>if</w:t>
      </w:r>
      <w:r>
        <w:rPr>
          <w:rFonts w:ascii="Arial" w:hAnsi="Arial" w:cs="Arial"/>
          <w:spacing w:val="-9"/>
          <w:sz w:val="20"/>
          <w:szCs w:val="20"/>
        </w:rPr>
        <w:t xml:space="preserve"> </w:t>
      </w:r>
      <w:r>
        <w:rPr>
          <w:rFonts w:ascii="Arial" w:hAnsi="Arial" w:cs="Arial"/>
          <w:sz w:val="20"/>
          <w:szCs w:val="20"/>
        </w:rPr>
        <w:t>au</w:t>
      </w:r>
      <w:r>
        <w:rPr>
          <w:rFonts w:ascii="Arial" w:hAnsi="Arial" w:cs="Arial"/>
          <w:spacing w:val="1"/>
          <w:sz w:val="20"/>
          <w:szCs w:val="20"/>
        </w:rPr>
        <w:t xml:space="preserve"> seu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pacing w:val="1"/>
          <w:sz w:val="20"/>
          <w:szCs w:val="20"/>
        </w:rPr>
        <w:t>*</w:t>
      </w:r>
      <w:r>
        <w:rPr>
          <w:rFonts w:ascii="Arial" w:hAnsi="Arial" w:cs="Arial"/>
          <w:sz w:val="20"/>
          <w:szCs w:val="20"/>
        </w:rPr>
        <w:t>*</w:t>
      </w:r>
      <w:r>
        <w:rPr>
          <w:rFonts w:ascii="Arial" w:hAnsi="Arial" w:cs="Arial"/>
          <w:spacing w:val="-1"/>
          <w:sz w:val="20"/>
          <w:szCs w:val="20"/>
        </w:rPr>
        <w:t xml:space="preserve"> s</w:t>
      </w:r>
      <w:r>
        <w:rPr>
          <w:rFonts w:ascii="Arial" w:hAnsi="Arial" w:cs="Arial"/>
          <w:sz w:val="20"/>
          <w:szCs w:val="20"/>
        </w:rPr>
        <w:t>i</w:t>
      </w:r>
      <w:r>
        <w:rPr>
          <w:rFonts w:ascii="Arial" w:hAnsi="Arial" w:cs="Arial"/>
          <w:spacing w:val="1"/>
          <w:sz w:val="20"/>
          <w:szCs w:val="20"/>
        </w:rPr>
        <w:t>gn</w:t>
      </w:r>
      <w:r>
        <w:rPr>
          <w:rFonts w:ascii="Arial" w:hAnsi="Arial" w:cs="Arial"/>
          <w:sz w:val="20"/>
          <w:szCs w:val="20"/>
        </w:rPr>
        <w:t>i</w:t>
      </w:r>
      <w:r>
        <w:rPr>
          <w:rFonts w:ascii="Arial" w:hAnsi="Arial" w:cs="Arial"/>
          <w:spacing w:val="1"/>
          <w:sz w:val="20"/>
          <w:szCs w:val="20"/>
        </w:rPr>
        <w:t>f</w:t>
      </w:r>
      <w:r>
        <w:rPr>
          <w:rFonts w:ascii="Arial" w:hAnsi="Arial" w:cs="Arial"/>
          <w:sz w:val="20"/>
          <w:szCs w:val="20"/>
        </w:rPr>
        <w:t>i</w:t>
      </w:r>
      <w:r>
        <w:rPr>
          <w:rFonts w:ascii="Arial" w:hAnsi="Arial" w:cs="Arial"/>
          <w:spacing w:val="3"/>
          <w:sz w:val="20"/>
          <w:szCs w:val="20"/>
        </w:rPr>
        <w:t>c</w:t>
      </w:r>
      <w:r>
        <w:rPr>
          <w:rFonts w:ascii="Arial" w:hAnsi="Arial" w:cs="Arial"/>
          <w:sz w:val="20"/>
          <w:szCs w:val="20"/>
        </w:rPr>
        <w:t>a</w:t>
      </w:r>
      <w:r>
        <w:rPr>
          <w:rFonts w:ascii="Arial" w:hAnsi="Arial" w:cs="Arial"/>
          <w:spacing w:val="-1"/>
          <w:sz w:val="20"/>
          <w:szCs w:val="20"/>
        </w:rPr>
        <w:t>t</w:t>
      </w:r>
      <w:r>
        <w:rPr>
          <w:rFonts w:ascii="Arial" w:hAnsi="Arial" w:cs="Arial"/>
          <w:sz w:val="20"/>
          <w:szCs w:val="20"/>
        </w:rPr>
        <w:t>if</w:t>
      </w:r>
      <w:r>
        <w:rPr>
          <w:rFonts w:ascii="Arial" w:hAnsi="Arial" w:cs="Arial"/>
          <w:spacing w:val="-7"/>
          <w:sz w:val="20"/>
          <w:szCs w:val="20"/>
        </w:rPr>
        <w:t xml:space="preserve"> </w:t>
      </w:r>
      <w:r>
        <w:rPr>
          <w:rFonts w:ascii="Arial" w:hAnsi="Arial" w:cs="Arial"/>
          <w:sz w:val="20"/>
          <w:szCs w:val="20"/>
        </w:rPr>
        <w:t>au</w:t>
      </w:r>
      <w:r>
        <w:rPr>
          <w:rFonts w:ascii="Arial" w:hAnsi="Arial" w:cs="Arial"/>
          <w:spacing w:val="-1"/>
          <w:sz w:val="20"/>
          <w:szCs w:val="20"/>
        </w:rPr>
        <w:t xml:space="preserve"> s</w:t>
      </w:r>
      <w:r>
        <w:rPr>
          <w:rFonts w:ascii="Arial" w:hAnsi="Arial" w:cs="Arial"/>
          <w:spacing w:val="1"/>
          <w:sz w:val="20"/>
          <w:szCs w:val="20"/>
        </w:rPr>
        <w:t>eu</w:t>
      </w:r>
      <w:r>
        <w:rPr>
          <w:rFonts w:ascii="Arial" w:hAnsi="Arial" w:cs="Arial"/>
          <w:sz w:val="20"/>
          <w:szCs w:val="20"/>
        </w:rPr>
        <w:t>il</w:t>
      </w:r>
      <w:r>
        <w:rPr>
          <w:rFonts w:ascii="Arial" w:hAnsi="Arial" w:cs="Arial"/>
          <w:spacing w:val="-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5%</w:t>
      </w:r>
    </w:p>
    <w:p w14:paraId="0D4CDFFB" w14:textId="77777777" w:rsidR="008862C7" w:rsidRDefault="008862C7" w:rsidP="008862C7">
      <w:pPr>
        <w:widowControl w:val="0"/>
        <w:autoSpaceDE w:val="0"/>
        <w:autoSpaceDN w:val="0"/>
        <w:adjustRightInd w:val="0"/>
        <w:spacing w:after="0" w:line="200" w:lineRule="exact"/>
        <w:rPr>
          <w:rFonts w:ascii="Century" w:hAnsi="Century" w:cs="Century"/>
          <w:sz w:val="20"/>
          <w:szCs w:val="20"/>
        </w:rPr>
      </w:pPr>
    </w:p>
    <w:p w14:paraId="59395F59" w14:textId="77777777" w:rsidR="008862C7" w:rsidRDefault="008862C7" w:rsidP="008862C7">
      <w:pPr>
        <w:widowControl w:val="0"/>
        <w:autoSpaceDE w:val="0"/>
        <w:autoSpaceDN w:val="0"/>
        <w:adjustRightInd w:val="0"/>
        <w:spacing w:before="120" w:after="0" w:line="355" w:lineRule="auto"/>
        <w:ind w:right="85"/>
        <w:jc w:val="both"/>
        <w:rPr>
          <w:rFonts w:ascii="Arial" w:hAnsi="Arial" w:cs="Arial"/>
          <w:sz w:val="24"/>
          <w:szCs w:val="24"/>
        </w:rPr>
      </w:pPr>
      <w:r>
        <w:rPr>
          <w:rFonts w:ascii="Arial" w:hAnsi="Arial" w:cs="Arial"/>
          <w:spacing w:val="1"/>
          <w:sz w:val="24"/>
          <w:szCs w:val="24"/>
        </w:rPr>
        <w:t>Le seuil de significativité des résultats est de 59%, ainsi l’équation explique à 59% la variabilité de la compétitivité par rapport aux variables exogènes du modèle, le restant peut être attribué à des termes d’erreurs. T</w:t>
      </w:r>
      <w:r>
        <w:rPr>
          <w:rFonts w:ascii="Arial" w:hAnsi="Arial" w:cs="Arial"/>
          <w:sz w:val="24"/>
          <w:szCs w:val="24"/>
        </w:rPr>
        <w:t>ous</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oe</w:t>
      </w:r>
      <w:r>
        <w:rPr>
          <w:rFonts w:ascii="Arial" w:hAnsi="Arial" w:cs="Arial"/>
          <w:spacing w:val="-1"/>
          <w:sz w:val="24"/>
          <w:szCs w:val="24"/>
        </w:rPr>
        <w:t>ff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ents</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més ont</w:t>
      </w:r>
      <w:r>
        <w:rPr>
          <w:rFonts w:ascii="Arial" w:hAnsi="Arial" w:cs="Arial"/>
          <w:spacing w:val="4"/>
          <w:sz w:val="24"/>
          <w:szCs w:val="24"/>
        </w:rPr>
        <w:t xml:space="preserve"> donc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nes</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tten</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s</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s</w:t>
      </w:r>
      <w:r>
        <w:rPr>
          <w:rFonts w:ascii="Arial" w:hAnsi="Arial" w:cs="Arial"/>
          <w:spacing w:val="1"/>
          <w:sz w:val="24"/>
          <w:szCs w:val="24"/>
        </w:rPr>
        <w:t>y</w:t>
      </w:r>
      <w:r>
        <w:rPr>
          <w:rFonts w:ascii="Arial" w:hAnsi="Arial" w:cs="Arial"/>
          <w:sz w:val="24"/>
          <w:szCs w:val="24"/>
        </w:rPr>
        <w:t>nthét</w:t>
      </w:r>
      <w:r>
        <w:rPr>
          <w:rFonts w:ascii="Arial" w:hAnsi="Arial" w:cs="Arial"/>
          <w:spacing w:val="1"/>
          <w:sz w:val="24"/>
          <w:szCs w:val="24"/>
        </w:rPr>
        <w:t>iq</w:t>
      </w:r>
      <w:r>
        <w:rPr>
          <w:rFonts w:ascii="Arial" w:hAnsi="Arial" w:cs="Arial"/>
          <w:sz w:val="24"/>
          <w:szCs w:val="24"/>
        </w:rPr>
        <w:t>ue</w:t>
      </w:r>
      <w:r>
        <w:rPr>
          <w:rFonts w:ascii="Arial" w:hAnsi="Arial" w:cs="Arial"/>
          <w:spacing w:val="-1"/>
          <w:sz w:val="24"/>
          <w:szCs w:val="24"/>
        </w:rPr>
        <w:t>s</w:t>
      </w:r>
      <w:r>
        <w:rPr>
          <w:rFonts w:ascii="Arial" w:hAnsi="Arial" w:cs="Arial"/>
          <w:sz w:val="24"/>
          <w:szCs w:val="24"/>
        </w:rPr>
        <w:t>,</w:t>
      </w:r>
      <w:r>
        <w:rPr>
          <w:rFonts w:ascii="Arial" w:hAnsi="Arial" w:cs="Arial"/>
          <w:spacing w:val="48"/>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53"/>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pacing w:val="-2"/>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w:t>
      </w:r>
      <w:r>
        <w:rPr>
          <w:rFonts w:ascii="Arial" w:hAnsi="Arial" w:cs="Arial"/>
          <w:spacing w:val="49"/>
          <w:sz w:val="24"/>
          <w:szCs w:val="24"/>
        </w:rPr>
        <w:t xml:space="preserve"> </w:t>
      </w:r>
      <w:r>
        <w:rPr>
          <w:rFonts w:ascii="Arial" w:hAnsi="Arial" w:cs="Arial"/>
          <w:sz w:val="24"/>
          <w:szCs w:val="24"/>
        </w:rPr>
        <w:t>et</w:t>
      </w:r>
      <w:r>
        <w:rPr>
          <w:rFonts w:ascii="Arial" w:hAnsi="Arial" w:cs="Arial"/>
          <w:spacing w:val="51"/>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51"/>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s</w:t>
      </w:r>
      <w:r>
        <w:rPr>
          <w:rFonts w:ascii="Arial" w:hAnsi="Arial" w:cs="Arial"/>
          <w:spacing w:val="-2"/>
          <w:sz w:val="24"/>
          <w:szCs w:val="24"/>
        </w:rPr>
        <w:t>t</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ements</w:t>
      </w:r>
      <w:r>
        <w:rPr>
          <w:rFonts w:ascii="Arial" w:hAnsi="Arial" w:cs="Arial"/>
          <w:spacing w:val="4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ts</w:t>
      </w:r>
      <w:r>
        <w:rPr>
          <w:rFonts w:ascii="Arial" w:hAnsi="Arial" w:cs="Arial"/>
          <w:spacing w:val="49"/>
          <w:sz w:val="24"/>
          <w:szCs w:val="24"/>
        </w:rPr>
        <w:t xml:space="preserve"> </w:t>
      </w:r>
      <w:r>
        <w:rPr>
          <w:rFonts w:ascii="Arial" w:hAnsi="Arial" w:cs="Arial"/>
          <w:sz w:val="24"/>
          <w:szCs w:val="24"/>
        </w:rPr>
        <w:t>ét</w:t>
      </w:r>
      <w:r>
        <w:rPr>
          <w:rFonts w:ascii="Arial" w:hAnsi="Arial" w:cs="Arial"/>
          <w:spacing w:val="-1"/>
          <w:sz w:val="24"/>
          <w:szCs w:val="24"/>
        </w:rPr>
        <w:t>r</w:t>
      </w:r>
      <w:r>
        <w:rPr>
          <w:rFonts w:ascii="Arial" w:hAnsi="Arial" w:cs="Arial"/>
          <w:spacing w:val="1"/>
          <w:sz w:val="24"/>
          <w:szCs w:val="24"/>
        </w:rPr>
        <w:t>a</w:t>
      </w:r>
      <w:r>
        <w:rPr>
          <w:rFonts w:ascii="Arial" w:hAnsi="Arial" w:cs="Arial"/>
          <w:spacing w:val="2"/>
          <w:sz w:val="24"/>
          <w:szCs w:val="24"/>
        </w:rPr>
        <w:t>n</w:t>
      </w:r>
      <w:r>
        <w:rPr>
          <w:rFonts w:ascii="Arial" w:hAnsi="Arial" w:cs="Arial"/>
          <w:spacing w:val="1"/>
          <w:sz w:val="24"/>
          <w:szCs w:val="24"/>
        </w:rPr>
        <w:t>g</w:t>
      </w:r>
      <w:r>
        <w:rPr>
          <w:rFonts w:ascii="Arial" w:hAnsi="Arial" w:cs="Arial"/>
          <w:sz w:val="24"/>
          <w:szCs w:val="24"/>
        </w:rPr>
        <w:t>e</w:t>
      </w:r>
      <w:r>
        <w:rPr>
          <w:rFonts w:ascii="Arial" w:hAnsi="Arial" w:cs="Arial"/>
          <w:spacing w:val="-1"/>
          <w:sz w:val="24"/>
          <w:szCs w:val="24"/>
        </w:rPr>
        <w:t>r</w:t>
      </w:r>
      <w:r>
        <w:rPr>
          <w:rFonts w:ascii="Arial" w:hAnsi="Arial" w:cs="Arial"/>
          <w:sz w:val="24"/>
          <w:szCs w:val="24"/>
        </w:rPr>
        <w:t>s</w:t>
      </w:r>
      <w:r>
        <w:rPr>
          <w:rFonts w:ascii="Arial" w:hAnsi="Arial" w:cs="Arial"/>
          <w:spacing w:val="47"/>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1"/>
          <w:sz w:val="24"/>
          <w:szCs w:val="24"/>
        </w:rPr>
        <w:t>liq</w:t>
      </w:r>
      <w:r>
        <w:rPr>
          <w:rFonts w:ascii="Arial" w:hAnsi="Arial" w:cs="Arial"/>
          <w:sz w:val="24"/>
          <w:szCs w:val="24"/>
        </w:rPr>
        <w:t xml:space="preserve">uent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19"/>
          <w:sz w:val="24"/>
          <w:szCs w:val="24"/>
        </w:rPr>
        <w:t xml:space="preserve"> </w:t>
      </w:r>
      <w:r>
        <w:rPr>
          <w:rFonts w:ascii="Arial" w:hAnsi="Arial" w:cs="Arial"/>
          <w:spacing w:val="1"/>
          <w:sz w:val="24"/>
          <w:szCs w:val="24"/>
        </w:rPr>
        <w:t>l</w:t>
      </w:r>
      <w:r>
        <w:rPr>
          <w:rFonts w:ascii="Arial" w:hAnsi="Arial" w:cs="Arial"/>
          <w:sz w:val="24"/>
          <w:szCs w:val="24"/>
        </w:rPr>
        <w:t>’accroissement des parts de marché.</w:t>
      </w:r>
      <w:r>
        <w:rPr>
          <w:rFonts w:ascii="Arial" w:hAnsi="Arial" w:cs="Arial"/>
          <w:spacing w:val="14"/>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1"/>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18"/>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18"/>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21"/>
          <w:sz w:val="24"/>
          <w:szCs w:val="24"/>
        </w:rPr>
        <w:t xml:space="preserve"> </w:t>
      </w:r>
      <w:r>
        <w:rPr>
          <w:rFonts w:ascii="Arial" w:hAnsi="Arial" w:cs="Arial"/>
          <w:spacing w:val="-1"/>
          <w:sz w:val="24"/>
          <w:szCs w:val="24"/>
        </w:rPr>
        <w:t>c</w:t>
      </w:r>
      <w:r>
        <w:rPr>
          <w:rFonts w:ascii="Arial" w:hAnsi="Arial" w:cs="Arial"/>
          <w:sz w:val="24"/>
          <w:szCs w:val="24"/>
        </w:rPr>
        <w:t>oton, la qualité des fibres,</w:t>
      </w:r>
      <w:r>
        <w:rPr>
          <w:rFonts w:ascii="Arial" w:hAnsi="Arial" w:cs="Arial"/>
          <w:spacing w:val="20"/>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w:t>
      </w:r>
      <w:r>
        <w:rPr>
          <w:rFonts w:ascii="Arial" w:hAnsi="Arial" w:cs="Arial"/>
          <w:spacing w:val="-2"/>
          <w:sz w:val="24"/>
          <w:szCs w:val="24"/>
        </w:rPr>
        <w:t>t</w:t>
      </w:r>
      <w:r>
        <w:rPr>
          <w:rFonts w:ascii="Arial" w:hAnsi="Arial" w:cs="Arial"/>
          <w:spacing w:val="1"/>
          <w:sz w:val="24"/>
          <w:szCs w:val="24"/>
        </w:rPr>
        <w:t>ag</w:t>
      </w:r>
      <w:r>
        <w:rPr>
          <w:rFonts w:ascii="Arial" w:hAnsi="Arial" w:cs="Arial"/>
          <w:sz w:val="24"/>
          <w:szCs w:val="24"/>
        </w:rPr>
        <w:t>e</w:t>
      </w:r>
      <w:r>
        <w:rPr>
          <w:rFonts w:ascii="Arial" w:hAnsi="Arial" w:cs="Arial"/>
          <w:spacing w:val="13"/>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22"/>
          <w:sz w:val="24"/>
          <w:szCs w:val="24"/>
        </w:rPr>
        <w:t xml:space="preserve">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3"/>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9"/>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20"/>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1"/>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d</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e</w:t>
      </w:r>
      <w:r>
        <w:rPr>
          <w:rFonts w:ascii="Arial" w:hAnsi="Arial" w:cs="Arial"/>
          <w:spacing w:val="16"/>
          <w:sz w:val="24"/>
          <w:szCs w:val="24"/>
        </w:rPr>
        <w:t xml:space="preserve"> </w:t>
      </w:r>
      <w:r>
        <w:rPr>
          <w:rFonts w:ascii="Arial" w:hAnsi="Arial" w:cs="Arial"/>
          <w:spacing w:val="-1"/>
          <w:sz w:val="24"/>
          <w:szCs w:val="24"/>
        </w:rPr>
        <w:t>r</w:t>
      </w:r>
      <w:r>
        <w:rPr>
          <w:rFonts w:ascii="Arial" w:hAnsi="Arial" w:cs="Arial"/>
          <w:sz w:val="24"/>
          <w:szCs w:val="24"/>
        </w:rPr>
        <w:t>éel</w:t>
      </w:r>
      <w:r>
        <w:rPr>
          <w:rFonts w:ascii="Arial" w:hAnsi="Arial" w:cs="Arial"/>
          <w:spacing w:val="19"/>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8"/>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 s</w:t>
      </w:r>
      <w:r>
        <w:rPr>
          <w:rFonts w:ascii="Arial" w:hAnsi="Arial" w:cs="Arial"/>
          <w:sz w:val="24"/>
          <w:szCs w:val="24"/>
        </w:rPr>
        <w:t>ont</w:t>
      </w:r>
      <w:r>
        <w:rPr>
          <w:rFonts w:ascii="Arial" w:hAnsi="Arial" w:cs="Arial"/>
          <w:spacing w:val="18"/>
          <w:sz w:val="24"/>
          <w:szCs w:val="24"/>
        </w:rPr>
        <w:t xml:space="preserve"> </w:t>
      </w:r>
      <w:r>
        <w:rPr>
          <w:rFonts w:ascii="Arial" w:hAnsi="Arial" w:cs="Arial"/>
          <w:sz w:val="24"/>
          <w:szCs w:val="24"/>
        </w:rPr>
        <w:t>t</w:t>
      </w:r>
      <w:r>
        <w:rPr>
          <w:rFonts w:ascii="Arial" w:hAnsi="Arial" w:cs="Arial"/>
          <w:spacing w:val="-1"/>
          <w:sz w:val="24"/>
          <w:szCs w:val="24"/>
        </w:rPr>
        <w:t>r</w:t>
      </w:r>
      <w:r>
        <w:rPr>
          <w:rFonts w:ascii="Arial" w:hAnsi="Arial" w:cs="Arial"/>
          <w:sz w:val="24"/>
          <w:szCs w:val="24"/>
        </w:rPr>
        <w:t>ès</w:t>
      </w:r>
      <w:r>
        <w:rPr>
          <w:rFonts w:ascii="Arial" w:hAnsi="Arial" w:cs="Arial"/>
          <w:spacing w:val="17"/>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f</w:t>
      </w:r>
      <w:r>
        <w:rPr>
          <w:rFonts w:ascii="Arial" w:hAnsi="Arial" w:cs="Arial"/>
          <w:sz w:val="24"/>
          <w:szCs w:val="24"/>
        </w:rPr>
        <w:t>s</w:t>
      </w:r>
      <w:r>
        <w:rPr>
          <w:rFonts w:ascii="Arial" w:hAnsi="Arial" w:cs="Arial"/>
          <w:spacing w:val="14"/>
          <w:sz w:val="24"/>
          <w:szCs w:val="24"/>
        </w:rPr>
        <w:t xml:space="preserve"> </w:t>
      </w:r>
      <w:r>
        <w:rPr>
          <w:rFonts w:ascii="Arial" w:hAnsi="Arial" w:cs="Arial"/>
          <w:spacing w:val="-1"/>
          <w:sz w:val="24"/>
          <w:szCs w:val="24"/>
        </w:rPr>
        <w:t>(</w:t>
      </w:r>
      <w:r>
        <w:rPr>
          <w:rFonts w:ascii="Arial" w:hAnsi="Arial" w:cs="Arial"/>
          <w:spacing w:val="1"/>
          <w:sz w:val="24"/>
          <w:szCs w:val="24"/>
        </w:rPr>
        <w:t>1</w:t>
      </w:r>
      <w:r>
        <w:rPr>
          <w:rFonts w:ascii="Arial" w:hAnsi="Arial" w:cs="Arial"/>
          <w:spacing w:val="-1"/>
          <w:sz w:val="24"/>
          <w:szCs w:val="24"/>
        </w:rPr>
        <w:t>%</w:t>
      </w:r>
      <w:r>
        <w:rPr>
          <w:rFonts w:ascii="Arial" w:hAnsi="Arial" w:cs="Arial"/>
          <w:sz w:val="24"/>
          <w:szCs w:val="24"/>
        </w:rPr>
        <w:t>)</w:t>
      </w:r>
      <w:r>
        <w:rPr>
          <w:rFonts w:ascii="Arial" w:hAnsi="Arial" w:cs="Arial"/>
          <w:spacing w:val="14"/>
          <w:sz w:val="24"/>
          <w:szCs w:val="24"/>
        </w:rPr>
        <w:t xml:space="preserve"> </w:t>
      </w:r>
      <w:r>
        <w:rPr>
          <w:rFonts w:ascii="Arial" w:hAnsi="Arial" w:cs="Arial"/>
          <w:sz w:val="24"/>
          <w:szCs w:val="24"/>
        </w:rPr>
        <w:t>et</w:t>
      </w:r>
      <w:r>
        <w:rPr>
          <w:rFonts w:ascii="Arial" w:hAnsi="Arial" w:cs="Arial"/>
          <w:spacing w:val="18"/>
          <w:sz w:val="24"/>
          <w:szCs w:val="24"/>
        </w:rPr>
        <w:t xml:space="preserve"> </w:t>
      </w:r>
      <w:r>
        <w:rPr>
          <w:rFonts w:ascii="Arial" w:hAnsi="Arial" w:cs="Arial"/>
          <w:spacing w:val="1"/>
          <w:sz w:val="24"/>
          <w:szCs w:val="24"/>
        </w:rPr>
        <w:t>a</w:t>
      </w:r>
      <w:r>
        <w:rPr>
          <w:rFonts w:ascii="Arial" w:hAnsi="Arial" w:cs="Arial"/>
          <w:spacing w:val="-1"/>
          <w:sz w:val="24"/>
          <w:szCs w:val="24"/>
        </w:rPr>
        <w:t>ff</w:t>
      </w:r>
      <w:r>
        <w:rPr>
          <w:rFonts w:ascii="Arial" w:hAnsi="Arial" w:cs="Arial"/>
          <w:sz w:val="24"/>
          <w:szCs w:val="24"/>
        </w:rPr>
        <w:t>e</w:t>
      </w:r>
      <w:r>
        <w:rPr>
          <w:rFonts w:ascii="Arial" w:hAnsi="Arial" w:cs="Arial"/>
          <w:spacing w:val="-1"/>
          <w:sz w:val="24"/>
          <w:szCs w:val="24"/>
        </w:rPr>
        <w:t>c</w:t>
      </w:r>
      <w:r>
        <w:rPr>
          <w:rFonts w:ascii="Arial" w:hAnsi="Arial" w:cs="Arial"/>
          <w:sz w:val="24"/>
          <w:szCs w:val="24"/>
        </w:rPr>
        <w:t>tent</w:t>
      </w:r>
      <w:r>
        <w:rPr>
          <w:rFonts w:ascii="Arial" w:hAnsi="Arial" w:cs="Arial"/>
          <w:spacing w:val="13"/>
          <w:sz w:val="24"/>
          <w:szCs w:val="24"/>
        </w:rPr>
        <w:t xml:space="preserve"> </w:t>
      </w:r>
      <w:r>
        <w:rPr>
          <w:rFonts w:ascii="Arial" w:hAnsi="Arial" w:cs="Arial"/>
          <w:spacing w:val="1"/>
          <w:sz w:val="24"/>
          <w:szCs w:val="24"/>
        </w:rPr>
        <w:t xml:space="preserve">la part de marché de chaque </w:t>
      </w:r>
      <w:r>
        <w:rPr>
          <w:rFonts w:ascii="Arial" w:hAnsi="Arial" w:cs="Arial"/>
          <w:spacing w:val="-1"/>
          <w:sz w:val="24"/>
          <w:szCs w:val="24"/>
        </w:rPr>
        <w:t>p</w:t>
      </w:r>
      <w:r>
        <w:rPr>
          <w:rFonts w:ascii="Arial" w:hAnsi="Arial" w:cs="Arial"/>
          <w:spacing w:val="1"/>
          <w:sz w:val="24"/>
          <w:szCs w:val="24"/>
        </w:rPr>
        <w:t>ay</w:t>
      </w:r>
      <w:r>
        <w:rPr>
          <w:rFonts w:ascii="Arial" w:hAnsi="Arial" w:cs="Arial"/>
          <w:spacing w:val="-1"/>
          <w:sz w:val="24"/>
          <w:szCs w:val="24"/>
        </w:rPr>
        <w:t>s</w:t>
      </w:r>
      <w:r>
        <w:rPr>
          <w:rFonts w:ascii="Arial" w:hAnsi="Arial" w:cs="Arial"/>
          <w:sz w:val="24"/>
          <w:szCs w:val="24"/>
        </w:rPr>
        <w:t>.</w:t>
      </w:r>
      <w:r>
        <w:rPr>
          <w:rFonts w:ascii="Arial" w:hAnsi="Arial" w:cs="Arial"/>
          <w:spacing w:val="5"/>
          <w:sz w:val="24"/>
          <w:szCs w:val="24"/>
        </w:rPr>
        <w:t xml:space="preserve"> </w:t>
      </w:r>
      <w:r>
        <w:rPr>
          <w:rFonts w:ascii="Arial" w:hAnsi="Arial" w:cs="Arial"/>
          <w:sz w:val="24"/>
          <w:szCs w:val="24"/>
        </w:rPr>
        <w:t>A</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w:t>
      </w:r>
      <w:r>
        <w:rPr>
          <w:rFonts w:ascii="Arial" w:hAnsi="Arial" w:cs="Arial"/>
          <w:spacing w:val="8"/>
          <w:sz w:val="24"/>
          <w:szCs w:val="24"/>
        </w:rPr>
        <w:t xml:space="preserve"> </w:t>
      </w:r>
      <w:r>
        <w:rPr>
          <w:rFonts w:ascii="Arial" w:hAnsi="Arial" w:cs="Arial"/>
          <w:sz w:val="24"/>
          <w:szCs w:val="24"/>
        </w:rPr>
        <w:t>une</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pr</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u</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lla</w:t>
      </w:r>
      <w:r>
        <w:rPr>
          <w:rFonts w:ascii="Arial" w:hAnsi="Arial" w:cs="Arial"/>
          <w:sz w:val="24"/>
          <w:szCs w:val="24"/>
        </w:rPr>
        <w:t xml:space="preserve">r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1</w:t>
      </w:r>
      <w:r>
        <w:rPr>
          <w:rFonts w:ascii="Arial" w:hAnsi="Arial" w:cs="Arial"/>
          <w:spacing w:val="-1"/>
          <w:sz w:val="24"/>
          <w:szCs w:val="24"/>
        </w:rPr>
        <w:t>0</w:t>
      </w:r>
      <w:r>
        <w:rPr>
          <w:rFonts w:ascii="Arial" w:hAnsi="Arial" w:cs="Arial"/>
          <w:sz w:val="24"/>
          <w:szCs w:val="24"/>
        </w:rPr>
        <w:t>% ent</w:t>
      </w:r>
      <w:r>
        <w:rPr>
          <w:rFonts w:ascii="Arial" w:hAnsi="Arial" w:cs="Arial"/>
          <w:spacing w:val="-1"/>
          <w:sz w:val="24"/>
          <w:szCs w:val="24"/>
        </w:rPr>
        <w:t>r</w:t>
      </w:r>
      <w:r>
        <w:rPr>
          <w:rFonts w:ascii="Arial" w:hAnsi="Arial" w:cs="Arial"/>
          <w:spacing w:val="1"/>
          <w:sz w:val="24"/>
          <w:szCs w:val="24"/>
        </w:rPr>
        <w:t>ai</w:t>
      </w:r>
      <w:r>
        <w:rPr>
          <w:rFonts w:ascii="Arial" w:hAnsi="Arial" w:cs="Arial"/>
          <w:sz w:val="24"/>
          <w:szCs w:val="24"/>
        </w:rPr>
        <w:t xml:space="preserve">nerait une </w:t>
      </w:r>
      <w:r>
        <w:rPr>
          <w:rFonts w:ascii="Arial" w:hAnsi="Arial" w:cs="Arial"/>
          <w:spacing w:val="-1"/>
          <w:sz w:val="24"/>
          <w:szCs w:val="24"/>
        </w:rPr>
        <w:t>d</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z w:val="24"/>
          <w:szCs w:val="24"/>
        </w:rPr>
        <w:t>nut</w:t>
      </w:r>
      <w:r>
        <w:rPr>
          <w:rFonts w:ascii="Arial" w:hAnsi="Arial" w:cs="Arial"/>
          <w:spacing w:val="1"/>
          <w:sz w:val="24"/>
          <w:szCs w:val="24"/>
        </w:rPr>
        <w:t>i</w:t>
      </w:r>
      <w:r>
        <w:rPr>
          <w:rFonts w:ascii="Arial" w:hAnsi="Arial" w:cs="Arial"/>
          <w:sz w:val="24"/>
          <w:szCs w:val="24"/>
        </w:rPr>
        <w:t>on</w:t>
      </w:r>
      <w:r>
        <w:rPr>
          <w:rFonts w:ascii="Arial" w:hAnsi="Arial" w:cs="Arial"/>
          <w:spacing w:val="3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4"/>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3"/>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27"/>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4"/>
          <w:sz w:val="24"/>
          <w:szCs w:val="24"/>
        </w:rPr>
        <w:t xml:space="preserve"> </w:t>
      </w:r>
      <w:r>
        <w:rPr>
          <w:rFonts w:ascii="Arial" w:hAnsi="Arial" w:cs="Arial"/>
          <w:spacing w:val="-1"/>
          <w:sz w:val="24"/>
          <w:szCs w:val="24"/>
        </w:rPr>
        <w:t>8</w:t>
      </w:r>
      <w:r>
        <w:rPr>
          <w:rFonts w:ascii="Arial" w:hAnsi="Arial" w:cs="Arial"/>
          <w:spacing w:val="1"/>
          <w:sz w:val="24"/>
          <w:szCs w:val="24"/>
        </w:rPr>
        <w:t>,41</w:t>
      </w:r>
      <w:r>
        <w:rPr>
          <w:rFonts w:ascii="Arial" w:hAnsi="Arial" w:cs="Arial"/>
          <w:sz w:val="24"/>
          <w:szCs w:val="24"/>
        </w:rPr>
        <w:t>%</w:t>
      </w:r>
      <w:r>
        <w:rPr>
          <w:rFonts w:ascii="Arial" w:hAnsi="Arial" w:cs="Arial"/>
          <w:spacing w:val="30"/>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32"/>
          <w:sz w:val="24"/>
          <w:szCs w:val="24"/>
        </w:rPr>
        <w:t xml:space="preserve"> </w:t>
      </w:r>
      <w:r>
        <w:rPr>
          <w:rFonts w:ascii="Arial" w:hAnsi="Arial" w:cs="Arial"/>
          <w:sz w:val="24"/>
          <w:szCs w:val="24"/>
        </w:rPr>
        <w:t>une</w:t>
      </w:r>
      <w:r>
        <w:rPr>
          <w:rFonts w:ascii="Arial" w:hAnsi="Arial" w:cs="Arial"/>
          <w:spacing w:val="35"/>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g</w:t>
      </w:r>
      <w:r>
        <w:rPr>
          <w:rFonts w:ascii="Arial" w:hAnsi="Arial" w:cs="Arial"/>
          <w:sz w:val="24"/>
          <w:szCs w:val="24"/>
        </w:rPr>
        <w:t>ment</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6"/>
          <w:sz w:val="24"/>
          <w:szCs w:val="24"/>
        </w:rPr>
        <w:t xml:space="preserve">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s</w:t>
      </w:r>
      <w:r>
        <w:rPr>
          <w:rFonts w:ascii="Arial" w:hAnsi="Arial" w:cs="Arial"/>
          <w:spacing w:val="34"/>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w:t>
      </w:r>
      <w:r>
        <w:rPr>
          <w:rFonts w:ascii="Arial" w:hAnsi="Arial" w:cs="Arial"/>
          <w:spacing w:val="31"/>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10</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pacing w:val="3"/>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2,16</w:t>
      </w:r>
      <w:r>
        <w:rPr>
          <w:rFonts w:ascii="Arial" w:hAnsi="Arial" w:cs="Arial"/>
          <w:spacing w:val="-1"/>
          <w:sz w:val="24"/>
          <w:szCs w:val="24"/>
        </w:rPr>
        <w:t>%</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8"/>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s</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bl</w:t>
      </w:r>
      <w:r>
        <w:rPr>
          <w:rFonts w:ascii="Arial" w:hAnsi="Arial" w:cs="Arial"/>
          <w:sz w:val="24"/>
          <w:szCs w:val="24"/>
        </w:rPr>
        <w:t xml:space="preserve">ème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la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ivi</w:t>
      </w:r>
      <w:r>
        <w:rPr>
          <w:rFonts w:ascii="Arial" w:hAnsi="Arial" w:cs="Arial"/>
          <w:sz w:val="24"/>
          <w:szCs w:val="24"/>
        </w:rPr>
        <w:t>té</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la Centrafrique sur le marché mondial</w:t>
      </w:r>
      <w:r>
        <w:rPr>
          <w:rFonts w:ascii="Arial" w:hAnsi="Arial" w:cs="Arial"/>
          <w:spacing w:val="66"/>
          <w:sz w:val="24"/>
          <w:szCs w:val="24"/>
        </w:rPr>
        <w:t xml:space="preserve"> </w:t>
      </w:r>
      <w:r>
        <w:rPr>
          <w:rFonts w:ascii="Arial" w:hAnsi="Arial" w:cs="Arial"/>
          <w:spacing w:val="-1"/>
          <w:sz w:val="24"/>
          <w:szCs w:val="24"/>
        </w:rPr>
        <w:t>du</w:t>
      </w:r>
      <w:r>
        <w:rPr>
          <w:rFonts w:ascii="Arial" w:hAnsi="Arial" w:cs="Arial"/>
          <w:sz w:val="24"/>
          <w:szCs w:val="24"/>
        </w:rPr>
        <w:t xml:space="preserve"> </w:t>
      </w:r>
      <w:r>
        <w:rPr>
          <w:rFonts w:ascii="Arial" w:hAnsi="Arial" w:cs="Arial"/>
          <w:spacing w:val="-1"/>
          <w:sz w:val="24"/>
          <w:szCs w:val="24"/>
        </w:rPr>
        <w:t>c</w:t>
      </w:r>
      <w:r>
        <w:rPr>
          <w:rFonts w:ascii="Arial" w:hAnsi="Arial" w:cs="Arial"/>
          <w:sz w:val="24"/>
          <w:szCs w:val="24"/>
        </w:rPr>
        <w:t xml:space="preserve">oton. Ces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l</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ts </w:t>
      </w:r>
      <w:r>
        <w:rPr>
          <w:rFonts w:ascii="Arial" w:hAnsi="Arial" w:cs="Arial"/>
          <w:spacing w:val="-1"/>
          <w:sz w:val="24"/>
          <w:szCs w:val="24"/>
        </w:rPr>
        <w:t>s</w:t>
      </w:r>
      <w:r>
        <w:rPr>
          <w:rFonts w:ascii="Arial" w:hAnsi="Arial" w:cs="Arial"/>
          <w:sz w:val="24"/>
          <w:szCs w:val="24"/>
        </w:rPr>
        <w:t xml:space="preserve">ont </w:t>
      </w:r>
      <w:r>
        <w:rPr>
          <w:rFonts w:ascii="Arial" w:hAnsi="Arial" w:cs="Arial"/>
          <w:spacing w:val="1"/>
          <w:sz w:val="24"/>
          <w:szCs w:val="24"/>
        </w:rPr>
        <w:t>a</w:t>
      </w:r>
      <w:r>
        <w:rPr>
          <w:rFonts w:ascii="Arial" w:hAnsi="Arial" w:cs="Arial"/>
          <w:spacing w:val="-1"/>
          <w:sz w:val="24"/>
          <w:szCs w:val="24"/>
        </w:rPr>
        <w:t>ss</w:t>
      </w:r>
      <w:r>
        <w:rPr>
          <w:rFonts w:ascii="Arial" w:hAnsi="Arial" w:cs="Arial"/>
          <w:sz w:val="24"/>
          <w:szCs w:val="24"/>
        </w:rPr>
        <w:t xml:space="preserve">ez </w:t>
      </w:r>
      <w:r>
        <w:rPr>
          <w:rFonts w:ascii="Arial" w:hAnsi="Arial" w:cs="Arial"/>
          <w:spacing w:val="1"/>
          <w:sz w:val="24"/>
          <w:szCs w:val="24"/>
        </w:rPr>
        <w:t>i</w:t>
      </w:r>
      <w:r>
        <w:rPr>
          <w:rFonts w:ascii="Arial" w:hAnsi="Arial" w:cs="Arial"/>
          <w:sz w:val="24"/>
          <w:szCs w:val="24"/>
        </w:rPr>
        <w:t>nté</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ss</w:t>
      </w:r>
      <w:r>
        <w:rPr>
          <w:rFonts w:ascii="Arial" w:hAnsi="Arial" w:cs="Arial"/>
          <w:spacing w:val="1"/>
          <w:sz w:val="24"/>
          <w:szCs w:val="24"/>
        </w:rPr>
        <w:t>a</w:t>
      </w:r>
      <w:r>
        <w:rPr>
          <w:rFonts w:ascii="Arial" w:hAnsi="Arial" w:cs="Arial"/>
          <w:sz w:val="24"/>
          <w:szCs w:val="24"/>
        </w:rPr>
        <w:t xml:space="preserve">nts et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p</w:t>
      </w:r>
      <w:r>
        <w:rPr>
          <w:rFonts w:ascii="Arial" w:hAnsi="Arial" w:cs="Arial"/>
          <w:sz w:val="24"/>
          <w:szCs w:val="24"/>
        </w:rPr>
        <w:t>on</w:t>
      </w:r>
      <w:r>
        <w:rPr>
          <w:rFonts w:ascii="Arial" w:hAnsi="Arial" w:cs="Arial"/>
          <w:spacing w:val="-1"/>
          <w:sz w:val="24"/>
          <w:szCs w:val="24"/>
        </w:rPr>
        <w:t>d</w:t>
      </w:r>
      <w:r>
        <w:rPr>
          <w:rFonts w:ascii="Arial" w:hAnsi="Arial" w:cs="Arial"/>
          <w:sz w:val="24"/>
          <w:szCs w:val="24"/>
        </w:rPr>
        <w:t>ent</w:t>
      </w:r>
      <w:r>
        <w:rPr>
          <w:rFonts w:ascii="Arial" w:hAnsi="Arial" w:cs="Arial"/>
          <w:spacing w:val="-6"/>
          <w:sz w:val="24"/>
          <w:szCs w:val="24"/>
        </w:rPr>
        <w:t xml:space="preserve"> </w:t>
      </w:r>
      <w:r>
        <w:rPr>
          <w:rFonts w:ascii="Arial" w:hAnsi="Arial" w:cs="Arial"/>
          <w:sz w:val="24"/>
          <w:szCs w:val="24"/>
        </w:rPr>
        <w:t>à</w:t>
      </w:r>
      <w:r>
        <w:rPr>
          <w:rFonts w:ascii="Arial" w:hAnsi="Arial" w:cs="Arial"/>
          <w:spacing w:val="1"/>
          <w:sz w:val="24"/>
          <w:szCs w:val="24"/>
        </w:rPr>
        <w:t xml:space="preserve"> l</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tu</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tue</w:t>
      </w:r>
      <w:r>
        <w:rPr>
          <w:rFonts w:ascii="Arial" w:hAnsi="Arial" w:cs="Arial"/>
          <w:spacing w:val="1"/>
          <w:sz w:val="24"/>
          <w:szCs w:val="24"/>
        </w:rPr>
        <w:t>ll</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 xml:space="preserve">u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pacing w:val="-3"/>
          <w:sz w:val="24"/>
          <w:szCs w:val="24"/>
        </w:rPr>
        <w:t>s</w:t>
      </w:r>
      <w:r>
        <w:rPr>
          <w:rFonts w:ascii="Arial" w:hAnsi="Arial" w:cs="Arial"/>
          <w:sz w:val="24"/>
          <w:szCs w:val="24"/>
        </w:rPr>
        <w:t xml:space="preserve">ur </w:t>
      </w:r>
      <w:r>
        <w:rPr>
          <w:rFonts w:ascii="Arial" w:hAnsi="Arial" w:cs="Arial"/>
          <w:spacing w:val="1"/>
          <w:sz w:val="24"/>
          <w:szCs w:val="24"/>
        </w:rPr>
        <w:t>l</w:t>
      </w:r>
      <w:r>
        <w:rPr>
          <w:rFonts w:ascii="Arial" w:hAnsi="Arial" w:cs="Arial"/>
          <w:sz w:val="24"/>
          <w:szCs w:val="24"/>
        </w:rPr>
        <w:t>e 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4"/>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w:t>
      </w:r>
    </w:p>
    <w:p w14:paraId="090BB7E5" w14:textId="77777777" w:rsidR="008862C7" w:rsidRDefault="008862C7" w:rsidP="008862C7">
      <w:pPr>
        <w:pStyle w:val="Paragraphedeliste"/>
        <w:numPr>
          <w:ilvl w:val="2"/>
          <w:numId w:val="24"/>
        </w:numPr>
        <w:autoSpaceDE w:val="0"/>
        <w:autoSpaceDN w:val="0"/>
        <w:adjustRightInd w:val="0"/>
        <w:spacing w:after="0" w:line="360" w:lineRule="auto"/>
        <w:jc w:val="both"/>
        <w:outlineLvl w:val="4"/>
        <w:rPr>
          <w:rFonts w:ascii="Arial" w:hAnsi="Arial" w:cs="Arial"/>
        </w:rPr>
      </w:pPr>
      <w:bookmarkStart w:id="304" w:name="_Toc395107707"/>
      <w:r>
        <w:rPr>
          <w:rFonts w:ascii="Arial" w:hAnsi="Arial" w:cs="Arial"/>
          <w:b/>
        </w:rPr>
        <w:t>Modèle 2 : Classification des flux d’exportation en termes de performance prix et de performance qualité</w:t>
      </w:r>
      <w:bookmarkEnd w:id="304"/>
    </w:p>
    <w:p w14:paraId="219A8883" w14:textId="77777777" w:rsidR="008862C7" w:rsidRDefault="008862C7" w:rsidP="008862C7">
      <w:pPr>
        <w:autoSpaceDE w:val="0"/>
        <w:autoSpaceDN w:val="0"/>
        <w:adjustRightInd w:val="0"/>
        <w:spacing w:after="0" w:line="360" w:lineRule="auto"/>
        <w:jc w:val="both"/>
        <w:rPr>
          <w:rFonts w:ascii="Arial" w:hAnsi="Arial" w:cs="Arial"/>
          <w:sz w:val="24"/>
        </w:rPr>
      </w:pPr>
      <w:r>
        <w:rPr>
          <w:rFonts w:ascii="Arial" w:hAnsi="Arial" w:cs="Arial"/>
          <w:sz w:val="24"/>
        </w:rPr>
        <w:t>La classification des flux consiste à  considérer d’abord pour chaque pays</w:t>
      </w:r>
      <w:r>
        <w:rPr>
          <w:rFonts w:ascii="Cambria Math" w:hAnsi="Cambria Math" w:cs="Arial"/>
          <w:i/>
          <w:sz w:val="24"/>
        </w:rPr>
        <w:t xml:space="preserve"> </w:t>
      </w:r>
      <w:r>
        <w:rPr>
          <w:rFonts w:ascii="Arial" w:hAnsi="Arial" w:cs="Arial"/>
          <w:i/>
          <w:sz w:val="24"/>
        </w:rPr>
        <w:t>i</w:t>
      </w:r>
      <w:r>
        <w:rPr>
          <w:rFonts w:ascii="Arial" w:hAnsi="Arial" w:cs="Arial"/>
          <w:sz w:val="24"/>
        </w:rPr>
        <w:t xml:space="preserve"> de l’échantillon exportant le coton fibre à comparer les termes de l’échange de ce dernier</w:t>
      </w:r>
      <m:oMath>
        <m:r>
          <w:rPr>
            <w:rFonts w:ascii="Cambria Math" w:hAnsi="Cambria Math" w:cs="Arial"/>
            <w:sz w:val="24"/>
          </w:rPr>
          <m:t>(</m:t>
        </m:r>
        <m:sSub>
          <m:sSubPr>
            <m:ctrlPr>
              <w:rPr>
                <w:rFonts w:ascii="Cambria Math" w:eastAsia="Times New Roman" w:hAnsi="Cambria Math" w:cs="Arial"/>
                <w:i/>
                <w:sz w:val="24"/>
                <w:szCs w:val="24"/>
              </w:rPr>
            </m:ctrlPr>
          </m:sSubPr>
          <m:e>
            <m:r>
              <w:rPr>
                <w:rFonts w:ascii="Cambria Math" w:hAnsi="Cambria Math" w:cs="Arial"/>
                <w:sz w:val="24"/>
              </w:rPr>
              <m:t>TE</m:t>
            </m:r>
          </m:e>
          <m:sub>
            <m:r>
              <w:rPr>
                <w:rFonts w:ascii="Cambria Math" w:hAnsi="Cambria Math" w:cs="Arial"/>
                <w:sz w:val="24"/>
              </w:rPr>
              <m:t>ki</m:t>
            </m:r>
          </m:sub>
        </m:sSub>
      </m:oMath>
      <w:r>
        <w:rPr>
          <w:rFonts w:ascii="Arial" w:hAnsi="Arial" w:cs="Arial"/>
          <w:sz w:val="24"/>
        </w:rPr>
        <w:t>) à la moyenne de ces principaux concurrents</w:t>
      </w:r>
      <m:oMath>
        <m:r>
          <w:rPr>
            <w:rFonts w:ascii="Cambria Math" w:hAnsi="Cambria Math" w:cs="Arial"/>
            <w:sz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hAnsi="Cambria Math" w:cs="Arial"/>
                    <w:sz w:val="24"/>
                  </w:rPr>
                  <m:t>TE</m:t>
                </m:r>
              </m:e>
              <m:sub>
                <m:r>
                  <w:rPr>
                    <w:rFonts w:ascii="Cambria Math" w:hAnsi="Cambria Math" w:cs="Arial"/>
                    <w:sz w:val="24"/>
                  </w:rPr>
                  <m:t>k.</m:t>
                </m:r>
              </m:sub>
            </m:sSub>
          </m:e>
        </m:acc>
      </m:oMath>
      <w:r>
        <w:rPr>
          <w:rFonts w:ascii="Arial" w:hAnsi="Arial" w:cs="Arial"/>
          <w:sz w:val="24"/>
        </w:rPr>
        <w:t xml:space="preserve">). En second lieu l’évaluation et la comparaison de la performance à l’exportation du pays i est jugée en fonction de son avantage commercial, relatif à </w:t>
      </w:r>
      <w:r>
        <w:rPr>
          <w:rFonts w:ascii="Arial" w:hAnsi="Arial" w:cs="Arial"/>
          <w:sz w:val="24"/>
        </w:rPr>
        <w:lastRenderedPageBreak/>
        <w:t>celui de ces principaux concurrents, sur le marché international du coton (K)</w:t>
      </w:r>
      <m:oMath>
        <m:r>
          <w:rPr>
            <w:rFonts w:ascii="Cambria Math" w:hAnsi="Cambria Math" w:cs="Arial"/>
            <w:sz w:val="24"/>
          </w:rPr>
          <m:t xml:space="preserve"> (</m:t>
        </m:r>
        <m:sSub>
          <m:sSubPr>
            <m:ctrlPr>
              <w:rPr>
                <w:rFonts w:ascii="Cambria Math" w:eastAsia="Times New Roman" w:hAnsi="Cambria Math" w:cs="Arial"/>
                <w:i/>
                <w:sz w:val="24"/>
                <w:szCs w:val="24"/>
              </w:rPr>
            </m:ctrlPr>
          </m:sSubPr>
          <m:e>
            <m:r>
              <w:rPr>
                <w:rFonts w:ascii="Cambria Math" w:hAnsi="Cambria Math" w:cs="Arial"/>
                <w:sz w:val="24"/>
              </w:rPr>
              <m:t>PM</m:t>
            </m:r>
          </m:e>
          <m:sub>
            <m:r>
              <w:rPr>
                <w:rFonts w:ascii="Cambria Math" w:hAnsi="Cambria Math" w:cs="Arial"/>
                <w:sz w:val="24"/>
              </w:rPr>
              <m:t>ki</m:t>
            </m:r>
          </m:sub>
        </m:sSub>
      </m:oMath>
      <w:r>
        <w:rPr>
          <w:rFonts w:ascii="Arial" w:hAnsi="Arial" w:cs="Arial"/>
          <w:sz w:val="24"/>
        </w:rPr>
        <w:t>) en rapport avec à son avantage commercial relatif moyen</w:t>
      </w:r>
      <m:oMath>
        <m:r>
          <w:rPr>
            <w:rFonts w:ascii="Cambria Math" w:hAnsi="Cambria Math" w:cs="Arial"/>
            <w:sz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hAnsi="Cambria Math" w:cs="Arial"/>
                    <w:sz w:val="24"/>
                  </w:rPr>
                  <m:t>PM</m:t>
                </m:r>
              </m:e>
              <m:sub>
                <m:r>
                  <w:rPr>
                    <w:rFonts w:ascii="Cambria Math" w:hAnsi="Cambria Math" w:cs="Arial"/>
                    <w:sz w:val="24"/>
                  </w:rPr>
                  <m:t>i.</m:t>
                </m:r>
              </m:sub>
            </m:sSub>
          </m:e>
        </m:acc>
      </m:oMath>
      <w:r>
        <w:rPr>
          <w:rFonts w:ascii="Arial" w:hAnsi="Arial" w:cs="Arial"/>
          <w:sz w:val="24"/>
        </w:rPr>
        <w:t>). Sachant que les déterminants du commerce international impactent la compétitivité d’un produit, la localisation par rapport au marché est un de ses facteurs clés. A cet effet, la classification, est faite en tenant compte de la localisation de ces derniers : Afrique, 20 pays, dont 17 de l’AOC (9 de la zone francs, 8 de la zone hors franc) et 3 de l’Afrique du Nord;  Amérique, 16 pays dont 6 du nord, 7 du sud et 3 du centre ; Europe 5 pays ; Asie 12 pays, dont 5 du sud et 7 de l’est.</w:t>
      </w:r>
    </w:p>
    <w:p w14:paraId="4073C588" w14:textId="77777777" w:rsidR="008862C7" w:rsidRDefault="008862C7" w:rsidP="008862C7">
      <w:pPr>
        <w:autoSpaceDE w:val="0"/>
        <w:autoSpaceDN w:val="0"/>
        <w:adjustRightInd w:val="0"/>
        <w:spacing w:before="120" w:after="0" w:line="360" w:lineRule="auto"/>
        <w:jc w:val="both"/>
        <w:rPr>
          <w:rFonts w:ascii="Arial" w:hAnsi="Arial" w:cs="Arial"/>
          <w:sz w:val="24"/>
        </w:rPr>
      </w:pPr>
      <w:r>
        <w:rPr>
          <w:rFonts w:ascii="Arial" w:hAnsi="Arial" w:cs="Arial"/>
          <w:sz w:val="24"/>
        </w:rPr>
        <w:t>L’analyse de la segmentation des performances commerciales en termes de compétitivité-prix et de compétitivité-qualité du coton repose sur un principe simple. Prenons le couple coton-pays producteur, deux configurations favorables sont possibles : le pays est exportateur net du coton grâce aux prix pratiqués par ce dernier sur le marché ou grâce à la qualité de ces fibres qui peut l’autoriser à jouir de surcôtes.et son rapport qualité/prix reste attractif. Le pays est importateur net de coton fibre, soit par le prix proposé par ces exportateurs qui est trop élevé par rapport à la qualité et au prix du coton proposé par les pays concurrents, soit parce que le pays souffre de problèmes structurels entravant ses possibilités d’accès au marché malgré ses prix compétitifs. De ce raisonnement découlent donc quatre configurations possibles pour les exportations du coton de chaque pays : une bonne compétitivité-prix (P), une bonne compétitivité-qualité (Q), une faible compétitivité-prix et des problèmes structurels. Le tableau qui suit récapitule ces quatre situations.</w:t>
      </w:r>
    </w:p>
    <w:p w14:paraId="346DD83C" w14:textId="77777777" w:rsidR="008862C7" w:rsidRDefault="008862C7" w:rsidP="008862C7">
      <w:pPr>
        <w:autoSpaceDE w:val="0"/>
        <w:autoSpaceDN w:val="0"/>
        <w:adjustRightInd w:val="0"/>
        <w:spacing w:before="120" w:after="120" w:line="360" w:lineRule="auto"/>
        <w:jc w:val="both"/>
        <w:rPr>
          <w:rFonts w:ascii="Arial" w:hAnsi="Arial" w:cs="Arial"/>
          <w:sz w:val="24"/>
        </w:rPr>
      </w:pPr>
      <w:r>
        <w:rPr>
          <w:rFonts w:ascii="Arial" w:hAnsi="Arial" w:cs="Arial"/>
          <w:b/>
          <w:sz w:val="24"/>
        </w:rPr>
        <w:t>Tableau 4.11:</w:t>
      </w:r>
      <w:r>
        <w:rPr>
          <w:rFonts w:ascii="Arial" w:hAnsi="Arial" w:cs="Arial"/>
          <w:sz w:val="24"/>
        </w:rPr>
        <w:t xml:space="preserve"> Modèle de classification des exportations cotonnières par rapport à leur performance-prix et performance qualité.</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4551"/>
        <w:gridCol w:w="3816"/>
      </w:tblGrid>
      <w:tr w:rsidR="008862C7" w14:paraId="4F0EE20A" w14:textId="77777777" w:rsidTr="008862C7">
        <w:tc>
          <w:tcPr>
            <w:tcW w:w="946" w:type="pct"/>
            <w:tcBorders>
              <w:top w:val="single" w:sz="4" w:space="0" w:color="auto"/>
              <w:left w:val="single" w:sz="4" w:space="0" w:color="auto"/>
              <w:bottom w:val="single" w:sz="4" w:space="0" w:color="auto"/>
              <w:right w:val="single" w:sz="4" w:space="0" w:color="auto"/>
            </w:tcBorders>
            <w:vAlign w:val="center"/>
          </w:tcPr>
          <w:p w14:paraId="750D49DD" w14:textId="77777777" w:rsidR="008862C7" w:rsidRDefault="008862C7">
            <w:pPr>
              <w:tabs>
                <w:tab w:val="left" w:pos="708"/>
              </w:tabs>
              <w:spacing w:after="0" w:line="240" w:lineRule="auto"/>
              <w:jc w:val="center"/>
              <w:rPr>
                <w:rFonts w:ascii="Arial" w:eastAsia="Times New Roman" w:hAnsi="Arial" w:cs="Arial"/>
                <w:sz w:val="20"/>
                <w:szCs w:val="24"/>
              </w:rPr>
            </w:pPr>
          </w:p>
        </w:tc>
        <w:tc>
          <w:tcPr>
            <w:tcW w:w="2205" w:type="pct"/>
            <w:tcBorders>
              <w:top w:val="single" w:sz="4" w:space="0" w:color="auto"/>
              <w:left w:val="single" w:sz="4" w:space="0" w:color="auto"/>
              <w:bottom w:val="single" w:sz="4" w:space="0" w:color="auto"/>
              <w:right w:val="single" w:sz="4" w:space="0" w:color="auto"/>
            </w:tcBorders>
            <w:vAlign w:val="center"/>
            <w:hideMark/>
          </w:tcPr>
          <w:p w14:paraId="19D79BD9" w14:textId="77777777" w:rsidR="008862C7" w:rsidRDefault="00EA1CF0">
            <w:pPr>
              <w:tabs>
                <w:tab w:val="left" w:pos="708"/>
              </w:tabs>
              <w:spacing w:after="0" w:line="240" w:lineRule="auto"/>
              <w:jc w:val="center"/>
              <w:rPr>
                <w:rFonts w:ascii="Arial" w:eastAsia="Times New Roman" w:hAnsi="Arial" w:cs="Arial"/>
                <w:b/>
                <w:sz w:val="20"/>
                <w:szCs w:val="24"/>
              </w:rPr>
            </w:pPr>
            <m:oMathPara>
              <m:oMath>
                <m:sSub>
                  <m:sSubPr>
                    <m:ctrlPr>
                      <w:rPr>
                        <w:rFonts w:ascii="Cambria Math" w:eastAsia="Times New Roman" w:hAnsi="Arial" w:cs="Arial"/>
                        <w:b/>
                        <w:i/>
                        <w:szCs w:val="24"/>
                      </w:rPr>
                    </m:ctrlPr>
                  </m:sSubPr>
                  <m:e>
                    <m:r>
                      <m:rPr>
                        <m:sty m:val="bi"/>
                      </m:rPr>
                      <w:rPr>
                        <w:rFonts w:ascii="Cambria Math" w:hAnsi="Cambria Math" w:cs="Arial"/>
                        <w:sz w:val="20"/>
                        <w:szCs w:val="24"/>
                      </w:rPr>
                      <m:t>TE</m:t>
                    </m:r>
                  </m:e>
                  <m:sub>
                    <m:r>
                      <m:rPr>
                        <m:sty m:val="bi"/>
                      </m:rPr>
                      <w:rPr>
                        <w:rFonts w:ascii="Cambria Math" w:hAnsi="Cambria Math" w:cs="Arial"/>
                        <w:sz w:val="20"/>
                        <w:szCs w:val="24"/>
                      </w:rPr>
                      <m:t>ki</m:t>
                    </m:r>
                  </m:sub>
                </m:sSub>
                <m:r>
                  <m:rPr>
                    <m:sty m:val="bi"/>
                  </m:rPr>
                  <w:rPr>
                    <w:rFonts w:ascii="Cambria Math" w:hAnsi="Arial" w:cs="Arial"/>
                    <w:sz w:val="20"/>
                    <w:szCs w:val="24"/>
                  </w:rPr>
                  <m:t>&lt;</m:t>
                </m:r>
                <m:r>
                  <w:rPr>
                    <w:rFonts w:ascii="Cambria Math" w:hAnsi="Arial" w:cs="Arial"/>
                    <w:sz w:val="20"/>
                    <w:szCs w:val="24"/>
                  </w:rPr>
                  <m:t xml:space="preserve"> </m:t>
                </m:r>
                <m:acc>
                  <m:accPr>
                    <m:chr m:val="̅"/>
                    <m:ctrlPr>
                      <w:rPr>
                        <w:rFonts w:ascii="Cambria Math" w:eastAsia="Times New Roman" w:hAnsi="Arial" w:cs="Arial"/>
                        <w:b/>
                        <w:i/>
                        <w:szCs w:val="24"/>
                      </w:rPr>
                    </m:ctrlPr>
                  </m:accPr>
                  <m:e>
                    <m:sSub>
                      <m:sSubPr>
                        <m:ctrlPr>
                          <w:rPr>
                            <w:rFonts w:ascii="Cambria Math" w:eastAsia="Times New Roman" w:hAnsi="Arial" w:cs="Arial"/>
                            <w:b/>
                            <w:i/>
                            <w:szCs w:val="24"/>
                          </w:rPr>
                        </m:ctrlPr>
                      </m:sSubPr>
                      <m:e>
                        <m:r>
                          <m:rPr>
                            <m:sty m:val="bi"/>
                          </m:rPr>
                          <w:rPr>
                            <w:rFonts w:ascii="Cambria Math" w:hAnsi="Cambria Math" w:cs="Arial"/>
                            <w:sz w:val="20"/>
                            <w:szCs w:val="24"/>
                          </w:rPr>
                          <m:t>TE</m:t>
                        </m:r>
                      </m:e>
                      <m:sub>
                        <m:r>
                          <m:rPr>
                            <m:sty m:val="bi"/>
                          </m:rPr>
                          <w:rPr>
                            <w:rFonts w:ascii="Cambria Math" w:hAnsi="Cambria Math" w:cs="Arial"/>
                            <w:sz w:val="20"/>
                            <w:szCs w:val="24"/>
                          </w:rPr>
                          <m:t>k</m:t>
                        </m:r>
                        <m:r>
                          <m:rPr>
                            <m:sty m:val="bi"/>
                          </m:rPr>
                          <w:rPr>
                            <w:rFonts w:ascii="Cambria Math" w:hAnsi="Arial" w:cs="Arial"/>
                            <w:sz w:val="20"/>
                            <w:szCs w:val="24"/>
                          </w:rPr>
                          <m:t>.</m:t>
                        </m:r>
                      </m:sub>
                    </m:sSub>
                  </m:e>
                </m:acc>
              </m:oMath>
            </m:oMathPara>
          </w:p>
        </w:tc>
        <w:tc>
          <w:tcPr>
            <w:tcW w:w="1849" w:type="pct"/>
            <w:tcBorders>
              <w:top w:val="single" w:sz="4" w:space="0" w:color="auto"/>
              <w:left w:val="single" w:sz="4" w:space="0" w:color="auto"/>
              <w:bottom w:val="single" w:sz="4" w:space="0" w:color="auto"/>
              <w:right w:val="single" w:sz="4" w:space="0" w:color="auto"/>
            </w:tcBorders>
            <w:vAlign w:val="center"/>
            <w:hideMark/>
          </w:tcPr>
          <w:p w14:paraId="7F829158" w14:textId="77777777" w:rsidR="008862C7" w:rsidRDefault="00EA1CF0">
            <w:pPr>
              <w:tabs>
                <w:tab w:val="left" w:pos="708"/>
              </w:tabs>
              <w:spacing w:after="0" w:line="240" w:lineRule="auto"/>
              <w:jc w:val="center"/>
              <w:rPr>
                <w:rFonts w:ascii="Arial" w:eastAsia="Times New Roman" w:hAnsi="Arial" w:cs="Arial"/>
                <w:b/>
                <w:sz w:val="20"/>
                <w:szCs w:val="24"/>
              </w:rPr>
            </w:pPr>
            <m:oMathPara>
              <m:oMath>
                <m:sSub>
                  <m:sSubPr>
                    <m:ctrlPr>
                      <w:rPr>
                        <w:rFonts w:ascii="Cambria Math" w:eastAsia="Times New Roman" w:hAnsi="Arial" w:cs="Arial"/>
                        <w:b/>
                        <w:i/>
                        <w:szCs w:val="24"/>
                      </w:rPr>
                    </m:ctrlPr>
                  </m:sSubPr>
                  <m:e>
                    <m:r>
                      <m:rPr>
                        <m:sty m:val="bi"/>
                      </m:rPr>
                      <w:rPr>
                        <w:rFonts w:ascii="Cambria Math" w:hAnsi="Cambria Math" w:cs="Arial"/>
                        <w:sz w:val="20"/>
                        <w:szCs w:val="24"/>
                      </w:rPr>
                      <m:t>TE</m:t>
                    </m:r>
                  </m:e>
                  <m:sub>
                    <m:r>
                      <m:rPr>
                        <m:sty m:val="bi"/>
                      </m:rPr>
                      <w:rPr>
                        <w:rFonts w:ascii="Cambria Math" w:hAnsi="Cambria Math" w:cs="Arial"/>
                        <w:sz w:val="20"/>
                        <w:szCs w:val="24"/>
                      </w:rPr>
                      <m:t>ki</m:t>
                    </m:r>
                  </m:sub>
                </m:sSub>
                <m:r>
                  <m:rPr>
                    <m:sty m:val="bi"/>
                  </m:rPr>
                  <w:rPr>
                    <w:rFonts w:ascii="Cambria Math" w:hAnsi="Arial" w:cs="Arial"/>
                    <w:sz w:val="20"/>
                    <w:szCs w:val="24"/>
                  </w:rPr>
                  <m:t>&gt;</m:t>
                </m:r>
                <m:r>
                  <w:rPr>
                    <w:rFonts w:ascii="Cambria Math" w:hAnsi="Arial" w:cs="Arial"/>
                    <w:sz w:val="20"/>
                    <w:szCs w:val="24"/>
                  </w:rPr>
                  <m:t xml:space="preserve"> </m:t>
                </m:r>
                <m:acc>
                  <m:accPr>
                    <m:chr m:val="̅"/>
                    <m:ctrlPr>
                      <w:rPr>
                        <w:rFonts w:ascii="Cambria Math" w:eastAsia="Times New Roman" w:hAnsi="Arial" w:cs="Arial"/>
                        <w:b/>
                        <w:i/>
                        <w:szCs w:val="24"/>
                      </w:rPr>
                    </m:ctrlPr>
                  </m:accPr>
                  <m:e>
                    <m:sSub>
                      <m:sSubPr>
                        <m:ctrlPr>
                          <w:rPr>
                            <w:rFonts w:ascii="Cambria Math" w:eastAsia="Times New Roman" w:hAnsi="Arial" w:cs="Arial"/>
                            <w:b/>
                            <w:i/>
                            <w:szCs w:val="24"/>
                          </w:rPr>
                        </m:ctrlPr>
                      </m:sSubPr>
                      <m:e>
                        <m:r>
                          <m:rPr>
                            <m:sty m:val="bi"/>
                          </m:rPr>
                          <w:rPr>
                            <w:rFonts w:ascii="Cambria Math" w:hAnsi="Cambria Math" w:cs="Arial"/>
                            <w:sz w:val="20"/>
                            <w:szCs w:val="24"/>
                          </w:rPr>
                          <m:t>TE</m:t>
                        </m:r>
                      </m:e>
                      <m:sub>
                        <m:r>
                          <m:rPr>
                            <m:sty m:val="bi"/>
                          </m:rPr>
                          <w:rPr>
                            <w:rFonts w:ascii="Cambria Math" w:hAnsi="Cambria Math" w:cs="Arial"/>
                            <w:sz w:val="20"/>
                            <w:szCs w:val="24"/>
                          </w:rPr>
                          <m:t>k</m:t>
                        </m:r>
                        <m:r>
                          <m:rPr>
                            <m:sty m:val="bi"/>
                          </m:rPr>
                          <w:rPr>
                            <w:rFonts w:ascii="Cambria Math" w:hAnsi="Arial" w:cs="Arial"/>
                            <w:sz w:val="20"/>
                            <w:szCs w:val="24"/>
                          </w:rPr>
                          <m:t>.</m:t>
                        </m:r>
                      </m:sub>
                    </m:sSub>
                  </m:e>
                </m:acc>
              </m:oMath>
            </m:oMathPara>
          </w:p>
        </w:tc>
      </w:tr>
      <w:tr w:rsidR="008862C7" w14:paraId="301B2B95" w14:textId="77777777" w:rsidTr="008862C7">
        <w:tc>
          <w:tcPr>
            <w:tcW w:w="946" w:type="pct"/>
            <w:tcBorders>
              <w:top w:val="single" w:sz="4" w:space="0" w:color="auto"/>
              <w:left w:val="single" w:sz="4" w:space="0" w:color="auto"/>
              <w:bottom w:val="single" w:sz="4" w:space="0" w:color="auto"/>
              <w:right w:val="single" w:sz="4" w:space="0" w:color="auto"/>
            </w:tcBorders>
            <w:vAlign w:val="center"/>
            <w:hideMark/>
          </w:tcPr>
          <w:p w14:paraId="09028A41" w14:textId="77777777" w:rsidR="008862C7" w:rsidRDefault="00EA1CF0">
            <w:pPr>
              <w:tabs>
                <w:tab w:val="left" w:pos="708"/>
              </w:tabs>
              <w:spacing w:after="0" w:line="240" w:lineRule="auto"/>
              <w:jc w:val="center"/>
              <w:rPr>
                <w:rFonts w:ascii="Arial" w:eastAsia="Times New Roman" w:hAnsi="Arial" w:cs="Arial"/>
                <w:b/>
                <w:sz w:val="20"/>
                <w:szCs w:val="24"/>
              </w:rPr>
            </w:pPr>
            <m:oMathPara>
              <m:oMath>
                <m:sSub>
                  <m:sSubPr>
                    <m:ctrlPr>
                      <w:rPr>
                        <w:rFonts w:ascii="Cambria Math" w:eastAsia="Times New Roman" w:hAnsi="Arial" w:cs="Arial"/>
                        <w:b/>
                        <w:i/>
                        <w:szCs w:val="24"/>
                      </w:rPr>
                    </m:ctrlPr>
                  </m:sSubPr>
                  <m:e>
                    <m:r>
                      <m:rPr>
                        <m:sty m:val="bi"/>
                      </m:rPr>
                      <w:rPr>
                        <w:rFonts w:ascii="Cambria Math" w:hAnsi="Cambria Math" w:cs="Arial"/>
                        <w:sz w:val="20"/>
                        <w:szCs w:val="24"/>
                      </w:rPr>
                      <m:t>PM</m:t>
                    </m:r>
                  </m:e>
                  <m:sub>
                    <m:r>
                      <m:rPr>
                        <m:sty m:val="bi"/>
                      </m:rPr>
                      <w:rPr>
                        <w:rFonts w:ascii="Cambria Math" w:hAnsi="Cambria Math" w:cs="Arial"/>
                        <w:sz w:val="20"/>
                        <w:szCs w:val="24"/>
                      </w:rPr>
                      <m:t>ki</m:t>
                    </m:r>
                  </m:sub>
                </m:sSub>
                <m:r>
                  <m:rPr>
                    <m:sty m:val="bi"/>
                  </m:rPr>
                  <w:rPr>
                    <w:rFonts w:ascii="Cambria Math" w:hAnsi="Arial" w:cs="Arial"/>
                    <w:sz w:val="20"/>
                    <w:szCs w:val="24"/>
                  </w:rPr>
                  <m:t>&lt;</m:t>
                </m:r>
                <m:acc>
                  <m:accPr>
                    <m:chr m:val="̅"/>
                    <m:ctrlPr>
                      <w:rPr>
                        <w:rFonts w:ascii="Cambria Math" w:eastAsia="Times New Roman" w:hAnsi="Arial" w:cs="Arial"/>
                        <w:b/>
                        <w:i/>
                        <w:szCs w:val="24"/>
                      </w:rPr>
                    </m:ctrlPr>
                  </m:accPr>
                  <m:e>
                    <m:sSub>
                      <m:sSubPr>
                        <m:ctrlPr>
                          <w:rPr>
                            <w:rFonts w:ascii="Cambria Math" w:eastAsia="Times New Roman" w:hAnsi="Arial" w:cs="Arial"/>
                            <w:b/>
                            <w:i/>
                            <w:szCs w:val="24"/>
                          </w:rPr>
                        </m:ctrlPr>
                      </m:sSubPr>
                      <m:e>
                        <m:r>
                          <m:rPr>
                            <m:sty m:val="bi"/>
                          </m:rPr>
                          <w:rPr>
                            <w:rFonts w:ascii="Cambria Math" w:hAnsi="Cambria Math" w:cs="Arial"/>
                            <w:sz w:val="20"/>
                            <w:szCs w:val="24"/>
                          </w:rPr>
                          <m:t>PM</m:t>
                        </m:r>
                      </m:e>
                      <m:sub>
                        <m:r>
                          <m:rPr>
                            <m:sty m:val="bi"/>
                          </m:rPr>
                          <w:rPr>
                            <w:rFonts w:ascii="Cambria Math" w:hAnsi="Cambria Math" w:cs="Arial"/>
                            <w:sz w:val="20"/>
                            <w:szCs w:val="24"/>
                          </w:rPr>
                          <m:t>i</m:t>
                        </m:r>
                        <m:r>
                          <m:rPr>
                            <m:sty m:val="bi"/>
                          </m:rPr>
                          <w:rPr>
                            <w:rFonts w:ascii="Cambria Math" w:hAnsi="Arial" w:cs="Arial"/>
                            <w:sz w:val="20"/>
                            <w:szCs w:val="24"/>
                          </w:rPr>
                          <m:t>.</m:t>
                        </m:r>
                      </m:sub>
                    </m:sSub>
                  </m:e>
                </m:acc>
              </m:oMath>
            </m:oMathPara>
          </w:p>
        </w:tc>
        <w:tc>
          <w:tcPr>
            <w:tcW w:w="2205" w:type="pct"/>
            <w:tcBorders>
              <w:top w:val="single" w:sz="4" w:space="0" w:color="auto"/>
              <w:left w:val="single" w:sz="4" w:space="0" w:color="auto"/>
              <w:bottom w:val="single" w:sz="4" w:space="0" w:color="auto"/>
              <w:right w:val="single" w:sz="4" w:space="0" w:color="auto"/>
            </w:tcBorders>
            <w:vAlign w:val="center"/>
            <w:hideMark/>
          </w:tcPr>
          <w:p w14:paraId="417E9350" w14:textId="77777777" w:rsidR="008862C7" w:rsidRDefault="008862C7">
            <w:pPr>
              <w:spacing w:after="0" w:line="240" w:lineRule="auto"/>
              <w:jc w:val="center"/>
              <w:rPr>
                <w:rFonts w:ascii="Arial" w:eastAsia="Times New Roman" w:hAnsi="Arial" w:cs="Arial"/>
                <w:b/>
                <w:sz w:val="20"/>
                <w:szCs w:val="24"/>
              </w:rPr>
            </w:pPr>
            <w:r>
              <w:rPr>
                <w:rFonts w:ascii="Arial" w:hAnsi="Arial" w:cs="Arial"/>
                <w:b/>
                <w:sz w:val="20"/>
                <w:szCs w:val="24"/>
              </w:rPr>
              <w:t>S</w:t>
            </w:r>
          </w:p>
          <w:p w14:paraId="2FE64AA4"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0"/>
                <w:szCs w:val="24"/>
              </w:rPr>
              <w:t>Problèmes structurels</w:t>
            </w:r>
          </w:p>
        </w:tc>
        <w:tc>
          <w:tcPr>
            <w:tcW w:w="1849" w:type="pct"/>
            <w:tcBorders>
              <w:top w:val="single" w:sz="4" w:space="0" w:color="auto"/>
              <w:left w:val="single" w:sz="4" w:space="0" w:color="auto"/>
              <w:bottom w:val="single" w:sz="4" w:space="0" w:color="auto"/>
              <w:right w:val="single" w:sz="4" w:space="0" w:color="auto"/>
            </w:tcBorders>
            <w:vAlign w:val="center"/>
            <w:hideMark/>
          </w:tcPr>
          <w:p w14:paraId="30CA429B" w14:textId="77777777" w:rsidR="008862C7" w:rsidRDefault="008862C7">
            <w:pPr>
              <w:spacing w:after="0" w:line="240" w:lineRule="auto"/>
              <w:jc w:val="center"/>
              <w:rPr>
                <w:rFonts w:ascii="Arial" w:eastAsia="Times New Roman" w:hAnsi="Arial" w:cs="Arial"/>
                <w:b/>
                <w:sz w:val="20"/>
                <w:szCs w:val="24"/>
              </w:rPr>
            </w:pPr>
            <w:r>
              <w:rPr>
                <w:rFonts w:ascii="Arial" w:hAnsi="Arial" w:cs="Arial"/>
                <w:b/>
                <w:sz w:val="20"/>
                <w:szCs w:val="24"/>
              </w:rPr>
              <w:t>M</w:t>
            </w:r>
          </w:p>
          <w:p w14:paraId="5A6A03A8"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0"/>
                <w:szCs w:val="24"/>
              </w:rPr>
              <w:t>Faible compétitivité-prix</w:t>
            </w:r>
          </w:p>
        </w:tc>
      </w:tr>
      <w:tr w:rsidR="008862C7" w14:paraId="1B6E7F4B" w14:textId="77777777" w:rsidTr="008862C7">
        <w:tc>
          <w:tcPr>
            <w:tcW w:w="946" w:type="pct"/>
            <w:tcBorders>
              <w:top w:val="single" w:sz="4" w:space="0" w:color="auto"/>
              <w:left w:val="single" w:sz="4" w:space="0" w:color="auto"/>
              <w:bottom w:val="single" w:sz="4" w:space="0" w:color="auto"/>
              <w:right w:val="single" w:sz="4" w:space="0" w:color="auto"/>
            </w:tcBorders>
            <w:vAlign w:val="center"/>
            <w:hideMark/>
          </w:tcPr>
          <w:p w14:paraId="1D63CE05" w14:textId="77777777" w:rsidR="008862C7" w:rsidRDefault="00EA1CF0">
            <w:pPr>
              <w:tabs>
                <w:tab w:val="left" w:pos="708"/>
              </w:tabs>
              <w:spacing w:after="0" w:line="240" w:lineRule="auto"/>
              <w:jc w:val="center"/>
              <w:rPr>
                <w:rFonts w:ascii="Arial" w:eastAsia="Times New Roman" w:hAnsi="Arial" w:cs="Arial"/>
                <w:b/>
                <w:sz w:val="20"/>
                <w:szCs w:val="24"/>
              </w:rPr>
            </w:pPr>
            <m:oMath>
              <m:sSub>
                <m:sSubPr>
                  <m:ctrlPr>
                    <w:rPr>
                      <w:rFonts w:ascii="Cambria Math" w:eastAsia="Times New Roman" w:hAnsi="Arial" w:cs="Arial"/>
                      <w:b/>
                      <w:i/>
                      <w:szCs w:val="24"/>
                    </w:rPr>
                  </m:ctrlPr>
                </m:sSubPr>
                <m:e>
                  <m:r>
                    <m:rPr>
                      <m:sty m:val="bi"/>
                    </m:rPr>
                    <w:rPr>
                      <w:rFonts w:ascii="Cambria Math" w:hAnsi="Cambria Math" w:cs="Arial"/>
                      <w:sz w:val="20"/>
                      <w:szCs w:val="24"/>
                    </w:rPr>
                    <m:t>PM</m:t>
                  </m:r>
                </m:e>
                <m:sub>
                  <m:r>
                    <m:rPr>
                      <m:sty m:val="bi"/>
                    </m:rPr>
                    <w:rPr>
                      <w:rFonts w:ascii="Cambria Math" w:hAnsi="Cambria Math" w:cs="Arial"/>
                      <w:sz w:val="20"/>
                      <w:szCs w:val="24"/>
                    </w:rPr>
                    <m:t>ki</m:t>
                  </m:r>
                </m:sub>
              </m:sSub>
              <m:r>
                <m:rPr>
                  <m:sty m:val="bi"/>
                </m:rPr>
                <w:rPr>
                  <w:rFonts w:ascii="Cambria Math" w:hAnsi="Arial" w:cs="Arial"/>
                  <w:sz w:val="20"/>
                  <w:szCs w:val="24"/>
                </w:rPr>
                <m:t>&gt;</m:t>
              </m:r>
              <m:r>
                <w:rPr>
                  <w:rFonts w:ascii="Cambria Math" w:hAnsi="Arial" w:cs="Arial"/>
                  <w:sz w:val="20"/>
                  <w:szCs w:val="24"/>
                </w:rPr>
                <m:t xml:space="preserve"> </m:t>
              </m:r>
              <m:acc>
                <m:accPr>
                  <m:chr m:val="̅"/>
                  <m:ctrlPr>
                    <w:rPr>
                      <w:rFonts w:ascii="Cambria Math" w:eastAsia="Times New Roman" w:hAnsi="Arial" w:cs="Arial"/>
                      <w:b/>
                      <w:i/>
                      <w:szCs w:val="24"/>
                    </w:rPr>
                  </m:ctrlPr>
                </m:accPr>
                <m:e>
                  <m:sSub>
                    <m:sSubPr>
                      <m:ctrlPr>
                        <w:rPr>
                          <w:rFonts w:ascii="Cambria Math" w:eastAsia="Times New Roman" w:hAnsi="Arial" w:cs="Arial"/>
                          <w:b/>
                          <w:i/>
                          <w:szCs w:val="24"/>
                        </w:rPr>
                      </m:ctrlPr>
                    </m:sSubPr>
                    <m:e>
                      <m:r>
                        <m:rPr>
                          <m:sty m:val="bi"/>
                        </m:rPr>
                        <w:rPr>
                          <w:rFonts w:ascii="Cambria Math" w:hAnsi="Cambria Math" w:cs="Arial"/>
                          <w:sz w:val="20"/>
                          <w:szCs w:val="24"/>
                        </w:rPr>
                        <m:t>PM</m:t>
                      </m:r>
                    </m:e>
                    <m:sub>
                      <m:r>
                        <m:rPr>
                          <m:sty m:val="bi"/>
                        </m:rPr>
                        <w:rPr>
                          <w:rFonts w:ascii="Cambria Math" w:hAnsi="Cambria Math" w:cs="Arial"/>
                          <w:sz w:val="20"/>
                          <w:szCs w:val="24"/>
                        </w:rPr>
                        <m:t>i</m:t>
                      </m:r>
                      <m:r>
                        <m:rPr>
                          <m:sty m:val="bi"/>
                        </m:rPr>
                        <w:rPr>
                          <w:rFonts w:ascii="Cambria Math" w:hAnsi="Arial" w:cs="Arial"/>
                          <w:sz w:val="20"/>
                          <w:szCs w:val="24"/>
                        </w:rPr>
                        <m:t>.</m:t>
                      </m:r>
                    </m:sub>
                  </m:sSub>
                </m:e>
              </m:acc>
            </m:oMath>
            <w:r w:rsidR="008862C7">
              <w:rPr>
                <w:rFonts w:ascii="Arial" w:hAnsi="Arial" w:cs="Arial"/>
                <w:b/>
                <w:sz w:val="20"/>
                <w:szCs w:val="24"/>
              </w:rPr>
              <w:t xml:space="preserve"> </w:t>
            </w:r>
          </w:p>
        </w:tc>
        <w:tc>
          <w:tcPr>
            <w:tcW w:w="2205" w:type="pct"/>
            <w:tcBorders>
              <w:top w:val="single" w:sz="4" w:space="0" w:color="auto"/>
              <w:left w:val="single" w:sz="4" w:space="0" w:color="auto"/>
              <w:bottom w:val="single" w:sz="4" w:space="0" w:color="auto"/>
              <w:right w:val="single" w:sz="4" w:space="0" w:color="auto"/>
            </w:tcBorders>
            <w:vAlign w:val="center"/>
            <w:hideMark/>
          </w:tcPr>
          <w:p w14:paraId="18E355F5" w14:textId="77777777" w:rsidR="008862C7" w:rsidRDefault="008862C7">
            <w:pPr>
              <w:spacing w:after="0" w:line="240" w:lineRule="auto"/>
              <w:jc w:val="center"/>
              <w:rPr>
                <w:rFonts w:ascii="Arial" w:eastAsia="Times New Roman" w:hAnsi="Arial" w:cs="Arial"/>
                <w:b/>
                <w:sz w:val="20"/>
                <w:szCs w:val="24"/>
              </w:rPr>
            </w:pPr>
            <w:r>
              <w:rPr>
                <w:rFonts w:ascii="Arial" w:hAnsi="Arial" w:cs="Arial"/>
                <w:b/>
                <w:sz w:val="20"/>
                <w:szCs w:val="24"/>
              </w:rPr>
              <w:t>P :</w:t>
            </w:r>
          </w:p>
          <w:p w14:paraId="64655E0F"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0"/>
                <w:szCs w:val="24"/>
              </w:rPr>
              <w:t>Bonne compétitivité-prix</w:t>
            </w:r>
          </w:p>
        </w:tc>
        <w:tc>
          <w:tcPr>
            <w:tcW w:w="1849" w:type="pct"/>
            <w:tcBorders>
              <w:top w:val="single" w:sz="4" w:space="0" w:color="auto"/>
              <w:left w:val="single" w:sz="4" w:space="0" w:color="auto"/>
              <w:bottom w:val="single" w:sz="4" w:space="0" w:color="auto"/>
              <w:right w:val="single" w:sz="4" w:space="0" w:color="auto"/>
            </w:tcBorders>
            <w:vAlign w:val="center"/>
            <w:hideMark/>
          </w:tcPr>
          <w:p w14:paraId="1FD65F49" w14:textId="77777777" w:rsidR="008862C7" w:rsidRDefault="008862C7">
            <w:pPr>
              <w:spacing w:after="0" w:line="240" w:lineRule="auto"/>
              <w:jc w:val="center"/>
              <w:rPr>
                <w:rFonts w:ascii="Arial" w:eastAsia="Times New Roman" w:hAnsi="Arial" w:cs="Arial"/>
                <w:b/>
                <w:sz w:val="20"/>
                <w:szCs w:val="24"/>
              </w:rPr>
            </w:pPr>
            <w:r>
              <w:rPr>
                <w:rFonts w:ascii="Arial" w:hAnsi="Arial" w:cs="Arial"/>
                <w:b/>
                <w:sz w:val="20"/>
                <w:szCs w:val="24"/>
              </w:rPr>
              <w:t>Q :</w:t>
            </w:r>
          </w:p>
          <w:p w14:paraId="7E123454" w14:textId="77777777" w:rsidR="008862C7" w:rsidRDefault="008862C7">
            <w:pPr>
              <w:tabs>
                <w:tab w:val="left" w:pos="708"/>
              </w:tabs>
              <w:spacing w:after="0" w:line="240" w:lineRule="auto"/>
              <w:jc w:val="center"/>
              <w:rPr>
                <w:rFonts w:ascii="Arial" w:eastAsia="Times New Roman" w:hAnsi="Arial" w:cs="Arial"/>
                <w:sz w:val="20"/>
                <w:szCs w:val="24"/>
              </w:rPr>
            </w:pPr>
            <w:r>
              <w:rPr>
                <w:rFonts w:ascii="Arial" w:hAnsi="Arial" w:cs="Arial"/>
                <w:sz w:val="20"/>
                <w:szCs w:val="24"/>
              </w:rPr>
              <w:t>Bonne compétitivité-qualité</w:t>
            </w:r>
          </w:p>
        </w:tc>
      </w:tr>
    </w:tbl>
    <w:p w14:paraId="79160EA0" w14:textId="77777777" w:rsidR="008862C7" w:rsidRDefault="008862C7" w:rsidP="008862C7">
      <w:pPr>
        <w:autoSpaceDE w:val="0"/>
        <w:autoSpaceDN w:val="0"/>
        <w:adjustRightInd w:val="0"/>
        <w:spacing w:after="0" w:line="360" w:lineRule="auto"/>
        <w:jc w:val="both"/>
        <w:rPr>
          <w:rFonts w:ascii="Arial" w:eastAsia="Times New Roman" w:hAnsi="Arial" w:cs="Arial"/>
          <w:sz w:val="4"/>
        </w:rPr>
      </w:pPr>
    </w:p>
    <w:p w14:paraId="5E3BFAAC" w14:textId="77777777" w:rsidR="008862C7" w:rsidRDefault="008862C7" w:rsidP="008862C7">
      <w:pPr>
        <w:autoSpaceDE w:val="0"/>
        <w:autoSpaceDN w:val="0"/>
        <w:adjustRightInd w:val="0"/>
        <w:spacing w:after="0" w:line="360" w:lineRule="auto"/>
        <w:jc w:val="both"/>
        <w:rPr>
          <w:rFonts w:ascii="Arial" w:hAnsi="Arial" w:cs="Arial"/>
          <w:sz w:val="24"/>
        </w:rPr>
      </w:pPr>
    </w:p>
    <w:p w14:paraId="3E0C7DB7" w14:textId="77777777" w:rsidR="008862C7" w:rsidRDefault="008862C7" w:rsidP="008862C7">
      <w:pPr>
        <w:autoSpaceDE w:val="0"/>
        <w:autoSpaceDN w:val="0"/>
        <w:adjustRightInd w:val="0"/>
        <w:spacing w:after="0" w:line="360" w:lineRule="auto"/>
        <w:jc w:val="both"/>
        <w:rPr>
          <w:rFonts w:ascii="Arial" w:hAnsi="Arial" w:cs="Arial"/>
          <w:sz w:val="24"/>
        </w:rPr>
      </w:pPr>
      <w:r>
        <w:rPr>
          <w:rFonts w:ascii="Arial" w:hAnsi="Arial" w:cs="Arial"/>
          <w:sz w:val="24"/>
        </w:rPr>
        <w:t>Les résultats de l’analyse pour les pays de notre échantillon sont consignés dans le tableau ci-après.</w:t>
      </w:r>
    </w:p>
    <w:p w14:paraId="003F982C" w14:textId="77777777" w:rsidR="008862C7" w:rsidRDefault="008862C7" w:rsidP="008862C7">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Tableau 4.12 : </w:t>
      </w:r>
      <w:r>
        <w:rPr>
          <w:rFonts w:ascii="Arial" w:hAnsi="Arial" w:cs="Arial"/>
          <w:sz w:val="24"/>
          <w:szCs w:val="24"/>
        </w:rPr>
        <w:t>Classification des exportations cotonnières : compétitivité-prix et compétitivité qualité</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gridCol w:w="2998"/>
      </w:tblGrid>
      <w:tr w:rsidR="008862C7" w14:paraId="75DCF7EE" w14:textId="77777777" w:rsidTr="008862C7">
        <w:trPr>
          <w:cantSplit/>
          <w:trHeight w:val="140"/>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22BD766D"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I.        AOC Zone Franc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5974EE0B" w14:textId="77777777" w:rsidR="008862C7" w:rsidRDefault="008862C7">
            <w:pPr>
              <w:spacing w:after="0" w:line="240" w:lineRule="auto"/>
              <w:rPr>
                <w:rFonts w:eastAsia="Calibri" w:cs="Times New Roman"/>
                <w:sz w:val="20"/>
                <w:szCs w:val="20"/>
              </w:rPr>
            </w:pPr>
          </w:p>
        </w:tc>
      </w:tr>
      <w:tr w:rsidR="008862C7" w14:paraId="474DBE33"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92060C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Bénin</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2A2E24FD"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79D99D34" w14:textId="77777777" w:rsidTr="008862C7">
        <w:trPr>
          <w:cantSplit/>
          <w:trHeight w:val="7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C867E87"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Burkina Faso</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EB0A5E9"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05DAE512" w14:textId="77777777" w:rsidTr="008862C7">
        <w:trPr>
          <w:cantSplit/>
          <w:trHeight w:val="111"/>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C70D19F"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Cameroun</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F2692CE"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3281D1D5" w14:textId="77777777" w:rsidTr="008862C7">
        <w:trPr>
          <w:cantSplit/>
          <w:trHeight w:val="1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9929D4F"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Côte d’Ivoire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8A9BB43"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3B3EA7D9" w14:textId="77777777" w:rsidTr="008862C7">
        <w:trPr>
          <w:cantSplit/>
          <w:trHeight w:val="72"/>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95B9FB6"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Mali</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B0ADFF6"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4D8684F5" w14:textId="77777777" w:rsidTr="008862C7">
        <w:trPr>
          <w:cantSplit/>
          <w:trHeight w:val="11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DBA149C"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lastRenderedPageBreak/>
              <w:t>République centrafricaine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6B58A4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1AEB6195" w14:textId="77777777" w:rsidTr="008862C7">
        <w:trPr>
          <w:cantSplit/>
          <w:trHeight w:val="15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CA78990"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Sénégal</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2553BFF"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016D8061"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30B5098"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Tchad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41FC24A"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34526F47" w14:textId="77777777" w:rsidTr="008862C7">
        <w:trPr>
          <w:cantSplit/>
          <w:trHeight w:val="18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0E2C781"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Togo</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70C778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5BEB73C1" w14:textId="77777777" w:rsidTr="008862C7">
        <w:trPr>
          <w:cantSplit/>
          <w:trHeight w:val="257"/>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5983CCBC"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II.        AOC hors zone franc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30522F40" w14:textId="77777777" w:rsidR="008862C7" w:rsidRDefault="008862C7">
            <w:pPr>
              <w:spacing w:after="0" w:line="240" w:lineRule="auto"/>
              <w:rPr>
                <w:rFonts w:eastAsia="Calibri" w:cs="Times New Roman"/>
                <w:sz w:val="20"/>
                <w:szCs w:val="20"/>
              </w:rPr>
            </w:pPr>
          </w:p>
        </w:tc>
      </w:tr>
      <w:tr w:rsidR="008862C7" w14:paraId="44F17BEC" w14:textId="77777777" w:rsidTr="008862C7">
        <w:trPr>
          <w:cantSplit/>
          <w:trHeight w:val="5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2C49438"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Angola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A7711C4"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16FFB711" w14:textId="77777777" w:rsidTr="008862C7">
        <w:trPr>
          <w:cantSplit/>
          <w:trHeight w:val="104"/>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F2BDFFA"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Congo DR.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13C7274"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04AFFFD0" w14:textId="77777777" w:rsidTr="008862C7">
        <w:trPr>
          <w:cantSplit/>
          <w:trHeight w:val="23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B1EC25E"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Ghana</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6137D06"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02D4A141" w14:textId="77777777" w:rsidTr="008862C7">
        <w:trPr>
          <w:cantSplit/>
          <w:trHeight w:val="141"/>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EF57D9D"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Guinée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AE0F2EF"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22ABABFE"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23AF9B4"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Nigéria</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B8A45FD"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19D3F50C" w14:textId="77777777" w:rsidTr="008862C7">
        <w:trPr>
          <w:cantSplit/>
          <w:trHeight w:val="21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EF1E1C7"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Guinée Bissau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06F531B"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271E7B1F" w14:textId="77777777" w:rsidTr="008862C7">
        <w:trPr>
          <w:cantSplit/>
          <w:trHeight w:val="108"/>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36C96B6"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Niger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27DEBDA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A1D5435" w14:textId="77777777" w:rsidTr="008862C7">
        <w:trPr>
          <w:cantSplit/>
          <w:trHeight w:val="15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7662ABA"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Zimbabwe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58212F1"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0681F84B" w14:textId="77777777" w:rsidTr="008862C7">
        <w:trPr>
          <w:cantSplit/>
          <w:trHeight w:val="77"/>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023458FD" w14:textId="77777777" w:rsidR="008862C7" w:rsidRDefault="008862C7">
            <w:pPr>
              <w:pStyle w:val="Paragraphedeliste"/>
              <w:numPr>
                <w:ilvl w:val="0"/>
                <w:numId w:val="24"/>
              </w:numPr>
              <w:spacing w:after="0" w:line="240" w:lineRule="auto"/>
              <w:jc w:val="both"/>
              <w:rPr>
                <w:rFonts w:ascii="Arial" w:hAnsi="Arial" w:cs="Arial"/>
                <w:b/>
                <w:bCs/>
                <w:sz w:val="20"/>
                <w:szCs w:val="20"/>
              </w:rPr>
            </w:pPr>
            <w:r>
              <w:rPr>
                <w:rFonts w:ascii="Arial" w:hAnsi="Arial" w:cs="Arial"/>
                <w:b/>
                <w:bCs/>
                <w:sz w:val="20"/>
                <w:szCs w:val="20"/>
              </w:rPr>
              <w:t>Afrique du Nord</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2D468C52" w14:textId="77777777" w:rsidR="008862C7" w:rsidRDefault="008862C7">
            <w:pPr>
              <w:spacing w:after="0" w:line="240" w:lineRule="auto"/>
              <w:rPr>
                <w:rFonts w:eastAsia="Calibri" w:cs="Times New Roman"/>
                <w:sz w:val="20"/>
                <w:szCs w:val="20"/>
              </w:rPr>
            </w:pPr>
          </w:p>
        </w:tc>
      </w:tr>
      <w:tr w:rsidR="008862C7" w14:paraId="3F5A4A4F" w14:textId="77777777" w:rsidTr="008862C7">
        <w:trPr>
          <w:cantSplit/>
          <w:trHeight w:val="12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431EF8D6"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Maroc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63D0E4D"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3D8D7C1C" w14:textId="77777777" w:rsidTr="008862C7">
        <w:trPr>
          <w:cantSplit/>
          <w:trHeight w:val="185"/>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5E1843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Soudan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379A8282"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164E0BA3" w14:textId="77777777" w:rsidTr="008862C7">
        <w:trPr>
          <w:cantSplit/>
          <w:trHeight w:val="17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7DF1190"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sz w:val="20"/>
                <w:szCs w:val="20"/>
              </w:rPr>
              <w:t>Tunisie</w:t>
            </w:r>
            <w:r>
              <w:rPr>
                <w:rFonts w:ascii="Arial" w:hAnsi="Arial" w:cs="Arial"/>
                <w:b/>
                <w:bCs/>
                <w:sz w:val="20"/>
                <w:szCs w:val="20"/>
              </w:rPr>
              <w:t xml:space="preserv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3B1C7E2"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F36E9D3" w14:textId="77777777" w:rsidTr="008862C7">
        <w:trPr>
          <w:cantSplit/>
          <w:trHeight w:val="121"/>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4B211A38" w14:textId="77777777" w:rsidR="008862C7" w:rsidRDefault="008862C7">
            <w:pPr>
              <w:pStyle w:val="Paragraphedeliste"/>
              <w:numPr>
                <w:ilvl w:val="0"/>
                <w:numId w:val="24"/>
              </w:numPr>
              <w:spacing w:after="0" w:line="240" w:lineRule="auto"/>
              <w:jc w:val="both"/>
              <w:rPr>
                <w:rFonts w:ascii="Arial" w:hAnsi="Arial" w:cs="Arial"/>
                <w:b/>
                <w:bCs/>
                <w:sz w:val="20"/>
                <w:szCs w:val="20"/>
              </w:rPr>
            </w:pPr>
            <w:r>
              <w:rPr>
                <w:rFonts w:ascii="Arial" w:hAnsi="Arial" w:cs="Arial"/>
                <w:b/>
                <w:bCs/>
                <w:sz w:val="20"/>
                <w:szCs w:val="20"/>
              </w:rPr>
              <w:t xml:space="preserve">Amérique du nord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4FF7C46A" w14:textId="77777777" w:rsidR="008862C7" w:rsidRDefault="008862C7">
            <w:pPr>
              <w:spacing w:after="0" w:line="240" w:lineRule="auto"/>
              <w:rPr>
                <w:rFonts w:eastAsia="Calibri" w:cs="Times New Roman"/>
                <w:sz w:val="20"/>
                <w:szCs w:val="20"/>
              </w:rPr>
            </w:pPr>
          </w:p>
        </w:tc>
      </w:tr>
      <w:tr w:rsidR="008862C7" w14:paraId="14741392" w14:textId="77777777" w:rsidTr="008862C7">
        <w:trPr>
          <w:cantSplit/>
          <w:trHeight w:val="184"/>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8B54342"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États-Unis</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CE1FB5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28495ADF" w14:textId="77777777" w:rsidTr="008862C7">
        <w:trPr>
          <w:cantSplit/>
          <w:trHeight w:val="22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441F8F25"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Canada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9C366BF"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1D96B7B3" w14:textId="77777777" w:rsidTr="008862C7">
        <w:trPr>
          <w:cantSplit/>
          <w:trHeight w:val="13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12FDA4E"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Mexique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3D6AC24"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32060179" w14:textId="77777777" w:rsidTr="008862C7">
        <w:trPr>
          <w:cantSplit/>
          <w:trHeight w:val="17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A12009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Cuba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FAE0516"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3B04F28E" w14:textId="77777777" w:rsidTr="008862C7">
        <w:trPr>
          <w:cantSplit/>
          <w:trHeight w:val="172"/>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B7348B0"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République Dominicaine.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0B8579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26D89532" w14:textId="77777777" w:rsidTr="008862C7">
        <w:trPr>
          <w:cantSplit/>
          <w:trHeight w:val="72"/>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47D9FBFE"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V.        </w:t>
            </w:r>
            <w:r>
              <w:rPr>
                <w:rFonts w:ascii="Arial" w:hAnsi="Arial" w:cs="Arial"/>
                <w:sz w:val="20"/>
                <w:szCs w:val="20"/>
              </w:rPr>
              <w:t xml:space="preserve"> </w:t>
            </w:r>
            <w:r>
              <w:rPr>
                <w:rFonts w:ascii="Arial" w:hAnsi="Arial" w:cs="Arial"/>
                <w:b/>
                <w:bCs/>
                <w:sz w:val="20"/>
                <w:szCs w:val="20"/>
              </w:rPr>
              <w:t xml:space="preserve">Amérique latine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10A50C61" w14:textId="77777777" w:rsidR="008862C7" w:rsidRDefault="008862C7">
            <w:pPr>
              <w:spacing w:after="0" w:line="240" w:lineRule="auto"/>
              <w:rPr>
                <w:rFonts w:eastAsia="Calibri" w:cs="Times New Roman"/>
                <w:sz w:val="20"/>
                <w:szCs w:val="20"/>
              </w:rPr>
            </w:pPr>
          </w:p>
        </w:tc>
      </w:tr>
      <w:tr w:rsidR="008862C7" w14:paraId="278975A5"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DE05C3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Brésil</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33F1EB3"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08C4D328" w14:textId="77777777" w:rsidTr="008862C7">
        <w:trPr>
          <w:cantSplit/>
          <w:trHeight w:val="194"/>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F7312C2"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Argentine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CA388D2"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763249F8" w14:textId="77777777" w:rsidTr="008862C7">
        <w:trPr>
          <w:cantSplit/>
          <w:trHeight w:val="8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1E56A78"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Bolivie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9323544"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30ECB57E" w14:textId="77777777" w:rsidTr="008862C7">
        <w:trPr>
          <w:cantSplit/>
          <w:trHeight w:val="130"/>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24C9EE4"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Colombie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078449A"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0FB3CE4A" w14:textId="77777777" w:rsidTr="008862C7">
        <w:trPr>
          <w:cantSplit/>
          <w:trHeight w:val="175"/>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3FB82B0"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Equateur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62D13A3B"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34C2C9C6" w14:textId="77777777" w:rsidTr="008862C7">
        <w:trPr>
          <w:cantSplit/>
          <w:trHeight w:val="20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FFDB316"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Paraguay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2CC5AC3"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2B5250CA" w14:textId="77777777" w:rsidTr="008862C7">
        <w:trPr>
          <w:cantSplit/>
          <w:trHeight w:val="125"/>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FC39017"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Pérou</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C7B900E"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1A8EA7BE" w14:textId="77777777" w:rsidTr="008862C7">
        <w:trPr>
          <w:cantSplit/>
          <w:trHeight w:val="171"/>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0FF217D9"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VI.         Amérique du Centre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558997BA" w14:textId="77777777" w:rsidR="008862C7" w:rsidRDefault="008862C7">
            <w:pPr>
              <w:spacing w:after="0" w:line="240" w:lineRule="auto"/>
              <w:rPr>
                <w:rFonts w:eastAsia="Calibri" w:cs="Times New Roman"/>
                <w:sz w:val="20"/>
                <w:szCs w:val="20"/>
              </w:rPr>
            </w:pPr>
          </w:p>
        </w:tc>
      </w:tr>
      <w:tr w:rsidR="008862C7" w14:paraId="505BFE0A" w14:textId="77777777" w:rsidTr="008862C7">
        <w:trPr>
          <w:cantSplit/>
          <w:trHeight w:val="62"/>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DC5F073"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El Salvador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DA6501B"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7117CEA0" w14:textId="77777777" w:rsidTr="008862C7">
        <w:trPr>
          <w:cantSplit/>
          <w:trHeight w:val="165"/>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42DA47D"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Guatemala</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160C4DF8"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000346F6" w14:textId="77777777" w:rsidTr="008862C7">
        <w:trPr>
          <w:cantSplit/>
          <w:trHeight w:val="70"/>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95EBE6C"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Costa Rica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02BBF71A"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74324D47" w14:textId="77777777" w:rsidTr="008862C7">
        <w:trPr>
          <w:cantSplit/>
          <w:trHeight w:val="140"/>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18C60CC9"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VII.        Europe</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00E53516" w14:textId="77777777" w:rsidR="008862C7" w:rsidRDefault="008862C7">
            <w:pPr>
              <w:spacing w:after="0" w:line="240" w:lineRule="auto"/>
              <w:rPr>
                <w:rFonts w:eastAsia="Calibri" w:cs="Times New Roman"/>
                <w:sz w:val="20"/>
                <w:szCs w:val="20"/>
              </w:rPr>
            </w:pPr>
          </w:p>
        </w:tc>
      </w:tr>
      <w:tr w:rsidR="008862C7" w14:paraId="56255C92" w14:textId="77777777" w:rsidTr="008862C7">
        <w:trPr>
          <w:cantSplit/>
          <w:trHeight w:val="14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48CB9727"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Espagne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5728A03"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31B39492" w14:textId="77777777" w:rsidTr="008862C7">
        <w:trPr>
          <w:cantSplit/>
          <w:trHeight w:val="19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25D31D1"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Grèce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C4D0486"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CACC189" w14:textId="77777777" w:rsidTr="008862C7">
        <w:trPr>
          <w:cantSplit/>
          <w:trHeight w:val="97"/>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15783AC"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Turquie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25634723"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4086151" w14:textId="77777777" w:rsidTr="008862C7">
        <w:trPr>
          <w:cantSplit/>
          <w:trHeight w:val="14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A898AF9"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Ouzbékistan</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9A54301"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5B91DAFD" w14:textId="77777777" w:rsidTr="008862C7">
        <w:trPr>
          <w:cantSplit/>
          <w:trHeight w:val="18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08A461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Azerbaïdjan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3B03FF1"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P</w:t>
            </w:r>
          </w:p>
        </w:tc>
      </w:tr>
      <w:tr w:rsidR="008862C7" w14:paraId="5D73212D" w14:textId="77777777" w:rsidTr="008862C7">
        <w:trPr>
          <w:cantSplit/>
          <w:trHeight w:val="257"/>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058AFEF8"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VIII.        Asie du Sud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40642884" w14:textId="77777777" w:rsidR="008862C7" w:rsidRDefault="008862C7">
            <w:pPr>
              <w:spacing w:after="0" w:line="240" w:lineRule="auto"/>
              <w:rPr>
                <w:rFonts w:eastAsia="Calibri" w:cs="Times New Roman"/>
                <w:sz w:val="20"/>
                <w:szCs w:val="20"/>
              </w:rPr>
            </w:pPr>
          </w:p>
        </w:tc>
      </w:tr>
      <w:tr w:rsidR="008862C7" w14:paraId="1D1C9D40" w14:textId="77777777" w:rsidTr="008862C7">
        <w:trPr>
          <w:cantSplit/>
          <w:trHeight w:val="111"/>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4CC914B"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Afghanistan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6EEAAD5"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0E2BBB63" w14:textId="77777777" w:rsidTr="008862C7">
        <w:trPr>
          <w:cantSplit/>
          <w:trHeight w:val="14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DC95AFE"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Bangladesh</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60B4ABB2"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EB2BA53" w14:textId="77777777" w:rsidTr="008862C7">
        <w:trPr>
          <w:cantSplit/>
          <w:trHeight w:val="189"/>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3EC071C6"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Chine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7D9843B"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30420ED1" w14:textId="77777777" w:rsidTr="008862C7">
        <w:trPr>
          <w:cantSplit/>
          <w:trHeight w:val="93"/>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59A2FBC2"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Pakistan</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CA13A2F"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r w:rsidR="008862C7" w14:paraId="6753CEDA"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13F376C"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Sri Lanka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213E1FB9"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22141F13"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15336873" w14:textId="77777777" w:rsidR="008862C7" w:rsidRDefault="008862C7">
            <w:pPr>
              <w:spacing w:after="0" w:line="240" w:lineRule="auto"/>
              <w:jc w:val="both"/>
              <w:rPr>
                <w:rFonts w:ascii="Arial" w:eastAsia="Times New Roman" w:hAnsi="Arial" w:cs="Arial"/>
                <w:b/>
                <w:bCs/>
                <w:sz w:val="20"/>
                <w:szCs w:val="20"/>
              </w:rPr>
            </w:pPr>
            <w:r>
              <w:rPr>
                <w:rFonts w:ascii="Arial" w:hAnsi="Arial" w:cs="Arial"/>
                <w:b/>
                <w:bCs/>
                <w:sz w:val="20"/>
                <w:szCs w:val="20"/>
              </w:rPr>
              <w:t> </w:t>
            </w:r>
          </w:p>
          <w:p w14:paraId="703AC2CA" w14:textId="77777777" w:rsidR="008862C7" w:rsidRDefault="008862C7">
            <w:pPr>
              <w:tabs>
                <w:tab w:val="left" w:pos="708"/>
              </w:tabs>
              <w:spacing w:after="0" w:line="240" w:lineRule="auto"/>
              <w:jc w:val="both"/>
              <w:rPr>
                <w:rFonts w:ascii="Arial" w:eastAsia="Times New Roman" w:hAnsi="Arial" w:cs="Arial"/>
                <w:b/>
                <w:bCs/>
                <w:sz w:val="20"/>
                <w:szCs w:val="20"/>
              </w:rPr>
            </w:pPr>
            <w:r>
              <w:rPr>
                <w:rFonts w:ascii="Arial" w:hAnsi="Arial" w:cs="Arial"/>
                <w:b/>
                <w:bCs/>
                <w:sz w:val="20"/>
                <w:szCs w:val="20"/>
              </w:rPr>
              <w:t xml:space="preserve"> IX.        Asie de l’Est </w:t>
            </w:r>
          </w:p>
        </w:tc>
        <w:tc>
          <w:tcPr>
            <w:tcW w:w="1446"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14:paraId="194FB65F" w14:textId="77777777" w:rsidR="008862C7" w:rsidRDefault="008862C7">
            <w:pPr>
              <w:spacing w:after="0" w:line="240" w:lineRule="auto"/>
              <w:rPr>
                <w:rFonts w:eastAsia="Calibri" w:cs="Times New Roman"/>
                <w:sz w:val="20"/>
                <w:szCs w:val="20"/>
              </w:rPr>
            </w:pPr>
          </w:p>
        </w:tc>
      </w:tr>
      <w:tr w:rsidR="008862C7" w14:paraId="7EFD97D8" w14:textId="77777777" w:rsidTr="008862C7">
        <w:trPr>
          <w:cantSplit/>
          <w:trHeight w:val="7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78F8D718"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Indonésie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7D60A096"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3BA7B322" w14:textId="77777777" w:rsidTr="008862C7">
        <w:trPr>
          <w:cantSplit/>
          <w:trHeight w:val="121"/>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61B73553"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 xml:space="preserve">Malaisie </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C8594BB"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M</w:t>
            </w:r>
          </w:p>
        </w:tc>
      </w:tr>
      <w:tr w:rsidR="008862C7" w14:paraId="60B45808" w14:textId="77777777" w:rsidTr="008862C7">
        <w:trPr>
          <w:cantSplit/>
          <w:trHeight w:val="5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B8FFA17"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Philippines</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D7A1CEC"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21BEC640" w14:textId="77777777" w:rsidTr="008862C7">
        <w:trPr>
          <w:cantSplit/>
          <w:trHeight w:val="140"/>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01A223FF"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Singapore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444B8F21"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6B50E315" w14:textId="77777777" w:rsidTr="008862C7">
        <w:trPr>
          <w:cantSplit/>
          <w:trHeight w:val="172"/>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2EC83B59"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Thaïlande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5299A4B7"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S</w:t>
            </w:r>
          </w:p>
        </w:tc>
      </w:tr>
      <w:tr w:rsidR="008862C7" w14:paraId="64CB16CB" w14:textId="77777777" w:rsidTr="008862C7">
        <w:trPr>
          <w:cantSplit/>
          <w:trHeight w:val="76"/>
          <w:jc w:val="center"/>
        </w:trPr>
        <w:tc>
          <w:tcPr>
            <w:tcW w:w="3554" w:type="pct"/>
            <w:tcBorders>
              <w:top w:val="single" w:sz="4" w:space="0" w:color="auto"/>
              <w:left w:val="single" w:sz="4" w:space="0" w:color="auto"/>
              <w:bottom w:val="single" w:sz="4" w:space="0" w:color="auto"/>
              <w:right w:val="single" w:sz="4" w:space="0" w:color="auto"/>
            </w:tcBorders>
            <w:noWrap/>
            <w:vAlign w:val="center"/>
            <w:hideMark/>
          </w:tcPr>
          <w:p w14:paraId="19249E55" w14:textId="77777777" w:rsidR="008862C7" w:rsidRDefault="008862C7">
            <w:pPr>
              <w:tabs>
                <w:tab w:val="left" w:pos="708"/>
              </w:tabs>
              <w:spacing w:after="0" w:line="240" w:lineRule="auto"/>
              <w:jc w:val="both"/>
              <w:rPr>
                <w:rFonts w:ascii="Arial" w:eastAsia="Times New Roman" w:hAnsi="Arial" w:cs="Arial"/>
                <w:sz w:val="20"/>
                <w:szCs w:val="20"/>
              </w:rPr>
            </w:pPr>
            <w:r>
              <w:rPr>
                <w:rFonts w:ascii="Arial" w:hAnsi="Arial" w:cs="Arial"/>
                <w:sz w:val="20"/>
                <w:szCs w:val="20"/>
              </w:rPr>
              <w:t>Inde</w:t>
            </w:r>
          </w:p>
        </w:tc>
        <w:tc>
          <w:tcPr>
            <w:tcW w:w="1446" w:type="pct"/>
            <w:tcBorders>
              <w:top w:val="single" w:sz="4" w:space="0" w:color="auto"/>
              <w:left w:val="single" w:sz="4" w:space="0" w:color="auto"/>
              <w:bottom w:val="single" w:sz="4" w:space="0" w:color="auto"/>
              <w:right w:val="single" w:sz="4" w:space="0" w:color="auto"/>
            </w:tcBorders>
            <w:noWrap/>
            <w:vAlign w:val="center"/>
            <w:hideMark/>
          </w:tcPr>
          <w:p w14:paraId="2CDAE68A" w14:textId="77777777" w:rsidR="008862C7" w:rsidRDefault="008862C7">
            <w:pPr>
              <w:tabs>
                <w:tab w:val="left" w:pos="708"/>
              </w:tabs>
              <w:spacing w:after="0" w:line="240" w:lineRule="auto"/>
              <w:jc w:val="center"/>
              <w:rPr>
                <w:rFonts w:ascii="Arial" w:eastAsia="Times New Roman" w:hAnsi="Arial" w:cs="Arial"/>
                <w:b/>
                <w:bCs/>
                <w:sz w:val="20"/>
                <w:szCs w:val="20"/>
              </w:rPr>
            </w:pPr>
            <w:r>
              <w:rPr>
                <w:rFonts w:ascii="Arial" w:hAnsi="Arial" w:cs="Arial"/>
                <w:b/>
                <w:bCs/>
                <w:sz w:val="20"/>
                <w:szCs w:val="20"/>
              </w:rPr>
              <w:t>Q</w:t>
            </w:r>
          </w:p>
        </w:tc>
      </w:tr>
    </w:tbl>
    <w:p w14:paraId="5E3661B4" w14:textId="77777777" w:rsidR="008862C7" w:rsidRDefault="008862C7" w:rsidP="008862C7">
      <w:pPr>
        <w:spacing w:before="240" w:after="0" w:line="360" w:lineRule="auto"/>
        <w:jc w:val="both"/>
        <w:rPr>
          <w:rFonts w:ascii="Arial" w:eastAsia="Times New Roman" w:hAnsi="Arial" w:cs="Arial"/>
          <w:sz w:val="24"/>
          <w:szCs w:val="24"/>
        </w:rPr>
      </w:pPr>
      <w:r>
        <w:rPr>
          <w:rFonts w:ascii="Arial" w:hAnsi="Arial" w:cs="Arial"/>
          <w:sz w:val="24"/>
          <w:szCs w:val="24"/>
        </w:rPr>
        <w:lastRenderedPageBreak/>
        <w:t>Ce tableau permet de faire une analyse, segmenter des performances commerciales du coton centrafricain en termes de compétitivité-prix et de compétitivité-structurelle.  En croisant les écarts de taux de changes et ceux des parts du marché du coton de chaque concurrent, on peut facilement distinguer les avantages et désavantages prix des avantages et désavantages structurels de chaque concurrent. Contrairement à l’ensemble de ces concurrents de l’AOC, la part de marché (PM</w:t>
      </w:r>
      <w:r>
        <w:rPr>
          <w:rFonts w:ascii="Arial" w:hAnsi="Arial" w:cs="Arial"/>
          <w:sz w:val="24"/>
          <w:szCs w:val="24"/>
          <w:vertAlign w:val="subscript"/>
        </w:rPr>
        <w:t>RCA</w:t>
      </w:r>
      <w:r>
        <w:rPr>
          <w:rFonts w:ascii="Arial" w:hAnsi="Arial" w:cs="Arial"/>
          <w:sz w:val="24"/>
          <w:szCs w:val="24"/>
        </w:rPr>
        <w:t>) du coton centrafricain (excepté le Tchad) est inférieure à la moyenne de la zone alors que ses termes de l’échange sont supérieurs à la moyenne de la zone. Ce qui traduit un désavantage-prix et un avantage-structurel de la filière vis-à-vis de ces concurrents directs d’AOC. Aussi, on compte 17 sur 51 des pays de l’échantillon se trouvent dans la même situation que la RCA, soit 33% de notre échantillon.</w:t>
      </w:r>
    </w:p>
    <w:p w14:paraId="674F2F2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Si nous regardons de près les pays de l’échantillon disposant d’un avantage structurel, cet avantage est beaucoup plus lié à des facteurs tels que leur localisation géographique (pays non enclavé), les subventions à la filière, et une forte consommation locale de la fibre. Cependant en RCA et au Tchad cet avantage découle plus de la qualité du coton fibre offerte (source de surcote) que des autres facteurs susmentionnés ; domaine dans lequel la RCA est sérieusement en retard. </w:t>
      </w:r>
    </w:p>
    <w:p w14:paraId="63D1A3B1"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De ces résultats deux défis majeurs se présentent à la filière si l’on veut accroitre sa compétitivité : le défi de la réduction de son désavantage-prix par une politique de réduction des coûts le long de la filière et par une politique de valorisation et d’amélioration de la qualité intrinsèque du coton (système de vente adopté, marketing, recherche et développement, labellisation et certification ISO des usines d’égrenage).</w:t>
      </w:r>
    </w:p>
    <w:p w14:paraId="7C81AF0A" w14:textId="77777777" w:rsidR="008862C7" w:rsidRDefault="008862C7" w:rsidP="008862C7">
      <w:pPr>
        <w:pStyle w:val="Paragraphedeliste"/>
        <w:numPr>
          <w:ilvl w:val="1"/>
          <w:numId w:val="46"/>
        </w:numPr>
        <w:spacing w:after="0" w:line="360" w:lineRule="auto"/>
        <w:jc w:val="both"/>
        <w:outlineLvl w:val="3"/>
        <w:rPr>
          <w:rFonts w:ascii="Arial" w:hAnsi="Arial" w:cs="Arial"/>
          <w:b/>
          <w:sz w:val="24"/>
          <w:szCs w:val="24"/>
        </w:rPr>
      </w:pPr>
      <w:bookmarkStart w:id="305" w:name="_Toc395107708"/>
      <w:r>
        <w:rPr>
          <w:rFonts w:ascii="Arial" w:hAnsi="Arial" w:cs="Arial"/>
          <w:b/>
          <w:sz w:val="24"/>
          <w:szCs w:val="24"/>
        </w:rPr>
        <w:t>Interprétation des résultats et implications en termes de politiques économiques</w:t>
      </w:r>
      <w:bookmarkEnd w:id="305"/>
      <w:r>
        <w:rPr>
          <w:rFonts w:ascii="Arial" w:hAnsi="Arial" w:cs="Arial"/>
          <w:b/>
          <w:sz w:val="24"/>
          <w:szCs w:val="24"/>
        </w:rPr>
        <w:t xml:space="preserve"> </w:t>
      </w:r>
    </w:p>
    <w:p w14:paraId="1625087F" w14:textId="77777777" w:rsidR="008862C7" w:rsidRDefault="008862C7" w:rsidP="008862C7">
      <w:pPr>
        <w:widowControl w:val="0"/>
        <w:autoSpaceDE w:val="0"/>
        <w:autoSpaceDN w:val="0"/>
        <w:adjustRightInd w:val="0"/>
        <w:spacing w:after="0" w:line="360" w:lineRule="auto"/>
        <w:ind w:right="64"/>
        <w:jc w:val="both"/>
        <w:rPr>
          <w:rFonts w:ascii="Arial" w:hAnsi="Arial" w:cs="Arial"/>
          <w:sz w:val="24"/>
          <w:szCs w:val="24"/>
        </w:rPr>
      </w:pPr>
      <w:r>
        <w:rPr>
          <w:rFonts w:ascii="Arial" w:hAnsi="Arial" w:cs="Arial"/>
          <w:sz w:val="24"/>
          <w:szCs w:val="24"/>
        </w:rPr>
        <w:t>La classification des pays en fonction de leur avantage prix et de leur avantage structurel et l</w:t>
      </w:r>
      <w:r>
        <w:rPr>
          <w:rFonts w:ascii="Arial" w:hAnsi="Arial" w:cs="Arial"/>
          <w:spacing w:val="-1"/>
          <w:sz w:val="24"/>
          <w:szCs w:val="24"/>
        </w:rPr>
        <w:t>’</w:t>
      </w:r>
      <w:r>
        <w:rPr>
          <w:rFonts w:ascii="Arial" w:hAnsi="Arial" w:cs="Arial"/>
          <w:spacing w:val="1"/>
          <w:sz w:val="24"/>
          <w:szCs w:val="24"/>
        </w:rPr>
        <w:t>a</w:t>
      </w:r>
      <w:r>
        <w:rPr>
          <w:rFonts w:ascii="Arial" w:hAnsi="Arial" w:cs="Arial"/>
          <w:spacing w:val="2"/>
          <w:sz w:val="24"/>
          <w:szCs w:val="24"/>
        </w:rPr>
        <w:t>n</w:t>
      </w:r>
      <w:r>
        <w:rPr>
          <w:rFonts w:ascii="Arial" w:hAnsi="Arial" w:cs="Arial"/>
          <w:spacing w:val="1"/>
          <w:sz w:val="24"/>
          <w:szCs w:val="24"/>
        </w:rPr>
        <w:t>aly</w:t>
      </w:r>
      <w:r>
        <w:rPr>
          <w:rFonts w:ascii="Arial" w:hAnsi="Arial" w:cs="Arial"/>
          <w:spacing w:val="-1"/>
          <w:sz w:val="24"/>
          <w:szCs w:val="24"/>
        </w:rPr>
        <w:t>s</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é</w:t>
      </w:r>
      <w:r>
        <w:rPr>
          <w:rFonts w:ascii="Arial" w:hAnsi="Arial" w:cs="Arial"/>
          <w:spacing w:val="-1"/>
          <w:sz w:val="24"/>
          <w:szCs w:val="24"/>
        </w:rPr>
        <w:t>c</w:t>
      </w:r>
      <w:r>
        <w:rPr>
          <w:rFonts w:ascii="Arial" w:hAnsi="Arial" w:cs="Arial"/>
          <w:sz w:val="24"/>
          <w:szCs w:val="24"/>
        </w:rPr>
        <w:t>onomé</w:t>
      </w:r>
      <w:r>
        <w:rPr>
          <w:rFonts w:ascii="Arial" w:hAnsi="Arial" w:cs="Arial"/>
          <w:spacing w:val="3"/>
          <w:sz w:val="24"/>
          <w:szCs w:val="24"/>
        </w:rPr>
        <w:t>t</w:t>
      </w:r>
      <w:r>
        <w:rPr>
          <w:rFonts w:ascii="Arial" w:hAnsi="Arial" w:cs="Arial"/>
          <w:spacing w:val="2"/>
          <w:sz w:val="24"/>
          <w:szCs w:val="24"/>
        </w:rPr>
        <w:t>r</w:t>
      </w:r>
      <w:r>
        <w:rPr>
          <w:rFonts w:ascii="Arial" w:hAnsi="Arial" w:cs="Arial"/>
          <w:spacing w:val="1"/>
          <w:sz w:val="24"/>
          <w:szCs w:val="24"/>
        </w:rPr>
        <w:t>iq</w:t>
      </w:r>
      <w:r>
        <w:rPr>
          <w:rFonts w:ascii="Arial" w:hAnsi="Arial" w:cs="Arial"/>
          <w:sz w:val="24"/>
          <w:szCs w:val="24"/>
        </w:rPr>
        <w:t>ue menée</w:t>
      </w:r>
      <w:r>
        <w:rPr>
          <w:rFonts w:ascii="Arial" w:hAnsi="Arial" w:cs="Arial"/>
          <w:spacing w:val="3"/>
          <w:sz w:val="24"/>
          <w:szCs w:val="24"/>
        </w:rPr>
        <w:t xml:space="preserve"> </w:t>
      </w:r>
      <w:r>
        <w:rPr>
          <w:rFonts w:ascii="Arial" w:hAnsi="Arial" w:cs="Arial"/>
          <w:spacing w:val="-1"/>
          <w:sz w:val="24"/>
          <w:szCs w:val="24"/>
        </w:rPr>
        <w:t>p</w:t>
      </w:r>
      <w:r>
        <w:rPr>
          <w:rFonts w:ascii="Arial" w:hAnsi="Arial" w:cs="Arial"/>
          <w:sz w:val="24"/>
          <w:szCs w:val="24"/>
        </w:rPr>
        <w:t>our</w:t>
      </w:r>
      <w:r>
        <w:rPr>
          <w:rFonts w:ascii="Arial" w:hAnsi="Arial" w:cs="Arial"/>
          <w:spacing w:val="6"/>
          <w:sz w:val="24"/>
          <w:szCs w:val="24"/>
        </w:rPr>
        <w:t xml:space="preserve"> </w:t>
      </w:r>
      <w:r>
        <w:rPr>
          <w:rFonts w:ascii="Arial" w:hAnsi="Arial" w:cs="Arial"/>
          <w:sz w:val="24"/>
          <w:szCs w:val="24"/>
        </w:rPr>
        <w:t>me</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r</w:t>
      </w:r>
      <w:r>
        <w:rPr>
          <w:rFonts w:ascii="Arial" w:hAnsi="Arial" w:cs="Arial"/>
          <w:spacing w:val="2"/>
          <w:sz w:val="24"/>
          <w:szCs w:val="24"/>
        </w:rPr>
        <w:t>e</w:t>
      </w:r>
      <w:r>
        <w:rPr>
          <w:rFonts w:ascii="Arial" w:hAnsi="Arial" w:cs="Arial"/>
          <w:sz w:val="24"/>
          <w:szCs w:val="24"/>
        </w:rPr>
        <w:t>r</w:t>
      </w:r>
      <w:r>
        <w:rPr>
          <w:rFonts w:ascii="Arial" w:hAnsi="Arial" w:cs="Arial"/>
          <w:spacing w:val="4"/>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des déterminants de la compétitivité à l’international 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ot</w:t>
      </w:r>
      <w:r>
        <w:rPr>
          <w:rFonts w:ascii="Arial" w:hAnsi="Arial" w:cs="Arial"/>
          <w:spacing w:val="2"/>
          <w:sz w:val="24"/>
          <w:szCs w:val="24"/>
        </w:rPr>
        <w:t>o</w:t>
      </w:r>
      <w:r>
        <w:rPr>
          <w:rFonts w:ascii="Arial" w:hAnsi="Arial" w:cs="Arial"/>
          <w:sz w:val="24"/>
          <w:szCs w:val="24"/>
        </w:rPr>
        <w:t>n a permis de ressortir</w:t>
      </w:r>
      <w:r>
        <w:rPr>
          <w:rFonts w:ascii="Arial" w:hAnsi="Arial" w:cs="Arial"/>
          <w:spacing w:val="11"/>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eu</w:t>
      </w:r>
      <w:r>
        <w:rPr>
          <w:rFonts w:ascii="Arial" w:hAnsi="Arial" w:cs="Arial"/>
          <w:spacing w:val="-1"/>
          <w:sz w:val="24"/>
          <w:szCs w:val="24"/>
        </w:rPr>
        <w:t>r</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va</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pacing w:val="1"/>
          <w:sz w:val="24"/>
          <w:szCs w:val="24"/>
        </w:rPr>
        <w:t>bl</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s</w:t>
      </w:r>
      <w:r>
        <w:rPr>
          <w:rFonts w:ascii="Arial" w:hAnsi="Arial" w:cs="Arial"/>
          <w:sz w:val="24"/>
          <w:szCs w:val="24"/>
        </w:rPr>
        <w:t xml:space="preserve">ont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ées</w:t>
      </w:r>
      <w:r>
        <w:rPr>
          <w:rFonts w:ascii="Arial" w:hAnsi="Arial" w:cs="Arial"/>
          <w:spacing w:val="4"/>
          <w:sz w:val="24"/>
          <w:szCs w:val="24"/>
        </w:rPr>
        <w:t xml:space="preserve"> </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iq</w:t>
      </w:r>
      <w:r>
        <w:rPr>
          <w:rFonts w:ascii="Arial" w:hAnsi="Arial" w:cs="Arial"/>
          <w:sz w:val="24"/>
          <w:szCs w:val="24"/>
        </w:rPr>
        <w:t>u</w:t>
      </w:r>
      <w:r>
        <w:rPr>
          <w:rFonts w:ascii="Arial" w:hAnsi="Arial" w:cs="Arial"/>
          <w:spacing w:val="-2"/>
          <w:sz w:val="24"/>
          <w:szCs w:val="24"/>
        </w:rPr>
        <w:t>e</w:t>
      </w:r>
      <w:r>
        <w:rPr>
          <w:rFonts w:ascii="Arial" w:hAnsi="Arial" w:cs="Arial"/>
          <w:sz w:val="24"/>
          <w:szCs w:val="24"/>
        </w:rPr>
        <w:t xml:space="preserve">ment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0"/>
          <w:sz w:val="24"/>
          <w:szCs w:val="24"/>
        </w:rPr>
        <w:t xml:space="preserve"> </w:t>
      </w:r>
      <w:r>
        <w:rPr>
          <w:rFonts w:ascii="Arial" w:hAnsi="Arial" w:cs="Arial"/>
          <w:spacing w:val="-1"/>
          <w:sz w:val="24"/>
          <w:szCs w:val="24"/>
        </w:rPr>
        <w:t>c</w:t>
      </w:r>
      <w:r>
        <w:rPr>
          <w:rFonts w:ascii="Arial" w:hAnsi="Arial" w:cs="Arial"/>
          <w:sz w:val="24"/>
          <w:szCs w:val="24"/>
        </w:rPr>
        <w:t>ou</w:t>
      </w:r>
      <w:r>
        <w:rPr>
          <w:rFonts w:ascii="Arial" w:hAnsi="Arial" w:cs="Arial"/>
          <w:spacing w:val="-1"/>
          <w:sz w:val="24"/>
          <w:szCs w:val="24"/>
        </w:rPr>
        <w:t>r</w:t>
      </w:r>
      <w:r>
        <w:rPr>
          <w:rFonts w:ascii="Arial" w:hAnsi="Arial" w:cs="Arial"/>
          <w:sz w:val="24"/>
          <w:szCs w:val="24"/>
        </w:rPr>
        <w:t>s</w:t>
      </w:r>
      <w:r>
        <w:rPr>
          <w:rFonts w:ascii="Arial" w:hAnsi="Arial" w:cs="Arial"/>
          <w:spacing w:val="12"/>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6"/>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9"/>
          <w:sz w:val="24"/>
          <w:szCs w:val="24"/>
        </w:rPr>
        <w:t xml:space="preserve"> </w:t>
      </w:r>
      <w:r>
        <w:rPr>
          <w:rFonts w:ascii="Arial" w:hAnsi="Arial" w:cs="Arial"/>
          <w:sz w:val="24"/>
          <w:szCs w:val="24"/>
        </w:rPr>
        <w:t xml:space="preserve">un </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teur</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éte</w:t>
      </w:r>
      <w:r>
        <w:rPr>
          <w:rFonts w:ascii="Arial" w:hAnsi="Arial" w:cs="Arial"/>
          <w:spacing w:val="-1"/>
          <w:sz w:val="24"/>
          <w:szCs w:val="24"/>
        </w:rPr>
        <w:t>r</w:t>
      </w:r>
      <w:r>
        <w:rPr>
          <w:rFonts w:ascii="Arial" w:hAnsi="Arial" w:cs="Arial"/>
          <w:sz w:val="24"/>
          <w:szCs w:val="24"/>
        </w:rPr>
        <w:t>m</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a</w:t>
      </w:r>
      <w:r>
        <w:rPr>
          <w:rFonts w:ascii="Arial" w:hAnsi="Arial" w:cs="Arial"/>
          <w:sz w:val="24"/>
          <w:szCs w:val="24"/>
        </w:rPr>
        <w:t>nt</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our</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v</w:t>
      </w:r>
      <w:r>
        <w:rPr>
          <w:rFonts w:ascii="Arial" w:hAnsi="Arial" w:cs="Arial"/>
          <w:spacing w:val="1"/>
          <w:sz w:val="24"/>
          <w:szCs w:val="24"/>
        </w:rPr>
        <w:t>i</w:t>
      </w:r>
      <w:r>
        <w:rPr>
          <w:rFonts w:ascii="Arial" w:hAnsi="Arial" w:cs="Arial"/>
          <w:sz w:val="24"/>
          <w:szCs w:val="24"/>
        </w:rPr>
        <w:t>té</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1"/>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toute</w:t>
      </w:r>
      <w:r>
        <w:rPr>
          <w:rFonts w:ascii="Arial" w:hAnsi="Arial" w:cs="Arial"/>
          <w:spacing w:val="-1"/>
          <w:sz w:val="24"/>
          <w:szCs w:val="24"/>
        </w:rPr>
        <w:t xml:space="preserve"> </w:t>
      </w:r>
      <w:r>
        <w:rPr>
          <w:rFonts w:ascii="Arial" w:hAnsi="Arial" w:cs="Arial"/>
          <w:sz w:val="24"/>
          <w:szCs w:val="24"/>
        </w:rPr>
        <w:t>te</w:t>
      </w:r>
      <w:r>
        <w:rPr>
          <w:rFonts w:ascii="Arial" w:hAnsi="Arial" w:cs="Arial"/>
          <w:spacing w:val="2"/>
          <w:sz w:val="24"/>
          <w:szCs w:val="24"/>
        </w:rPr>
        <w:t>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b</w:t>
      </w:r>
      <w:r>
        <w:rPr>
          <w:rFonts w:ascii="Arial" w:hAnsi="Arial" w:cs="Arial"/>
          <w:spacing w:val="-1"/>
          <w:sz w:val="24"/>
          <w:szCs w:val="24"/>
        </w:rPr>
        <w:t>a</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e à</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p</w:t>
      </w:r>
      <w:r>
        <w:rPr>
          <w:rFonts w:ascii="Arial" w:hAnsi="Arial" w:cs="Arial"/>
          <w:spacing w:val="2"/>
          <w:sz w:val="24"/>
          <w:szCs w:val="24"/>
        </w:rPr>
        <w:t>e</w:t>
      </w:r>
      <w:r>
        <w:rPr>
          <w:rFonts w:ascii="Arial" w:hAnsi="Arial" w:cs="Arial"/>
          <w:spacing w:val="-1"/>
          <w:sz w:val="24"/>
          <w:szCs w:val="24"/>
        </w:rPr>
        <w:t>rc</w:t>
      </w:r>
      <w:r>
        <w:rPr>
          <w:rFonts w:ascii="Arial" w:hAnsi="Arial" w:cs="Arial"/>
          <w:spacing w:val="2"/>
          <w:sz w:val="24"/>
          <w:szCs w:val="24"/>
        </w:rPr>
        <w:t>u</w:t>
      </w:r>
      <w:r>
        <w:rPr>
          <w:rFonts w:ascii="Arial" w:hAnsi="Arial" w:cs="Arial"/>
          <w:spacing w:val="-1"/>
          <w:sz w:val="24"/>
          <w:szCs w:val="24"/>
        </w:rPr>
        <w:t>ss</w:t>
      </w:r>
      <w:r>
        <w:rPr>
          <w:rFonts w:ascii="Arial" w:hAnsi="Arial" w:cs="Arial"/>
          <w:spacing w:val="1"/>
          <w:sz w:val="24"/>
          <w:szCs w:val="24"/>
        </w:rPr>
        <w:t>i</w:t>
      </w:r>
      <w:r>
        <w:rPr>
          <w:rFonts w:ascii="Arial" w:hAnsi="Arial" w:cs="Arial"/>
          <w:sz w:val="24"/>
          <w:szCs w:val="24"/>
        </w:rPr>
        <w:t xml:space="preserve">ons </w:t>
      </w:r>
      <w:r>
        <w:rPr>
          <w:rFonts w:ascii="Arial" w:hAnsi="Arial" w:cs="Arial"/>
          <w:spacing w:val="2"/>
          <w:sz w:val="24"/>
          <w:szCs w:val="24"/>
        </w:rPr>
        <w:t>n</w:t>
      </w:r>
      <w:r>
        <w:rPr>
          <w:rFonts w:ascii="Arial" w:hAnsi="Arial" w:cs="Arial"/>
          <w:sz w:val="24"/>
          <w:szCs w:val="24"/>
        </w:rPr>
        <w:t>é</w:t>
      </w:r>
      <w:r>
        <w:rPr>
          <w:rFonts w:ascii="Arial" w:hAnsi="Arial" w:cs="Arial"/>
          <w:spacing w:val="1"/>
          <w:sz w:val="24"/>
          <w:szCs w:val="24"/>
        </w:rPr>
        <w:t>ga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v</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4"/>
          <w:sz w:val="24"/>
          <w:szCs w:val="24"/>
        </w:rPr>
        <w:t xml:space="preserve"> </w:t>
      </w:r>
      <w:r>
        <w:rPr>
          <w:rFonts w:ascii="Arial" w:hAnsi="Arial" w:cs="Arial"/>
          <w:sz w:val="24"/>
          <w:szCs w:val="24"/>
        </w:rPr>
        <w:t>et</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c</w:t>
      </w:r>
      <w:r>
        <w:rPr>
          <w:rFonts w:ascii="Arial" w:hAnsi="Arial" w:cs="Arial"/>
          <w:sz w:val="24"/>
          <w:szCs w:val="24"/>
        </w:rPr>
        <w:t>h</w:t>
      </w:r>
      <w:r>
        <w:rPr>
          <w:rFonts w:ascii="Arial" w:hAnsi="Arial" w:cs="Arial"/>
          <w:spacing w:val="2"/>
          <w:sz w:val="24"/>
          <w:szCs w:val="24"/>
        </w:rPr>
        <w:t>e</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x</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ag</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f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w:t>
      </w:r>
      <w:r>
        <w:rPr>
          <w:rFonts w:ascii="Arial" w:hAnsi="Arial" w:cs="Arial"/>
          <w:spacing w:val="5"/>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2"/>
          <w:sz w:val="24"/>
          <w:szCs w:val="24"/>
        </w:rPr>
        <w:t>é</w:t>
      </w:r>
      <w:r>
        <w:rPr>
          <w:rFonts w:ascii="Arial" w:hAnsi="Arial" w:cs="Arial"/>
          <w:spacing w:val="-1"/>
          <w:sz w:val="24"/>
          <w:szCs w:val="24"/>
        </w:rPr>
        <w:t>s</w:t>
      </w:r>
      <w:r>
        <w:rPr>
          <w:rFonts w:ascii="Arial" w:hAnsi="Arial" w:cs="Arial"/>
          <w:sz w:val="24"/>
          <w:szCs w:val="24"/>
        </w:rPr>
        <w:t>ente</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3"/>
          <w:sz w:val="24"/>
          <w:szCs w:val="24"/>
        </w:rPr>
        <w:t xml:space="preserve"> </w:t>
      </w:r>
      <w:r>
        <w:rPr>
          <w:rFonts w:ascii="Arial" w:hAnsi="Arial" w:cs="Arial"/>
          <w:sz w:val="24"/>
          <w:szCs w:val="24"/>
        </w:rPr>
        <w:t>une</w:t>
      </w:r>
      <w:r>
        <w:rPr>
          <w:rFonts w:ascii="Arial" w:hAnsi="Arial" w:cs="Arial"/>
          <w:spacing w:val="9"/>
          <w:sz w:val="24"/>
          <w:szCs w:val="24"/>
        </w:rPr>
        <w:t xml:space="preserve"> </w:t>
      </w:r>
      <w:r>
        <w:rPr>
          <w:rFonts w:ascii="Arial" w:hAnsi="Arial" w:cs="Arial"/>
          <w:spacing w:val="1"/>
          <w:sz w:val="24"/>
          <w:szCs w:val="24"/>
        </w:rPr>
        <w:t>va</w:t>
      </w:r>
      <w:r>
        <w:rPr>
          <w:rFonts w:ascii="Arial" w:hAnsi="Arial" w:cs="Arial"/>
          <w:spacing w:val="-1"/>
          <w:sz w:val="24"/>
          <w:szCs w:val="24"/>
        </w:rPr>
        <w:t>r</w:t>
      </w:r>
      <w:r>
        <w:rPr>
          <w:rFonts w:ascii="Arial" w:hAnsi="Arial" w:cs="Arial"/>
          <w:spacing w:val="1"/>
          <w:sz w:val="24"/>
          <w:szCs w:val="24"/>
        </w:rPr>
        <w:t>iabl</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i</w:t>
      </w:r>
      <w:r>
        <w:rPr>
          <w:rFonts w:ascii="Arial" w:hAnsi="Arial" w:cs="Arial"/>
          <w:sz w:val="24"/>
          <w:szCs w:val="24"/>
        </w:rPr>
        <w:t>nente</w:t>
      </w:r>
      <w:r>
        <w:rPr>
          <w:rFonts w:ascii="Arial" w:hAnsi="Arial" w:cs="Arial"/>
          <w:spacing w:val="4"/>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pacing w:val="1"/>
          <w:sz w:val="24"/>
          <w:szCs w:val="24"/>
        </w:rPr>
        <w:t>li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0"/>
          <w:sz w:val="24"/>
          <w:szCs w:val="24"/>
        </w:rPr>
        <w:t xml:space="preserve"> </w:t>
      </w:r>
      <w:r>
        <w:rPr>
          <w:rFonts w:ascii="Arial" w:hAnsi="Arial" w:cs="Arial"/>
          <w:spacing w:val="-1"/>
          <w:sz w:val="24"/>
          <w:szCs w:val="24"/>
        </w:rPr>
        <w:t>compétitivité des filières cotonnières,</w:t>
      </w:r>
      <w:r>
        <w:rPr>
          <w:rFonts w:ascii="Arial" w:hAnsi="Arial" w:cs="Arial"/>
          <w:sz w:val="24"/>
          <w:szCs w:val="24"/>
        </w:rPr>
        <w:t xml:space="preserve"> en dehors des problèmes structurels de la RCA. A l’instar de bon nombre de pays d’Afrique, l’étude mont</w:t>
      </w:r>
      <w:r>
        <w:rPr>
          <w:rFonts w:ascii="Arial" w:hAnsi="Arial" w:cs="Arial"/>
          <w:spacing w:val="-1"/>
          <w:sz w:val="24"/>
          <w:szCs w:val="24"/>
        </w:rPr>
        <w:t>r</w:t>
      </w:r>
      <w:r>
        <w:rPr>
          <w:rFonts w:ascii="Arial" w:hAnsi="Arial" w:cs="Arial"/>
          <w:sz w:val="24"/>
          <w:szCs w:val="24"/>
        </w:rPr>
        <w:t>e</w:t>
      </w:r>
      <w:r>
        <w:rPr>
          <w:rFonts w:ascii="Arial" w:hAnsi="Arial" w:cs="Arial"/>
          <w:spacing w:val="37"/>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40"/>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37"/>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34"/>
          <w:sz w:val="24"/>
          <w:szCs w:val="24"/>
        </w:rPr>
        <w:t xml:space="preserve"> </w:t>
      </w:r>
      <w:r>
        <w:rPr>
          <w:rFonts w:ascii="Arial" w:hAnsi="Arial" w:cs="Arial"/>
          <w:spacing w:val="1"/>
          <w:sz w:val="24"/>
          <w:szCs w:val="24"/>
        </w:rPr>
        <w:t>a</w:t>
      </w:r>
      <w:r>
        <w:rPr>
          <w:rFonts w:ascii="Arial" w:hAnsi="Arial" w:cs="Arial"/>
          <w:spacing w:val="-1"/>
          <w:sz w:val="24"/>
          <w:szCs w:val="24"/>
        </w:rPr>
        <w:t>fr</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ai</w:t>
      </w:r>
      <w:r>
        <w:rPr>
          <w:rFonts w:ascii="Arial" w:hAnsi="Arial" w:cs="Arial"/>
          <w:sz w:val="24"/>
          <w:szCs w:val="24"/>
        </w:rPr>
        <w:t>ns</w:t>
      </w:r>
      <w:r>
        <w:rPr>
          <w:rFonts w:ascii="Arial" w:hAnsi="Arial" w:cs="Arial"/>
          <w:spacing w:val="3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9"/>
          <w:sz w:val="24"/>
          <w:szCs w:val="24"/>
        </w:rPr>
        <w:t xml:space="preserve"> </w:t>
      </w:r>
      <w:r>
        <w:rPr>
          <w:rFonts w:ascii="Arial" w:hAnsi="Arial" w:cs="Arial"/>
          <w:sz w:val="24"/>
          <w:szCs w:val="24"/>
        </w:rPr>
        <w:t>zone</w:t>
      </w:r>
      <w:r>
        <w:rPr>
          <w:rFonts w:ascii="Arial" w:hAnsi="Arial" w:cs="Arial"/>
          <w:spacing w:val="37"/>
          <w:sz w:val="24"/>
          <w:szCs w:val="24"/>
        </w:rPr>
        <w:t xml:space="preserve"> </w:t>
      </w:r>
      <w:r>
        <w:rPr>
          <w:rFonts w:ascii="Arial" w:hAnsi="Arial" w:cs="Arial"/>
          <w:spacing w:val="-1"/>
          <w:sz w:val="24"/>
          <w:szCs w:val="24"/>
        </w:rPr>
        <w:t>fr</w:t>
      </w:r>
      <w:r>
        <w:rPr>
          <w:rFonts w:ascii="Arial" w:hAnsi="Arial" w:cs="Arial"/>
          <w:spacing w:val="1"/>
          <w:sz w:val="24"/>
          <w:szCs w:val="24"/>
        </w:rPr>
        <w:t>a</w:t>
      </w:r>
      <w:r>
        <w:rPr>
          <w:rFonts w:ascii="Arial" w:hAnsi="Arial" w:cs="Arial"/>
          <w:sz w:val="24"/>
          <w:szCs w:val="24"/>
        </w:rPr>
        <w:t>nc</w:t>
      </w:r>
      <w:r>
        <w:rPr>
          <w:rFonts w:ascii="Arial" w:hAnsi="Arial" w:cs="Arial"/>
          <w:spacing w:val="39"/>
          <w:sz w:val="24"/>
          <w:szCs w:val="24"/>
        </w:rPr>
        <w:t xml:space="preserve"> </w:t>
      </w:r>
      <w:r>
        <w:rPr>
          <w:rFonts w:ascii="Arial" w:hAnsi="Arial" w:cs="Arial"/>
          <w:sz w:val="24"/>
          <w:szCs w:val="24"/>
        </w:rPr>
        <w:t>ont</w:t>
      </w:r>
      <w:r>
        <w:rPr>
          <w:rFonts w:ascii="Arial" w:hAnsi="Arial" w:cs="Arial"/>
          <w:spacing w:val="39"/>
          <w:sz w:val="24"/>
          <w:szCs w:val="24"/>
        </w:rPr>
        <w:t xml:space="preserve"> </w:t>
      </w:r>
      <w:r>
        <w:rPr>
          <w:rFonts w:ascii="Arial" w:hAnsi="Arial" w:cs="Arial"/>
          <w:sz w:val="24"/>
          <w:szCs w:val="24"/>
        </w:rPr>
        <w:t xml:space="preserve">un </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w:t>
      </w:r>
      <w:r>
        <w:rPr>
          <w:rFonts w:ascii="Arial" w:hAnsi="Arial" w:cs="Arial"/>
          <w:spacing w:val="1"/>
          <w:sz w:val="24"/>
          <w:szCs w:val="24"/>
        </w:rPr>
        <w:t>g</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f </w:t>
      </w:r>
      <w:r>
        <w:rPr>
          <w:rFonts w:ascii="Arial" w:hAnsi="Arial" w:cs="Arial"/>
          <w:spacing w:val="-1"/>
          <w:sz w:val="24"/>
          <w:szCs w:val="24"/>
        </w:rPr>
        <w:t>r</w:t>
      </w:r>
      <w:r>
        <w:rPr>
          <w:rFonts w:ascii="Arial" w:hAnsi="Arial" w:cs="Arial"/>
          <w:sz w:val="24"/>
          <w:szCs w:val="24"/>
        </w:rPr>
        <w:t>éel</w:t>
      </w:r>
      <w:r>
        <w:rPr>
          <w:rFonts w:ascii="Arial" w:hAnsi="Arial" w:cs="Arial"/>
          <w:spacing w:val="12"/>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9"/>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 xml:space="preserve">n du coton. </w:t>
      </w:r>
      <w:r>
        <w:rPr>
          <w:rFonts w:ascii="Arial" w:hAnsi="Arial" w:cs="Arial"/>
          <w:spacing w:val="2"/>
          <w:sz w:val="24"/>
          <w:szCs w:val="24"/>
        </w:rPr>
        <w:t xml:space="preserve"> </w:t>
      </w:r>
    </w:p>
    <w:p w14:paraId="25C3BF56" w14:textId="77777777" w:rsidR="008862C7" w:rsidRDefault="008862C7" w:rsidP="008862C7">
      <w:pPr>
        <w:widowControl w:val="0"/>
        <w:autoSpaceDE w:val="0"/>
        <w:autoSpaceDN w:val="0"/>
        <w:adjustRightInd w:val="0"/>
        <w:spacing w:before="120" w:after="0" w:line="360" w:lineRule="auto"/>
        <w:ind w:right="66"/>
        <w:jc w:val="both"/>
        <w:rPr>
          <w:rFonts w:ascii="Arial" w:hAnsi="Arial" w:cs="Arial"/>
          <w:sz w:val="24"/>
          <w:szCs w:val="24"/>
        </w:rPr>
      </w:pP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w:t>
      </w:r>
      <w:r>
        <w:rPr>
          <w:rFonts w:ascii="Arial" w:hAnsi="Arial" w:cs="Arial"/>
          <w:spacing w:val="3"/>
          <w:sz w:val="24"/>
          <w:szCs w:val="24"/>
        </w:rPr>
        <w:t xml:space="preserve"> </w:t>
      </w:r>
      <w:r>
        <w:rPr>
          <w:rFonts w:ascii="Arial" w:hAnsi="Arial" w:cs="Arial"/>
          <w:sz w:val="24"/>
          <w:szCs w:val="24"/>
        </w:rPr>
        <w:t>à</w:t>
      </w:r>
      <w:r>
        <w:rPr>
          <w:rFonts w:ascii="Arial" w:hAnsi="Arial" w:cs="Arial"/>
          <w:spacing w:val="10"/>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s</w:t>
      </w:r>
      <w:r>
        <w:rPr>
          <w:rFonts w:ascii="Arial" w:hAnsi="Arial" w:cs="Arial"/>
          <w:sz w:val="24"/>
          <w:szCs w:val="24"/>
        </w:rPr>
        <w:t>ont</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o</w:t>
      </w:r>
      <w:r>
        <w:rPr>
          <w:rFonts w:ascii="Arial" w:hAnsi="Arial" w:cs="Arial"/>
          <w:spacing w:val="2"/>
          <w:sz w:val="24"/>
          <w:szCs w:val="24"/>
        </w:rPr>
        <w:t>n</w:t>
      </w:r>
      <w:r>
        <w:rPr>
          <w:rFonts w:ascii="Arial" w:hAnsi="Arial" w:cs="Arial"/>
          <w:spacing w:val="-1"/>
          <w:sz w:val="24"/>
          <w:szCs w:val="24"/>
        </w:rPr>
        <w:t>s</w:t>
      </w:r>
      <w:r>
        <w:rPr>
          <w:rFonts w:ascii="Arial" w:hAnsi="Arial" w:cs="Arial"/>
          <w:spacing w:val="1"/>
          <w:sz w:val="24"/>
          <w:szCs w:val="24"/>
        </w:rPr>
        <w:t>i</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r</w:t>
      </w:r>
      <w:r>
        <w:rPr>
          <w:rFonts w:ascii="Arial" w:hAnsi="Arial" w:cs="Arial"/>
          <w:sz w:val="24"/>
          <w:szCs w:val="24"/>
        </w:rPr>
        <w:t>ées</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omme</w:t>
      </w:r>
      <w:r>
        <w:rPr>
          <w:rFonts w:ascii="Arial" w:hAnsi="Arial" w:cs="Arial"/>
          <w:spacing w:val="3"/>
          <w:sz w:val="24"/>
          <w:szCs w:val="24"/>
        </w:rPr>
        <w:t xml:space="preserve">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iq</w:t>
      </w:r>
      <w:r>
        <w:rPr>
          <w:rFonts w:ascii="Arial" w:hAnsi="Arial" w:cs="Arial"/>
          <w:sz w:val="24"/>
          <w:szCs w:val="24"/>
        </w:rPr>
        <w:t xml:space="preserve">ues </w:t>
      </w:r>
      <w:r>
        <w:rPr>
          <w:rFonts w:ascii="Arial" w:hAnsi="Arial" w:cs="Arial"/>
          <w:spacing w:val="-1"/>
          <w:sz w:val="24"/>
          <w:szCs w:val="24"/>
        </w:rPr>
        <w:t>d</w:t>
      </w:r>
      <w:r>
        <w:rPr>
          <w:rFonts w:ascii="Arial" w:hAnsi="Arial" w:cs="Arial"/>
          <w:sz w:val="24"/>
          <w:szCs w:val="24"/>
        </w:rPr>
        <w:t>um</w:t>
      </w:r>
      <w:r>
        <w:rPr>
          <w:rFonts w:ascii="Arial" w:hAnsi="Arial" w:cs="Arial"/>
          <w:spacing w:val="-1"/>
          <w:sz w:val="24"/>
          <w:szCs w:val="24"/>
        </w:rPr>
        <w:t>p</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g</w:t>
      </w:r>
      <w:r>
        <w:rPr>
          <w:rFonts w:ascii="Arial" w:hAnsi="Arial" w:cs="Arial"/>
          <w:sz w:val="24"/>
          <w:szCs w:val="24"/>
        </w:rPr>
        <w:t xml:space="preserve">s </w:t>
      </w:r>
      <w:r>
        <w:rPr>
          <w:rFonts w:ascii="Arial" w:hAnsi="Arial" w:cs="Arial"/>
          <w:spacing w:val="-1"/>
          <w:sz w:val="24"/>
          <w:szCs w:val="24"/>
        </w:rPr>
        <w:t>c</w:t>
      </w:r>
      <w:r>
        <w:rPr>
          <w:rFonts w:ascii="Arial" w:hAnsi="Arial" w:cs="Arial"/>
          <w:sz w:val="24"/>
          <w:szCs w:val="24"/>
        </w:rPr>
        <w:t>ont</w:t>
      </w:r>
      <w:r>
        <w:rPr>
          <w:rFonts w:ascii="Arial" w:hAnsi="Arial" w:cs="Arial"/>
          <w:spacing w:val="-1"/>
          <w:sz w:val="24"/>
          <w:szCs w:val="24"/>
        </w:rPr>
        <w:t>r</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ux</w:t>
      </w:r>
      <w:r>
        <w:rPr>
          <w:rFonts w:ascii="Arial" w:hAnsi="Arial" w:cs="Arial"/>
          <w:spacing w:val="5"/>
          <w:sz w:val="24"/>
          <w:szCs w:val="24"/>
        </w:rPr>
        <w:t xml:space="preserve"> </w:t>
      </w:r>
      <w:r>
        <w:rPr>
          <w:rFonts w:ascii="Arial" w:hAnsi="Arial" w:cs="Arial"/>
          <w:spacing w:val="-1"/>
          <w:sz w:val="24"/>
          <w:szCs w:val="24"/>
        </w:rPr>
        <w:lastRenderedPageBreak/>
        <w:t>r</w:t>
      </w:r>
      <w:r>
        <w:rPr>
          <w:rFonts w:ascii="Arial" w:hAnsi="Arial" w:cs="Arial"/>
          <w:sz w:val="24"/>
          <w:szCs w:val="24"/>
        </w:rPr>
        <w:t>è</w:t>
      </w:r>
      <w:r>
        <w:rPr>
          <w:rFonts w:ascii="Arial" w:hAnsi="Arial" w:cs="Arial"/>
          <w:spacing w:val="1"/>
          <w:sz w:val="24"/>
          <w:szCs w:val="24"/>
        </w:rPr>
        <w:t>gl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O</w:t>
      </w:r>
      <w:r>
        <w:rPr>
          <w:rFonts w:ascii="Arial" w:hAnsi="Arial" w:cs="Arial"/>
          <w:spacing w:val="-1"/>
          <w:sz w:val="24"/>
          <w:szCs w:val="24"/>
        </w:rPr>
        <w:t>M</w:t>
      </w:r>
      <w:r>
        <w:rPr>
          <w:rFonts w:ascii="Arial" w:hAnsi="Arial" w:cs="Arial"/>
          <w:sz w:val="24"/>
          <w:szCs w:val="24"/>
        </w:rPr>
        <w:t>C.</w:t>
      </w:r>
      <w:r>
        <w:rPr>
          <w:rFonts w:ascii="Arial" w:hAnsi="Arial" w:cs="Arial"/>
          <w:spacing w:val="3"/>
          <w:sz w:val="24"/>
          <w:szCs w:val="24"/>
        </w:rPr>
        <w:t xml:space="preserve"> </w:t>
      </w:r>
      <w:r>
        <w:rPr>
          <w:rFonts w:ascii="Arial" w:hAnsi="Arial" w:cs="Arial"/>
          <w:sz w:val="24"/>
          <w:szCs w:val="24"/>
        </w:rPr>
        <w:t>Cette</w:t>
      </w:r>
      <w:r>
        <w:rPr>
          <w:rFonts w:ascii="Arial" w:hAnsi="Arial" w:cs="Arial"/>
          <w:spacing w:val="1"/>
          <w:sz w:val="24"/>
          <w:szCs w:val="24"/>
        </w:rPr>
        <w:t xml:space="preserve"> va</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a</w:t>
      </w:r>
      <w:r>
        <w:rPr>
          <w:rFonts w:ascii="Arial" w:hAnsi="Arial" w:cs="Arial"/>
          <w:spacing w:val="1"/>
          <w:sz w:val="24"/>
          <w:szCs w:val="24"/>
        </w:rPr>
        <w:t>bl</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t</w:t>
      </w:r>
      <w:r>
        <w:rPr>
          <w:rFonts w:ascii="Arial" w:hAnsi="Arial" w:cs="Arial"/>
          <w:spacing w:val="-1"/>
          <w:sz w:val="24"/>
          <w:szCs w:val="24"/>
        </w:rPr>
        <w:t>r</w:t>
      </w:r>
      <w:r>
        <w:rPr>
          <w:rFonts w:ascii="Arial" w:hAnsi="Arial" w:cs="Arial"/>
          <w:spacing w:val="-2"/>
          <w:sz w:val="24"/>
          <w:szCs w:val="24"/>
        </w:rPr>
        <w:t>è</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iv</w:t>
      </w:r>
      <w:r>
        <w:rPr>
          <w:rFonts w:ascii="Arial" w:hAnsi="Arial" w:cs="Arial"/>
          <w:sz w:val="24"/>
          <w:szCs w:val="24"/>
        </w:rPr>
        <w:t xml:space="preserve">e et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w:t>
      </w:r>
      <w:r>
        <w:rPr>
          <w:rFonts w:ascii="Arial" w:hAnsi="Arial" w:cs="Arial"/>
          <w:spacing w:val="5"/>
          <w:sz w:val="24"/>
          <w:szCs w:val="24"/>
        </w:rPr>
        <w:t xml:space="preserve"> </w:t>
      </w:r>
      <w:r>
        <w:rPr>
          <w:rFonts w:ascii="Arial" w:hAnsi="Arial" w:cs="Arial"/>
          <w:sz w:val="24"/>
          <w:szCs w:val="24"/>
        </w:rPr>
        <w:t>né</w:t>
      </w:r>
      <w:r>
        <w:rPr>
          <w:rFonts w:ascii="Arial" w:hAnsi="Arial" w:cs="Arial"/>
          <w:spacing w:val="1"/>
          <w:sz w:val="24"/>
          <w:szCs w:val="24"/>
        </w:rPr>
        <w:t>ga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v</w:t>
      </w:r>
      <w:r>
        <w:rPr>
          <w:rFonts w:ascii="Arial" w:hAnsi="Arial" w:cs="Arial"/>
          <w:sz w:val="24"/>
          <w:szCs w:val="24"/>
        </w:rPr>
        <w:t>em</w:t>
      </w:r>
      <w:r>
        <w:rPr>
          <w:rFonts w:ascii="Arial" w:hAnsi="Arial" w:cs="Arial"/>
          <w:spacing w:val="-2"/>
          <w:sz w:val="24"/>
          <w:szCs w:val="24"/>
        </w:rPr>
        <w:t>e</w:t>
      </w:r>
      <w:r>
        <w:rPr>
          <w:rFonts w:ascii="Arial" w:hAnsi="Arial" w:cs="Arial"/>
          <w:sz w:val="24"/>
          <w:szCs w:val="24"/>
        </w:rPr>
        <w:t xml:space="preserve">nt </w:t>
      </w:r>
      <w:r>
        <w:rPr>
          <w:rFonts w:ascii="Arial" w:hAnsi="Arial" w:cs="Arial"/>
          <w:spacing w:val="1"/>
          <w:sz w:val="24"/>
          <w:szCs w:val="24"/>
        </w:rPr>
        <w:t>l</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n</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8"/>
          <w:sz w:val="24"/>
          <w:szCs w:val="24"/>
        </w:rPr>
        <w:t xml:space="preserve"> </w:t>
      </w:r>
      <w:r>
        <w:rPr>
          <w:rFonts w:ascii="Arial" w:hAnsi="Arial" w:cs="Arial"/>
          <w:sz w:val="24"/>
          <w:szCs w:val="24"/>
        </w:rPr>
        <w:t>e</w:t>
      </w:r>
      <w:r>
        <w:rPr>
          <w:rFonts w:ascii="Arial" w:hAnsi="Arial" w:cs="Arial"/>
          <w:spacing w:val="-2"/>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n</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8"/>
          <w:sz w:val="24"/>
          <w:szCs w:val="24"/>
        </w:rPr>
        <w:t xml:space="preserve"> </w:t>
      </w:r>
      <w:r>
        <w:rPr>
          <w:rFonts w:ascii="Arial" w:hAnsi="Arial" w:cs="Arial"/>
          <w:spacing w:val="-2"/>
          <w:sz w:val="24"/>
          <w:szCs w:val="24"/>
        </w:rPr>
        <w:t>é</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v</w:t>
      </w:r>
      <w:r>
        <w:rPr>
          <w:rFonts w:ascii="Arial" w:hAnsi="Arial" w:cs="Arial"/>
          <w:sz w:val="24"/>
          <w:szCs w:val="24"/>
        </w:rPr>
        <w:t>é</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w:t>
      </w:r>
      <w:r>
        <w:rPr>
          <w:rFonts w:ascii="Arial" w:hAnsi="Arial" w:cs="Arial"/>
          <w:spacing w:val="-6"/>
          <w:sz w:val="24"/>
          <w:szCs w:val="24"/>
        </w:rPr>
        <w:t xml:space="preserve"> </w:t>
      </w:r>
      <w:r>
        <w:rPr>
          <w:rFonts w:ascii="Arial" w:hAnsi="Arial" w:cs="Arial"/>
          <w:spacing w:val="-1"/>
          <w:sz w:val="24"/>
          <w:szCs w:val="24"/>
        </w:rPr>
        <w:t>f</w:t>
      </w:r>
      <w:r>
        <w:rPr>
          <w:rFonts w:ascii="Arial" w:hAnsi="Arial" w:cs="Arial"/>
          <w:spacing w:val="1"/>
          <w:sz w:val="24"/>
          <w:szCs w:val="24"/>
        </w:rPr>
        <w:t>ai</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b</w:t>
      </w:r>
      <w:r>
        <w:rPr>
          <w:rFonts w:ascii="Arial" w:hAnsi="Arial" w:cs="Arial"/>
          <w:spacing w:val="1"/>
          <w:sz w:val="24"/>
          <w:szCs w:val="24"/>
        </w:rPr>
        <w:t>ai</w:t>
      </w:r>
      <w:r>
        <w:rPr>
          <w:rFonts w:ascii="Arial" w:hAnsi="Arial" w:cs="Arial"/>
          <w:spacing w:val="-1"/>
          <w:sz w:val="24"/>
          <w:szCs w:val="24"/>
        </w:rPr>
        <w:t>s</w:t>
      </w:r>
      <w:r>
        <w:rPr>
          <w:rFonts w:ascii="Arial" w:hAnsi="Arial" w:cs="Arial"/>
          <w:spacing w:val="-3"/>
          <w:sz w:val="24"/>
          <w:szCs w:val="24"/>
        </w:rPr>
        <w:t>s</w:t>
      </w:r>
      <w:r>
        <w:rPr>
          <w:rFonts w:ascii="Arial" w:hAnsi="Arial" w:cs="Arial"/>
          <w:sz w:val="24"/>
          <w:szCs w:val="24"/>
        </w:rPr>
        <w:t>er</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1"/>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 xml:space="preserve">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w:t>
      </w:r>
      <w:r>
        <w:rPr>
          <w:rFonts w:ascii="Arial" w:hAnsi="Arial" w:cs="Arial"/>
          <w:spacing w:val="2"/>
          <w:sz w:val="24"/>
          <w:szCs w:val="24"/>
        </w:rPr>
        <w:t>c</w:t>
      </w:r>
      <w:r>
        <w:rPr>
          <w:rFonts w:ascii="Arial" w:hAnsi="Arial" w:cs="Arial"/>
          <w:sz w:val="24"/>
          <w:szCs w:val="24"/>
        </w:rPr>
        <w:t>ute</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tement</w:t>
      </w:r>
      <w:r>
        <w:rPr>
          <w:rFonts w:ascii="Arial" w:hAnsi="Arial" w:cs="Arial"/>
          <w:spacing w:val="-8"/>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c</w:t>
      </w:r>
      <w:r>
        <w:rPr>
          <w:rFonts w:ascii="Arial" w:hAnsi="Arial" w:cs="Arial"/>
          <w:sz w:val="24"/>
          <w:szCs w:val="24"/>
        </w:rPr>
        <w:t>ettes</w:t>
      </w:r>
      <w:r>
        <w:rPr>
          <w:rFonts w:ascii="Arial" w:hAnsi="Arial" w:cs="Arial"/>
          <w:spacing w:val="3"/>
          <w:sz w:val="24"/>
          <w:szCs w:val="24"/>
        </w:rPr>
        <w:t xml:space="preserve"> </w:t>
      </w:r>
      <w:r>
        <w:rPr>
          <w:rFonts w:ascii="Arial" w:hAnsi="Arial" w:cs="Arial"/>
          <w:sz w:val="24"/>
          <w:szCs w:val="24"/>
        </w:rPr>
        <w:t>à</w:t>
      </w:r>
      <w:r>
        <w:rPr>
          <w:rFonts w:ascii="Arial" w:hAnsi="Arial" w:cs="Arial"/>
          <w:spacing w:val="10"/>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 Ces</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l</w:t>
      </w:r>
      <w:r>
        <w:rPr>
          <w:rFonts w:ascii="Arial" w:hAnsi="Arial" w:cs="Arial"/>
          <w:sz w:val="24"/>
          <w:szCs w:val="24"/>
        </w:rPr>
        <w:t>t</w:t>
      </w:r>
      <w:r>
        <w:rPr>
          <w:rFonts w:ascii="Arial" w:hAnsi="Arial" w:cs="Arial"/>
          <w:spacing w:val="1"/>
          <w:sz w:val="24"/>
          <w:szCs w:val="24"/>
        </w:rPr>
        <w:t>a</w:t>
      </w:r>
      <w:r>
        <w:rPr>
          <w:rFonts w:ascii="Arial" w:hAnsi="Arial" w:cs="Arial"/>
          <w:sz w:val="24"/>
          <w:szCs w:val="24"/>
        </w:rPr>
        <w:t>ts</w:t>
      </w:r>
      <w:r>
        <w:rPr>
          <w:rFonts w:ascii="Arial" w:hAnsi="Arial" w:cs="Arial"/>
          <w:spacing w:val="5"/>
          <w:sz w:val="24"/>
          <w:szCs w:val="24"/>
        </w:rPr>
        <w:t xml:space="preserve"> </w:t>
      </w:r>
      <w:r>
        <w:rPr>
          <w:rFonts w:ascii="Arial" w:hAnsi="Arial" w:cs="Arial"/>
          <w:spacing w:val="-3"/>
          <w:sz w:val="24"/>
          <w:szCs w:val="24"/>
        </w:rPr>
        <w:t>c</w:t>
      </w:r>
      <w:r>
        <w:rPr>
          <w:rFonts w:ascii="Arial" w:hAnsi="Arial" w:cs="Arial"/>
          <w:sz w:val="24"/>
          <w:szCs w:val="24"/>
        </w:rPr>
        <w:t>o</w:t>
      </w:r>
      <w:r>
        <w:rPr>
          <w:rFonts w:ascii="Arial" w:hAnsi="Arial" w:cs="Arial"/>
          <w:spacing w:val="-1"/>
          <w:sz w:val="24"/>
          <w:szCs w:val="24"/>
        </w:rPr>
        <w:t>rr</w:t>
      </w:r>
      <w:r>
        <w:rPr>
          <w:rFonts w:ascii="Arial" w:hAnsi="Arial" w:cs="Arial"/>
          <w:sz w:val="24"/>
          <w:szCs w:val="24"/>
        </w:rPr>
        <w:t>o</w:t>
      </w:r>
      <w:r>
        <w:rPr>
          <w:rFonts w:ascii="Arial" w:hAnsi="Arial" w:cs="Arial"/>
          <w:spacing w:val="1"/>
          <w:sz w:val="24"/>
          <w:szCs w:val="24"/>
        </w:rPr>
        <w:t>b</w:t>
      </w:r>
      <w:r>
        <w:rPr>
          <w:rFonts w:ascii="Arial" w:hAnsi="Arial" w:cs="Arial"/>
          <w:sz w:val="24"/>
          <w:szCs w:val="24"/>
        </w:rPr>
        <w:t>o</w:t>
      </w:r>
      <w:r>
        <w:rPr>
          <w:rFonts w:ascii="Arial" w:hAnsi="Arial" w:cs="Arial"/>
          <w:spacing w:val="-1"/>
          <w:sz w:val="24"/>
          <w:szCs w:val="24"/>
        </w:rPr>
        <w:t>r</w:t>
      </w:r>
      <w:r>
        <w:rPr>
          <w:rFonts w:ascii="Arial" w:hAnsi="Arial" w:cs="Arial"/>
          <w:sz w:val="24"/>
          <w:szCs w:val="24"/>
        </w:rPr>
        <w:t>ent</w:t>
      </w:r>
      <w:r>
        <w:rPr>
          <w:rFonts w:ascii="Arial" w:hAnsi="Arial" w:cs="Arial"/>
          <w:spacing w:val="3"/>
          <w:sz w:val="24"/>
          <w:szCs w:val="24"/>
        </w:rPr>
        <w:t xml:space="preserve"> </w:t>
      </w:r>
      <w:r>
        <w:rPr>
          <w:rFonts w:ascii="Arial" w:hAnsi="Arial" w:cs="Arial"/>
          <w:spacing w:val="1"/>
          <w:sz w:val="24"/>
          <w:szCs w:val="24"/>
        </w:rPr>
        <w:t>av</w:t>
      </w:r>
      <w:r>
        <w:rPr>
          <w:rFonts w:ascii="Arial" w:hAnsi="Arial" w:cs="Arial"/>
          <w:sz w:val="24"/>
          <w:szCs w:val="24"/>
        </w:rPr>
        <w:t>ec</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z w:val="24"/>
          <w:szCs w:val="24"/>
        </w:rPr>
        <w:t>é</w:t>
      </w:r>
      <w:r>
        <w:rPr>
          <w:rFonts w:ascii="Arial" w:hAnsi="Arial" w:cs="Arial"/>
          <w:spacing w:val="-2"/>
          <w:sz w:val="24"/>
          <w:szCs w:val="24"/>
        </w:rPr>
        <w:t>t</w:t>
      </w:r>
      <w:r>
        <w:rPr>
          <w:rFonts w:ascii="Arial" w:hAnsi="Arial" w:cs="Arial"/>
          <w:sz w:val="24"/>
          <w:szCs w:val="24"/>
        </w:rPr>
        <w:t>u</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la</w:t>
      </w:r>
      <w:r>
        <w:rPr>
          <w:rFonts w:ascii="Arial" w:hAnsi="Arial" w:cs="Arial"/>
          <w:sz w:val="24"/>
          <w:szCs w:val="24"/>
        </w:rPr>
        <w:t>t</w:t>
      </w:r>
      <w:r>
        <w:rPr>
          <w:rFonts w:ascii="Arial" w:hAnsi="Arial" w:cs="Arial"/>
          <w:spacing w:val="1"/>
          <w:sz w:val="24"/>
          <w:szCs w:val="24"/>
        </w:rPr>
        <w:t>iv</w:t>
      </w:r>
      <w:r>
        <w:rPr>
          <w:rFonts w:ascii="Arial" w:hAnsi="Arial" w:cs="Arial"/>
          <w:sz w:val="24"/>
          <w:szCs w:val="24"/>
        </w:rPr>
        <w:t>es</w:t>
      </w:r>
      <w:r>
        <w:rPr>
          <w:rFonts w:ascii="Arial" w:hAnsi="Arial" w:cs="Arial"/>
          <w:spacing w:val="3"/>
          <w:sz w:val="24"/>
          <w:szCs w:val="24"/>
        </w:rPr>
        <w:t xml:space="preserve"> </w:t>
      </w:r>
      <w:r>
        <w:rPr>
          <w:rFonts w:ascii="Arial" w:hAnsi="Arial" w:cs="Arial"/>
          <w:sz w:val="24"/>
          <w:szCs w:val="24"/>
        </w:rPr>
        <w:t xml:space="preserve">à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 xml:space="preserve">t </w:t>
      </w:r>
      <w:r>
        <w:rPr>
          <w:rFonts w:ascii="Arial" w:hAnsi="Arial" w:cs="Arial"/>
          <w:spacing w:val="-1"/>
          <w:sz w:val="24"/>
          <w:szCs w:val="24"/>
        </w:rPr>
        <w:t>d</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s</w:t>
      </w:r>
      <w:r>
        <w:rPr>
          <w:rFonts w:ascii="Arial" w:hAnsi="Arial" w:cs="Arial"/>
          <w:sz w:val="24"/>
          <w:szCs w:val="24"/>
        </w:rPr>
        <w:t xml:space="preserve">ur </w:t>
      </w:r>
      <w:r>
        <w:rPr>
          <w:rFonts w:ascii="Arial" w:hAnsi="Arial" w:cs="Arial"/>
          <w:spacing w:val="1"/>
          <w:sz w:val="24"/>
          <w:szCs w:val="24"/>
        </w:rPr>
        <w:t>l</w:t>
      </w:r>
      <w:r>
        <w:rPr>
          <w:rFonts w:ascii="Arial" w:hAnsi="Arial" w:cs="Arial"/>
          <w:sz w:val="24"/>
          <w:szCs w:val="24"/>
        </w:rPr>
        <w:t>es 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 xml:space="preserve">oton </w:t>
      </w:r>
      <w:r>
        <w:rPr>
          <w:rFonts w:ascii="Arial" w:hAnsi="Arial" w:cs="Arial"/>
          <w:spacing w:val="-1"/>
          <w:sz w:val="24"/>
          <w:szCs w:val="24"/>
        </w:rPr>
        <w:t>(</w:t>
      </w:r>
      <w:r>
        <w:rPr>
          <w:rFonts w:ascii="Arial" w:hAnsi="Arial" w:cs="Arial"/>
          <w:spacing w:val="1"/>
          <w:sz w:val="24"/>
          <w:szCs w:val="24"/>
        </w:rPr>
        <w:t>F</w:t>
      </w:r>
      <w:r>
        <w:rPr>
          <w:rFonts w:ascii="Arial" w:hAnsi="Arial" w:cs="Arial"/>
          <w:sz w:val="24"/>
          <w:szCs w:val="24"/>
        </w:rPr>
        <w:t xml:space="preserve">ARRI, </w:t>
      </w:r>
      <w:r>
        <w:rPr>
          <w:rFonts w:ascii="Arial" w:hAnsi="Arial" w:cs="Arial"/>
          <w:spacing w:val="1"/>
          <w:sz w:val="24"/>
          <w:szCs w:val="24"/>
        </w:rPr>
        <w:t>2002 </w:t>
      </w:r>
      <w:r>
        <w:rPr>
          <w:rFonts w:ascii="Arial" w:hAnsi="Arial" w:cs="Arial"/>
          <w:spacing w:val="-3"/>
          <w:sz w:val="24"/>
          <w:szCs w:val="24"/>
        </w:rPr>
        <w:t>;</w:t>
      </w:r>
      <w:r>
        <w:rPr>
          <w:rFonts w:ascii="Arial" w:hAnsi="Arial" w:cs="Arial"/>
          <w:sz w:val="24"/>
          <w:szCs w:val="24"/>
        </w:rPr>
        <w:t xml:space="preserve"> CC</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 xml:space="preserve">, </w:t>
      </w:r>
      <w:r>
        <w:rPr>
          <w:rFonts w:ascii="Arial" w:hAnsi="Arial" w:cs="Arial"/>
          <w:spacing w:val="1"/>
          <w:sz w:val="24"/>
          <w:szCs w:val="24"/>
        </w:rPr>
        <w:t>2002 </w:t>
      </w:r>
      <w:r>
        <w:rPr>
          <w:rFonts w:ascii="Arial" w:hAnsi="Arial" w:cs="Arial"/>
          <w:spacing w:val="-1"/>
          <w:sz w:val="24"/>
          <w:szCs w:val="24"/>
        </w:rPr>
        <w:t>;</w:t>
      </w:r>
      <w:r>
        <w:rPr>
          <w:rFonts w:ascii="Arial" w:hAnsi="Arial" w:cs="Arial"/>
          <w:spacing w:val="-2"/>
          <w:sz w:val="24"/>
          <w:szCs w:val="24"/>
        </w:rPr>
        <w:t xml:space="preserve"> </w:t>
      </w:r>
      <w:r>
        <w:rPr>
          <w:rFonts w:ascii="Arial" w:hAnsi="Arial" w:cs="Arial"/>
          <w:spacing w:val="1"/>
          <w:sz w:val="24"/>
          <w:szCs w:val="24"/>
        </w:rPr>
        <w:t>G</w:t>
      </w:r>
      <w:r>
        <w:rPr>
          <w:rFonts w:ascii="Arial" w:hAnsi="Arial" w:cs="Arial"/>
          <w:sz w:val="24"/>
          <w:szCs w:val="24"/>
        </w:rPr>
        <w:t>o</w:t>
      </w:r>
      <w:r>
        <w:rPr>
          <w:rFonts w:ascii="Arial" w:hAnsi="Arial" w:cs="Arial"/>
          <w:spacing w:val="-1"/>
          <w:sz w:val="24"/>
          <w:szCs w:val="24"/>
        </w:rPr>
        <w:t>r</w:t>
      </w:r>
      <w:r>
        <w:rPr>
          <w:rFonts w:ascii="Arial" w:hAnsi="Arial" w:cs="Arial"/>
          <w:sz w:val="24"/>
          <w:szCs w:val="24"/>
        </w:rPr>
        <w:t>eux</w:t>
      </w:r>
      <w:r>
        <w:rPr>
          <w:rFonts w:ascii="Arial" w:hAnsi="Arial" w:cs="Arial"/>
          <w:spacing w:val="7"/>
          <w:sz w:val="24"/>
          <w:szCs w:val="24"/>
        </w:rPr>
        <w:t xml:space="preserve">, </w:t>
      </w:r>
      <w:r>
        <w:rPr>
          <w:rFonts w:ascii="Arial" w:hAnsi="Arial" w:cs="Arial"/>
          <w:spacing w:val="1"/>
          <w:sz w:val="24"/>
          <w:szCs w:val="24"/>
        </w:rPr>
        <w:t>20</w:t>
      </w:r>
      <w:r>
        <w:rPr>
          <w:rFonts w:ascii="Arial" w:hAnsi="Arial" w:cs="Arial"/>
          <w:spacing w:val="-1"/>
          <w:sz w:val="24"/>
          <w:szCs w:val="24"/>
        </w:rPr>
        <w:t>0</w:t>
      </w:r>
      <w:r>
        <w:rPr>
          <w:rFonts w:ascii="Arial" w:hAnsi="Arial" w:cs="Arial"/>
          <w:spacing w:val="1"/>
          <w:sz w:val="24"/>
          <w:szCs w:val="24"/>
        </w:rPr>
        <w:t>3</w:t>
      </w:r>
      <w:r>
        <w:rPr>
          <w:rFonts w:ascii="Arial" w:hAnsi="Arial" w:cs="Arial"/>
          <w:sz w:val="24"/>
          <w:szCs w:val="24"/>
        </w:rPr>
        <w:t>,</w:t>
      </w:r>
      <w:r>
        <w:rPr>
          <w:rFonts w:ascii="Arial" w:hAnsi="Arial" w:cs="Arial"/>
          <w:spacing w:val="5"/>
          <w:sz w:val="24"/>
          <w:szCs w:val="24"/>
        </w:rPr>
        <w:t xml:space="preserve"> </w:t>
      </w:r>
      <w:r>
        <w:rPr>
          <w:rFonts w:ascii="Arial" w:hAnsi="Arial" w:cs="Arial"/>
          <w:spacing w:val="1"/>
          <w:sz w:val="24"/>
          <w:szCs w:val="24"/>
        </w:rPr>
        <w:t>20</w:t>
      </w:r>
      <w:r>
        <w:rPr>
          <w:rFonts w:ascii="Arial" w:hAnsi="Arial" w:cs="Arial"/>
          <w:spacing w:val="-1"/>
          <w:sz w:val="24"/>
          <w:szCs w:val="24"/>
        </w:rPr>
        <w:t>0</w:t>
      </w:r>
      <w:r>
        <w:rPr>
          <w:rFonts w:ascii="Arial" w:hAnsi="Arial" w:cs="Arial"/>
          <w:spacing w:val="1"/>
          <w:sz w:val="24"/>
          <w:szCs w:val="24"/>
        </w:rPr>
        <w:t>4a ;</w:t>
      </w:r>
      <w:r>
        <w:rPr>
          <w:rFonts w:ascii="Arial" w:hAnsi="Arial" w:cs="Arial"/>
          <w:spacing w:val="4"/>
          <w:sz w:val="24"/>
          <w:szCs w:val="24"/>
        </w:rPr>
        <w:t xml:space="preserve"> </w:t>
      </w:r>
      <w:r>
        <w:rPr>
          <w:rFonts w:ascii="Arial" w:hAnsi="Arial" w:cs="Arial"/>
          <w:spacing w:val="1"/>
          <w:sz w:val="24"/>
          <w:szCs w:val="24"/>
        </w:rPr>
        <w:t>F</w:t>
      </w:r>
      <w:r>
        <w:rPr>
          <w:rFonts w:ascii="Arial" w:hAnsi="Arial" w:cs="Arial"/>
          <w:sz w:val="24"/>
          <w:szCs w:val="24"/>
        </w:rPr>
        <w:t>A</w:t>
      </w:r>
      <w:r>
        <w:rPr>
          <w:rFonts w:ascii="Arial" w:hAnsi="Arial" w:cs="Arial"/>
          <w:spacing w:val="1"/>
          <w:sz w:val="24"/>
          <w:szCs w:val="24"/>
        </w:rPr>
        <w:t>O</w:t>
      </w:r>
      <w:r>
        <w:rPr>
          <w:rFonts w:ascii="Arial" w:hAnsi="Arial" w:cs="Arial"/>
          <w:spacing w:val="-1"/>
          <w:sz w:val="24"/>
          <w:szCs w:val="24"/>
        </w:rPr>
        <w:t xml:space="preserve">, </w:t>
      </w:r>
      <w:r>
        <w:rPr>
          <w:rFonts w:ascii="Arial" w:hAnsi="Arial" w:cs="Arial"/>
          <w:spacing w:val="1"/>
          <w:sz w:val="24"/>
          <w:szCs w:val="24"/>
        </w:rPr>
        <w:t>2</w:t>
      </w:r>
      <w:r>
        <w:rPr>
          <w:rFonts w:ascii="Arial" w:hAnsi="Arial" w:cs="Arial"/>
          <w:spacing w:val="-1"/>
          <w:sz w:val="24"/>
          <w:szCs w:val="24"/>
        </w:rPr>
        <w:t>0</w:t>
      </w:r>
      <w:r>
        <w:rPr>
          <w:rFonts w:ascii="Arial" w:hAnsi="Arial" w:cs="Arial"/>
          <w:spacing w:val="1"/>
          <w:sz w:val="24"/>
          <w:szCs w:val="24"/>
        </w:rPr>
        <w:t>04)</w:t>
      </w:r>
      <w:r>
        <w:rPr>
          <w:rFonts w:ascii="Arial" w:hAnsi="Arial" w:cs="Arial"/>
          <w:spacing w:val="-1"/>
          <w:sz w:val="24"/>
          <w:szCs w:val="24"/>
        </w:rPr>
        <w:t>.</w:t>
      </w:r>
    </w:p>
    <w:p w14:paraId="61901FDB" w14:textId="77777777" w:rsidR="008862C7" w:rsidRDefault="008862C7" w:rsidP="008862C7">
      <w:pPr>
        <w:widowControl w:val="0"/>
        <w:autoSpaceDE w:val="0"/>
        <w:autoSpaceDN w:val="0"/>
        <w:adjustRightInd w:val="0"/>
        <w:spacing w:before="120" w:after="0" w:line="360" w:lineRule="auto"/>
        <w:ind w:right="66"/>
        <w:jc w:val="both"/>
        <w:rPr>
          <w:rFonts w:ascii="Arial" w:hAnsi="Arial" w:cs="Arial"/>
          <w:sz w:val="24"/>
          <w:szCs w:val="24"/>
        </w:rPr>
      </w:pPr>
      <w:r>
        <w:rPr>
          <w:rFonts w:ascii="Arial" w:hAnsi="Arial" w:cs="Arial"/>
          <w:spacing w:val="1"/>
          <w:sz w:val="24"/>
          <w:szCs w:val="24"/>
        </w:rPr>
        <w:t>L</w:t>
      </w:r>
      <w:r>
        <w:rPr>
          <w:rFonts w:ascii="Arial" w:hAnsi="Arial" w:cs="Arial"/>
          <w:sz w:val="24"/>
          <w:szCs w:val="24"/>
        </w:rPr>
        <w:t>e</w:t>
      </w:r>
      <w:r>
        <w:rPr>
          <w:rFonts w:ascii="Arial" w:hAnsi="Arial" w:cs="Arial"/>
          <w:spacing w:val="10"/>
          <w:sz w:val="24"/>
          <w:szCs w:val="24"/>
        </w:rPr>
        <w:t xml:space="preserve"> </w:t>
      </w:r>
      <w:r>
        <w:rPr>
          <w:rFonts w:ascii="Arial" w:hAnsi="Arial" w:cs="Arial"/>
          <w:sz w:val="24"/>
          <w:szCs w:val="24"/>
        </w:rPr>
        <w:t>n</w:t>
      </w:r>
      <w:r>
        <w:rPr>
          <w:rFonts w:ascii="Arial" w:hAnsi="Arial" w:cs="Arial"/>
          <w:spacing w:val="1"/>
          <w:sz w:val="24"/>
          <w:szCs w:val="24"/>
        </w:rPr>
        <w:t>iv</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 mon</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a</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 xml:space="preserve">oton </w:t>
      </w:r>
      <w:r>
        <w:rPr>
          <w:rFonts w:ascii="Arial" w:hAnsi="Arial" w:cs="Arial"/>
          <w:spacing w:val="1"/>
          <w:sz w:val="24"/>
          <w:szCs w:val="24"/>
        </w:rPr>
        <w:t>ai</w:t>
      </w:r>
      <w:r>
        <w:rPr>
          <w:rFonts w:ascii="Arial" w:hAnsi="Arial" w:cs="Arial"/>
          <w:sz w:val="24"/>
          <w:szCs w:val="24"/>
        </w:rPr>
        <w:t>n</w:t>
      </w:r>
      <w:r>
        <w:rPr>
          <w:rFonts w:ascii="Arial" w:hAnsi="Arial" w:cs="Arial"/>
          <w:spacing w:val="-1"/>
          <w:sz w:val="24"/>
          <w:szCs w:val="24"/>
        </w:rPr>
        <w:t>s</w:t>
      </w:r>
      <w:r>
        <w:rPr>
          <w:rFonts w:ascii="Arial" w:hAnsi="Arial" w:cs="Arial"/>
          <w:sz w:val="24"/>
          <w:szCs w:val="24"/>
        </w:rPr>
        <w:t>i</w:t>
      </w:r>
      <w:r>
        <w:rPr>
          <w:rFonts w:ascii="Arial" w:hAnsi="Arial" w:cs="Arial"/>
          <w:spacing w:val="9"/>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e n</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to</w:t>
      </w:r>
      <w:r>
        <w:rPr>
          <w:rFonts w:ascii="Arial" w:hAnsi="Arial" w:cs="Arial"/>
          <w:spacing w:val="-1"/>
          <w:sz w:val="24"/>
          <w:szCs w:val="24"/>
        </w:rPr>
        <w:t>ck</w:t>
      </w:r>
      <w:r>
        <w:rPr>
          <w:rFonts w:ascii="Arial" w:hAnsi="Arial" w:cs="Arial"/>
          <w:spacing w:val="7"/>
          <w:sz w:val="24"/>
          <w:szCs w:val="24"/>
        </w:rPr>
        <w:t xml:space="preserve"> </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al</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étenu</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pacing w:val="-1"/>
          <w:sz w:val="24"/>
          <w:szCs w:val="24"/>
        </w:rPr>
        <w:t>i</w:t>
      </w:r>
      <w:r>
        <w:rPr>
          <w:rFonts w:ascii="Arial" w:hAnsi="Arial" w:cs="Arial"/>
          <w:sz w:val="24"/>
          <w:szCs w:val="24"/>
        </w:rPr>
        <w:t>ns</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3"/>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8"/>
          <w:sz w:val="24"/>
          <w:szCs w:val="24"/>
        </w:rPr>
        <w:t xml:space="preserve">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teu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oton</w:t>
      </w:r>
      <w:r>
        <w:rPr>
          <w:rFonts w:ascii="Arial" w:hAnsi="Arial" w:cs="Arial"/>
          <w:spacing w:val="8"/>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f</w:t>
      </w:r>
      <w:r>
        <w:rPr>
          <w:rFonts w:ascii="Arial" w:hAnsi="Arial" w:cs="Arial"/>
          <w:spacing w:val="1"/>
          <w:sz w:val="24"/>
          <w:szCs w:val="24"/>
        </w:rPr>
        <w:t>l</w:t>
      </w:r>
      <w:r>
        <w:rPr>
          <w:rFonts w:ascii="Arial" w:hAnsi="Arial" w:cs="Arial"/>
          <w:sz w:val="24"/>
          <w:szCs w:val="24"/>
        </w:rPr>
        <w:t>uen</w:t>
      </w:r>
      <w:r>
        <w:rPr>
          <w:rFonts w:ascii="Arial" w:hAnsi="Arial" w:cs="Arial"/>
          <w:spacing w:val="-1"/>
          <w:sz w:val="24"/>
          <w:szCs w:val="24"/>
        </w:rPr>
        <w:t>c</w:t>
      </w:r>
      <w:r>
        <w:rPr>
          <w:rFonts w:ascii="Arial" w:hAnsi="Arial" w:cs="Arial"/>
          <w:sz w:val="24"/>
          <w:szCs w:val="24"/>
        </w:rPr>
        <w:t>ent</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1"/>
          <w:sz w:val="24"/>
          <w:szCs w:val="24"/>
        </w:rPr>
        <w:t>i</w:t>
      </w:r>
      <w:r>
        <w:rPr>
          <w:rFonts w:ascii="Arial" w:hAnsi="Arial" w:cs="Arial"/>
          <w:spacing w:val="-2"/>
          <w:sz w:val="24"/>
          <w:szCs w:val="24"/>
        </w:rPr>
        <w:t>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iv</w:t>
      </w:r>
      <w:r>
        <w:rPr>
          <w:rFonts w:ascii="Arial" w:hAnsi="Arial" w:cs="Arial"/>
          <w:spacing w:val="-2"/>
          <w:sz w:val="24"/>
          <w:szCs w:val="24"/>
        </w:rPr>
        <w:t>e</w:t>
      </w:r>
      <w:r>
        <w:rPr>
          <w:rFonts w:ascii="Arial" w:hAnsi="Arial" w:cs="Arial"/>
          <w:sz w:val="24"/>
          <w:szCs w:val="24"/>
        </w:rPr>
        <w:t xml:space="preserve">ment </w:t>
      </w:r>
      <w:r>
        <w:rPr>
          <w:rFonts w:ascii="Arial" w:hAnsi="Arial" w:cs="Arial"/>
          <w:spacing w:val="1"/>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z w:val="24"/>
          <w:szCs w:val="24"/>
        </w:rPr>
        <w:t>n</w:t>
      </w:r>
      <w:r>
        <w:rPr>
          <w:rFonts w:ascii="Arial" w:hAnsi="Arial" w:cs="Arial"/>
          <w:spacing w:val="1"/>
          <w:sz w:val="24"/>
          <w:szCs w:val="24"/>
        </w:rPr>
        <w:t>iv</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u</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8"/>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 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e</w:t>
      </w:r>
      <w:r>
        <w:rPr>
          <w:rFonts w:ascii="Arial" w:hAnsi="Arial" w:cs="Arial"/>
          <w:spacing w:val="1"/>
          <w:sz w:val="24"/>
          <w:szCs w:val="24"/>
        </w:rPr>
        <w:t>l</w:t>
      </w:r>
      <w:r>
        <w:rPr>
          <w:rFonts w:ascii="Arial" w:hAnsi="Arial" w:cs="Arial"/>
          <w:sz w:val="24"/>
          <w:szCs w:val="24"/>
        </w:rPr>
        <w:t>ons</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a Ch</w:t>
      </w:r>
      <w:r>
        <w:rPr>
          <w:rFonts w:ascii="Arial" w:hAnsi="Arial" w:cs="Arial"/>
          <w:spacing w:val="1"/>
          <w:sz w:val="24"/>
          <w:szCs w:val="24"/>
        </w:rPr>
        <w:t>i</w:t>
      </w:r>
      <w:r>
        <w:rPr>
          <w:rFonts w:ascii="Arial" w:hAnsi="Arial" w:cs="Arial"/>
          <w:sz w:val="24"/>
          <w:szCs w:val="24"/>
        </w:rPr>
        <w:t>ne</w:t>
      </w:r>
      <w:r>
        <w:rPr>
          <w:rFonts w:ascii="Arial" w:hAnsi="Arial" w:cs="Arial"/>
          <w:spacing w:val="7"/>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8"/>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pr</w:t>
      </w:r>
      <w:r>
        <w:rPr>
          <w:rFonts w:ascii="Arial" w:hAnsi="Arial" w:cs="Arial"/>
          <w:sz w:val="24"/>
          <w:szCs w:val="24"/>
        </w:rPr>
        <w:t>em</w:t>
      </w:r>
      <w:r>
        <w:rPr>
          <w:rFonts w:ascii="Arial" w:hAnsi="Arial" w:cs="Arial"/>
          <w:spacing w:val="1"/>
          <w:sz w:val="24"/>
          <w:szCs w:val="24"/>
        </w:rPr>
        <w:t>i</w:t>
      </w:r>
      <w:r>
        <w:rPr>
          <w:rFonts w:ascii="Arial" w:hAnsi="Arial" w:cs="Arial"/>
          <w:sz w:val="24"/>
          <w:szCs w:val="24"/>
        </w:rPr>
        <w:t>er</w:t>
      </w:r>
      <w:r>
        <w:rPr>
          <w:rFonts w:ascii="Arial" w:hAnsi="Arial" w:cs="Arial"/>
          <w:spacing w:val="3"/>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teur</w:t>
      </w:r>
      <w:r>
        <w:rPr>
          <w:rFonts w:ascii="Arial" w:hAnsi="Arial" w:cs="Arial"/>
          <w:spacing w:val="3"/>
          <w:sz w:val="24"/>
          <w:szCs w:val="24"/>
        </w:rPr>
        <w:t xml:space="preserve"> </w:t>
      </w:r>
      <w:r>
        <w:rPr>
          <w:rFonts w:ascii="Arial" w:hAnsi="Arial" w:cs="Arial"/>
          <w:sz w:val="24"/>
          <w:szCs w:val="24"/>
        </w:rPr>
        <w:t>et</w:t>
      </w:r>
      <w:r>
        <w:rPr>
          <w:rFonts w:ascii="Arial" w:hAnsi="Arial" w:cs="Arial"/>
          <w:spacing w:val="10"/>
          <w:sz w:val="24"/>
          <w:szCs w:val="24"/>
        </w:rPr>
        <w:t xml:space="preserve"> </w:t>
      </w:r>
      <w:r>
        <w:rPr>
          <w:rFonts w:ascii="Arial" w:hAnsi="Arial" w:cs="Arial"/>
          <w:spacing w:val="-1"/>
          <w:sz w:val="24"/>
          <w:szCs w:val="24"/>
        </w:rPr>
        <w:t>pr</w:t>
      </w:r>
      <w:r>
        <w:rPr>
          <w:rFonts w:ascii="Arial" w:hAnsi="Arial" w:cs="Arial"/>
          <w:sz w:val="24"/>
          <w:szCs w:val="24"/>
        </w:rPr>
        <w:t>em</w:t>
      </w:r>
      <w:r>
        <w:rPr>
          <w:rFonts w:ascii="Arial" w:hAnsi="Arial" w:cs="Arial"/>
          <w:spacing w:val="1"/>
          <w:sz w:val="24"/>
          <w:szCs w:val="24"/>
        </w:rPr>
        <w:t>i</w:t>
      </w:r>
      <w:r>
        <w:rPr>
          <w:rFonts w:ascii="Arial" w:hAnsi="Arial" w:cs="Arial"/>
          <w:sz w:val="24"/>
          <w:szCs w:val="24"/>
        </w:rPr>
        <w:t>er</w:t>
      </w:r>
      <w:r>
        <w:rPr>
          <w:rFonts w:ascii="Arial" w:hAnsi="Arial" w:cs="Arial"/>
          <w:spacing w:val="3"/>
          <w:sz w:val="24"/>
          <w:szCs w:val="24"/>
        </w:rPr>
        <w:t xml:space="preserve">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teur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2"/>
          <w:sz w:val="24"/>
          <w:szCs w:val="24"/>
        </w:rPr>
        <w:t>r</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6"/>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 mon</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u</w:t>
      </w:r>
      <w:r>
        <w:rPr>
          <w:rFonts w:ascii="Arial" w:hAnsi="Arial" w:cs="Arial"/>
          <w:sz w:val="24"/>
          <w:szCs w:val="24"/>
        </w:rPr>
        <w:t>r</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te</w:t>
      </w:r>
      <w:r>
        <w:rPr>
          <w:rFonts w:ascii="Arial" w:hAnsi="Arial" w:cs="Arial"/>
          <w:spacing w:val="1"/>
          <w:sz w:val="24"/>
          <w:szCs w:val="24"/>
        </w:rPr>
        <w:t>x</w:t>
      </w:r>
      <w:r>
        <w:rPr>
          <w:rFonts w:ascii="Arial" w:hAnsi="Arial" w:cs="Arial"/>
          <w:sz w:val="24"/>
          <w:szCs w:val="24"/>
        </w:rPr>
        <w:t>t</w:t>
      </w:r>
      <w:r>
        <w:rPr>
          <w:rFonts w:ascii="Arial" w:hAnsi="Arial" w:cs="Arial"/>
          <w:spacing w:val="1"/>
          <w:sz w:val="24"/>
          <w:szCs w:val="24"/>
        </w:rPr>
        <w:t>il</w:t>
      </w:r>
      <w:r>
        <w:rPr>
          <w:rFonts w:ascii="Arial" w:hAnsi="Arial" w:cs="Arial"/>
          <w:sz w:val="24"/>
          <w:szCs w:val="24"/>
        </w:rPr>
        <w:t>e, toute</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li</w:t>
      </w:r>
      <w:r>
        <w:rPr>
          <w:rFonts w:ascii="Arial" w:hAnsi="Arial" w:cs="Arial"/>
          <w:spacing w:val="-2"/>
          <w:sz w:val="24"/>
          <w:szCs w:val="24"/>
        </w:rPr>
        <w:t>t</w:t>
      </w:r>
      <w:r>
        <w:rPr>
          <w:rFonts w:ascii="Arial" w:hAnsi="Arial" w:cs="Arial"/>
          <w:spacing w:val="1"/>
          <w:sz w:val="24"/>
          <w:szCs w:val="24"/>
        </w:rPr>
        <w:t>iq</w:t>
      </w:r>
      <w:r>
        <w:rPr>
          <w:rFonts w:ascii="Arial" w:hAnsi="Arial" w:cs="Arial"/>
          <w:sz w:val="24"/>
          <w:szCs w:val="24"/>
        </w:rPr>
        <w:t xml:space="preserve">ue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ll</w:t>
      </w:r>
      <w:r>
        <w:rPr>
          <w:rFonts w:ascii="Arial" w:hAnsi="Arial" w:cs="Arial"/>
          <w:sz w:val="24"/>
          <w:szCs w:val="24"/>
        </w:rPr>
        <w:t>e</w:t>
      </w:r>
      <w:r>
        <w:rPr>
          <w:rFonts w:ascii="Arial" w:hAnsi="Arial" w:cs="Arial"/>
          <w:spacing w:val="-1"/>
          <w:sz w:val="24"/>
          <w:szCs w:val="24"/>
        </w:rPr>
        <w:t>-c</w:t>
      </w:r>
      <w:r>
        <w:rPr>
          <w:rFonts w:ascii="Arial" w:hAnsi="Arial" w:cs="Arial"/>
          <w:sz w:val="24"/>
          <w:szCs w:val="24"/>
        </w:rPr>
        <w:t>i</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r</w:t>
      </w:r>
      <w:r>
        <w:rPr>
          <w:rFonts w:ascii="Arial" w:hAnsi="Arial" w:cs="Arial"/>
          <w:spacing w:val="2"/>
          <w:sz w:val="24"/>
          <w:szCs w:val="24"/>
        </w:rPr>
        <w:t>é</w:t>
      </w:r>
      <w:r>
        <w:rPr>
          <w:rFonts w:ascii="Arial" w:hAnsi="Arial" w:cs="Arial"/>
          <w:spacing w:val="-1"/>
          <w:sz w:val="24"/>
          <w:szCs w:val="24"/>
        </w:rPr>
        <w:t>p</w:t>
      </w:r>
      <w:r>
        <w:rPr>
          <w:rFonts w:ascii="Arial" w:hAnsi="Arial" w:cs="Arial"/>
          <w:sz w:val="24"/>
          <w:szCs w:val="24"/>
        </w:rPr>
        <w:t>e</w:t>
      </w:r>
      <w:r>
        <w:rPr>
          <w:rFonts w:ascii="Arial" w:hAnsi="Arial" w:cs="Arial"/>
          <w:spacing w:val="2"/>
          <w:sz w:val="24"/>
          <w:szCs w:val="24"/>
        </w:rPr>
        <w:t>r</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ss</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s</w:t>
      </w:r>
      <w:r>
        <w:rPr>
          <w:rFonts w:ascii="Arial" w:hAnsi="Arial" w:cs="Arial"/>
          <w:sz w:val="24"/>
          <w:szCs w:val="24"/>
        </w:rPr>
        <w:t xml:space="preserve">ur </w:t>
      </w:r>
      <w:r>
        <w:rPr>
          <w:rFonts w:ascii="Arial" w:hAnsi="Arial" w:cs="Arial"/>
          <w:spacing w:val="1"/>
          <w:sz w:val="24"/>
          <w:szCs w:val="24"/>
        </w:rPr>
        <w:t>l</w:t>
      </w:r>
      <w:r>
        <w:rPr>
          <w:rFonts w:ascii="Arial" w:hAnsi="Arial" w:cs="Arial"/>
          <w:sz w:val="24"/>
          <w:szCs w:val="24"/>
        </w:rPr>
        <w:t>e 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4"/>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4"/>
          <w:sz w:val="24"/>
          <w:szCs w:val="24"/>
        </w:rPr>
        <w:t xml:space="preserve"> </w:t>
      </w:r>
      <w:r>
        <w:rPr>
          <w:rFonts w:ascii="Arial" w:hAnsi="Arial" w:cs="Arial"/>
          <w:sz w:val="24"/>
          <w:szCs w:val="24"/>
        </w:rPr>
        <w:t>et</w:t>
      </w:r>
      <w:r>
        <w:rPr>
          <w:rFonts w:ascii="Arial" w:hAnsi="Arial" w:cs="Arial"/>
          <w:spacing w:val="-1"/>
          <w:sz w:val="24"/>
          <w:szCs w:val="24"/>
        </w:rPr>
        <w:t xml:space="preserve"> d</w:t>
      </w:r>
      <w:r>
        <w:rPr>
          <w:rFonts w:ascii="Arial" w:hAnsi="Arial" w:cs="Arial"/>
          <w:sz w:val="24"/>
          <w:szCs w:val="24"/>
        </w:rPr>
        <w:t>onc</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 xml:space="preserve">ur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w:t>
      </w:r>
      <w:r>
        <w:rPr>
          <w:rFonts w:ascii="Arial" w:hAnsi="Arial" w:cs="Arial"/>
          <w:spacing w:val="-5"/>
          <w:sz w:val="24"/>
          <w:szCs w:val="24"/>
        </w:rPr>
        <w:t xml:space="preserve"> </w:t>
      </w:r>
      <w:r>
        <w:rPr>
          <w:rFonts w:ascii="Arial" w:hAnsi="Arial" w:cs="Arial"/>
          <w:spacing w:val="-1"/>
          <w:sz w:val="24"/>
          <w:szCs w:val="24"/>
        </w:rPr>
        <w:t>f</w:t>
      </w:r>
      <w:r>
        <w:rPr>
          <w:rFonts w:ascii="Arial" w:hAnsi="Arial" w:cs="Arial"/>
          <w:sz w:val="24"/>
          <w:szCs w:val="24"/>
        </w:rPr>
        <w:t>utu</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x</w:t>
      </w:r>
      <w:r>
        <w:rPr>
          <w:rFonts w:ascii="Arial" w:hAnsi="Arial" w:cs="Arial"/>
          <w:spacing w:val="-1"/>
          <w:sz w:val="24"/>
          <w:szCs w:val="24"/>
        </w:rPr>
        <w:t xml:space="preserve"> </w:t>
      </w:r>
      <w:r>
        <w:rPr>
          <w:rFonts w:ascii="Arial" w:hAnsi="Arial" w:cs="Arial"/>
          <w:spacing w:val="1"/>
          <w:sz w:val="24"/>
          <w:szCs w:val="24"/>
        </w:rPr>
        <w:t>i</w:t>
      </w:r>
      <w:r>
        <w:rPr>
          <w:rFonts w:ascii="Arial" w:hAnsi="Arial" w:cs="Arial"/>
          <w:sz w:val="24"/>
          <w:szCs w:val="24"/>
        </w:rPr>
        <w:t>nt</w:t>
      </w:r>
      <w:r>
        <w:rPr>
          <w:rFonts w:ascii="Arial" w:hAnsi="Arial" w:cs="Arial"/>
          <w:spacing w:val="-2"/>
          <w:sz w:val="24"/>
          <w:szCs w:val="24"/>
        </w:rPr>
        <w:t>e</w:t>
      </w:r>
      <w:r>
        <w:rPr>
          <w:rFonts w:ascii="Arial" w:hAnsi="Arial" w:cs="Arial"/>
          <w:spacing w:val="-1"/>
          <w:sz w:val="24"/>
          <w:szCs w:val="24"/>
        </w:rPr>
        <w:t>r</w:t>
      </w:r>
      <w:r>
        <w:rPr>
          <w:rFonts w:ascii="Arial" w:hAnsi="Arial" w:cs="Arial"/>
          <w:sz w:val="24"/>
          <w:szCs w:val="24"/>
        </w:rPr>
        <w:t>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w:t>
      </w:r>
      <w:r>
        <w:rPr>
          <w:rFonts w:ascii="Arial" w:hAnsi="Arial" w:cs="Arial"/>
          <w:sz w:val="24"/>
          <w:szCs w:val="24"/>
        </w:rPr>
        <w:t>.</w:t>
      </w:r>
    </w:p>
    <w:p w14:paraId="7122F7B0" w14:textId="77777777" w:rsidR="008862C7" w:rsidRDefault="008862C7" w:rsidP="008862C7">
      <w:pPr>
        <w:widowControl w:val="0"/>
        <w:autoSpaceDE w:val="0"/>
        <w:autoSpaceDN w:val="0"/>
        <w:adjustRightInd w:val="0"/>
        <w:spacing w:before="120" w:after="0" w:line="360" w:lineRule="auto"/>
        <w:ind w:right="65"/>
        <w:jc w:val="both"/>
        <w:rPr>
          <w:rFonts w:ascii="Arial" w:hAnsi="Arial" w:cs="Arial"/>
          <w:sz w:val="24"/>
          <w:szCs w:val="24"/>
        </w:rPr>
      </w:pPr>
      <w:r>
        <w:rPr>
          <w:rFonts w:ascii="Arial" w:hAnsi="Arial" w:cs="Arial"/>
          <w:sz w:val="24"/>
          <w:szCs w:val="24"/>
        </w:rPr>
        <w:t>Les</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pacing w:val="3"/>
          <w:sz w:val="24"/>
          <w:szCs w:val="24"/>
        </w:rPr>
        <w:t>m</w:t>
      </w:r>
      <w:r>
        <w:rPr>
          <w:rFonts w:ascii="Arial" w:hAnsi="Arial" w:cs="Arial"/>
          <w:sz w:val="24"/>
          <w:szCs w:val="24"/>
        </w:rPr>
        <w:t>es</w:t>
      </w:r>
      <w:r>
        <w:rPr>
          <w:rFonts w:ascii="Arial" w:hAnsi="Arial" w:cs="Arial"/>
          <w:spacing w:val="1"/>
          <w:sz w:val="24"/>
          <w:szCs w:val="24"/>
        </w:rPr>
        <w:t xml:space="preserve"> </w:t>
      </w:r>
      <w:r>
        <w:rPr>
          <w:rFonts w:ascii="Arial" w:hAnsi="Arial" w:cs="Arial"/>
          <w:sz w:val="24"/>
          <w:szCs w:val="24"/>
        </w:rPr>
        <w:t>en</w:t>
      </w:r>
      <w:r>
        <w:rPr>
          <w:rFonts w:ascii="Arial" w:hAnsi="Arial" w:cs="Arial"/>
          <w:spacing w:val="1"/>
          <w:sz w:val="24"/>
          <w:szCs w:val="24"/>
        </w:rPr>
        <w:t>gag</w:t>
      </w:r>
      <w:r>
        <w:rPr>
          <w:rFonts w:ascii="Arial" w:hAnsi="Arial" w:cs="Arial"/>
          <w:sz w:val="24"/>
          <w:szCs w:val="24"/>
        </w:rPr>
        <w:t xml:space="preserve">ées </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f</w:t>
      </w:r>
      <w:r>
        <w:rPr>
          <w:rFonts w:ascii="Arial" w:hAnsi="Arial" w:cs="Arial"/>
          <w:spacing w:val="1"/>
          <w:sz w:val="24"/>
          <w:szCs w:val="24"/>
        </w:rPr>
        <w:t>ili</w:t>
      </w:r>
      <w:r>
        <w:rPr>
          <w:rFonts w:ascii="Arial" w:hAnsi="Arial" w:cs="Arial"/>
          <w:sz w:val="24"/>
          <w:szCs w:val="24"/>
        </w:rPr>
        <w:t>è</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11"/>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ont</w:t>
      </w:r>
      <w:r>
        <w:rPr>
          <w:rFonts w:ascii="Arial" w:hAnsi="Arial" w:cs="Arial"/>
          <w:spacing w:val="15"/>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16"/>
          <w:sz w:val="24"/>
          <w:szCs w:val="24"/>
        </w:rPr>
        <w:t xml:space="preserve"> </w:t>
      </w:r>
      <w:r>
        <w:rPr>
          <w:rFonts w:ascii="Arial" w:hAnsi="Arial" w:cs="Arial"/>
          <w:spacing w:val="-1"/>
          <w:sz w:val="24"/>
          <w:szCs w:val="24"/>
        </w:rPr>
        <w:t>d</w:t>
      </w:r>
      <w:r>
        <w:rPr>
          <w:rFonts w:ascii="Arial" w:hAnsi="Arial" w:cs="Arial"/>
          <w:sz w:val="24"/>
          <w:szCs w:val="24"/>
        </w:rPr>
        <w:t>onné</w:t>
      </w:r>
      <w:r>
        <w:rPr>
          <w:rFonts w:ascii="Arial" w:hAnsi="Arial" w:cs="Arial"/>
          <w:spacing w:val="14"/>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14"/>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2"/>
          <w:sz w:val="24"/>
          <w:szCs w:val="24"/>
        </w:rPr>
        <w:t>s</w:t>
      </w:r>
      <w:r>
        <w:rPr>
          <w:rFonts w:ascii="Arial" w:hAnsi="Arial" w:cs="Arial"/>
          <w:sz w:val="24"/>
          <w:szCs w:val="24"/>
        </w:rPr>
        <w:t>u</w:t>
      </w:r>
      <w:r>
        <w:rPr>
          <w:rFonts w:ascii="Arial" w:hAnsi="Arial" w:cs="Arial"/>
          <w:spacing w:val="1"/>
          <w:sz w:val="24"/>
          <w:szCs w:val="24"/>
        </w:rPr>
        <w:t>l</w:t>
      </w:r>
      <w:r>
        <w:rPr>
          <w:rFonts w:ascii="Arial" w:hAnsi="Arial" w:cs="Arial"/>
          <w:sz w:val="24"/>
          <w:szCs w:val="24"/>
        </w:rPr>
        <w:t>t</w:t>
      </w:r>
      <w:r>
        <w:rPr>
          <w:rFonts w:ascii="Arial" w:hAnsi="Arial" w:cs="Arial"/>
          <w:spacing w:val="1"/>
          <w:sz w:val="24"/>
          <w:szCs w:val="24"/>
        </w:rPr>
        <w:t>a</w:t>
      </w:r>
      <w:r>
        <w:rPr>
          <w:rFonts w:ascii="Arial" w:hAnsi="Arial" w:cs="Arial"/>
          <w:sz w:val="24"/>
          <w:szCs w:val="24"/>
        </w:rPr>
        <w:t>ts</w:t>
      </w:r>
      <w:r>
        <w:rPr>
          <w:rFonts w:ascii="Arial" w:hAnsi="Arial" w:cs="Arial"/>
          <w:spacing w:val="13"/>
          <w:sz w:val="24"/>
          <w:szCs w:val="24"/>
        </w:rPr>
        <w:t xml:space="preserve"> </w:t>
      </w:r>
      <w:r>
        <w:rPr>
          <w:rFonts w:ascii="Arial" w:hAnsi="Arial" w:cs="Arial"/>
          <w:sz w:val="24"/>
          <w:szCs w:val="24"/>
        </w:rPr>
        <w:t>e</w:t>
      </w:r>
      <w:r>
        <w:rPr>
          <w:rFonts w:ascii="Arial" w:hAnsi="Arial" w:cs="Arial"/>
          <w:spacing w:val="-1"/>
          <w:sz w:val="24"/>
          <w:szCs w:val="24"/>
        </w:rPr>
        <w:t>sc</w:t>
      </w:r>
      <w:r>
        <w:rPr>
          <w:rFonts w:ascii="Arial" w:hAnsi="Arial" w:cs="Arial"/>
          <w:sz w:val="24"/>
          <w:szCs w:val="24"/>
        </w:rPr>
        <w:t>om</w:t>
      </w:r>
      <w:r>
        <w:rPr>
          <w:rFonts w:ascii="Arial" w:hAnsi="Arial" w:cs="Arial"/>
          <w:spacing w:val="-1"/>
          <w:sz w:val="24"/>
          <w:szCs w:val="24"/>
        </w:rPr>
        <w:t>p</w:t>
      </w:r>
      <w:r>
        <w:rPr>
          <w:rFonts w:ascii="Arial" w:hAnsi="Arial" w:cs="Arial"/>
          <w:sz w:val="24"/>
          <w:szCs w:val="24"/>
        </w:rPr>
        <w:t>té</w:t>
      </w:r>
      <w:r>
        <w:rPr>
          <w:rFonts w:ascii="Arial" w:hAnsi="Arial" w:cs="Arial"/>
          <w:spacing w:val="-1"/>
          <w:sz w:val="24"/>
          <w:szCs w:val="24"/>
        </w:rPr>
        <w:t>s</w:t>
      </w:r>
      <w:r>
        <w:rPr>
          <w:rFonts w:ascii="Arial" w:hAnsi="Arial" w:cs="Arial"/>
          <w:sz w:val="24"/>
          <w:szCs w:val="24"/>
        </w:rPr>
        <w:t>.</w:t>
      </w:r>
      <w:r>
        <w:rPr>
          <w:rFonts w:ascii="Arial" w:hAnsi="Arial" w:cs="Arial"/>
          <w:spacing w:val="10"/>
          <w:sz w:val="24"/>
          <w:szCs w:val="24"/>
        </w:rPr>
        <w:t xml:space="preserve"> </w:t>
      </w:r>
      <w:r>
        <w:rPr>
          <w:rFonts w:ascii="Arial" w:hAnsi="Arial" w:cs="Arial"/>
          <w:sz w:val="24"/>
          <w:szCs w:val="24"/>
        </w:rPr>
        <w:t>Au</w:t>
      </w:r>
      <w:r>
        <w:rPr>
          <w:rFonts w:ascii="Arial" w:hAnsi="Arial" w:cs="Arial"/>
          <w:spacing w:val="15"/>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ga</w:t>
      </w:r>
      <w:r>
        <w:rPr>
          <w:rFonts w:ascii="Arial" w:hAnsi="Arial" w:cs="Arial"/>
          <w:spacing w:val="-1"/>
          <w:sz w:val="24"/>
          <w:szCs w:val="24"/>
        </w:rPr>
        <w:t>r</w:t>
      </w:r>
      <w:r>
        <w:rPr>
          <w:rFonts w:ascii="Arial" w:hAnsi="Arial" w:cs="Arial"/>
          <w:sz w:val="24"/>
          <w:szCs w:val="24"/>
        </w:rPr>
        <w:t>d</w:t>
      </w:r>
      <w:r>
        <w:rPr>
          <w:rFonts w:ascii="Arial" w:hAnsi="Arial" w:cs="Arial"/>
          <w:spacing w:val="1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5"/>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ut</w:t>
      </w:r>
      <w:r>
        <w:rPr>
          <w:rFonts w:ascii="Arial" w:hAnsi="Arial" w:cs="Arial"/>
          <w:spacing w:val="1"/>
          <w:sz w:val="24"/>
          <w:szCs w:val="24"/>
        </w:rPr>
        <w:t>i</w:t>
      </w:r>
      <w:r>
        <w:rPr>
          <w:rFonts w:ascii="Arial" w:hAnsi="Arial" w:cs="Arial"/>
          <w:sz w:val="24"/>
          <w:szCs w:val="24"/>
        </w:rPr>
        <w:t>on</w:t>
      </w:r>
      <w:r>
        <w:rPr>
          <w:rFonts w:ascii="Arial" w:hAnsi="Arial" w:cs="Arial"/>
          <w:spacing w:val="11"/>
          <w:sz w:val="24"/>
          <w:szCs w:val="24"/>
        </w:rPr>
        <w:t xml:space="preserve"> </w:t>
      </w:r>
      <w:r>
        <w:rPr>
          <w:rFonts w:ascii="Arial" w:hAnsi="Arial" w:cs="Arial"/>
          <w:spacing w:val="-3"/>
          <w:sz w:val="24"/>
          <w:szCs w:val="24"/>
        </w:rPr>
        <w:t>d</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a</w:t>
      </w:r>
      <w:r>
        <w:rPr>
          <w:rFonts w:ascii="Arial" w:hAnsi="Arial" w:cs="Arial"/>
          <w:spacing w:val="8"/>
          <w:sz w:val="24"/>
          <w:szCs w:val="24"/>
        </w:rPr>
        <w:t xml:space="preserve"> </w:t>
      </w:r>
      <w:r>
        <w:rPr>
          <w:rFonts w:ascii="Arial" w:hAnsi="Arial" w:cs="Arial"/>
          <w:spacing w:val="-1"/>
          <w:sz w:val="24"/>
          <w:szCs w:val="24"/>
        </w:rPr>
        <w:t>si</w:t>
      </w:r>
      <w:r>
        <w:rPr>
          <w:rFonts w:ascii="Arial" w:hAnsi="Arial" w:cs="Arial"/>
          <w:sz w:val="24"/>
          <w:szCs w:val="24"/>
        </w:rPr>
        <w:t>tu</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tue</w:t>
      </w:r>
      <w:r>
        <w:rPr>
          <w:rFonts w:ascii="Arial" w:hAnsi="Arial" w:cs="Arial"/>
          <w:spacing w:val="-1"/>
          <w:sz w:val="24"/>
          <w:szCs w:val="24"/>
        </w:rPr>
        <w:t>l</w:t>
      </w:r>
      <w:r>
        <w:rPr>
          <w:rFonts w:ascii="Arial" w:hAnsi="Arial" w:cs="Arial"/>
          <w:spacing w:val="1"/>
          <w:sz w:val="24"/>
          <w:szCs w:val="24"/>
        </w:rPr>
        <w:t>l</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cr</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me</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r</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li</w:t>
      </w:r>
      <w:r>
        <w:rPr>
          <w:rFonts w:ascii="Arial" w:hAnsi="Arial" w:cs="Arial"/>
          <w:sz w:val="24"/>
          <w:szCs w:val="24"/>
        </w:rPr>
        <w:t>t</w:t>
      </w:r>
      <w:r>
        <w:rPr>
          <w:rFonts w:ascii="Arial" w:hAnsi="Arial" w:cs="Arial"/>
          <w:spacing w:val="1"/>
          <w:sz w:val="24"/>
          <w:szCs w:val="24"/>
        </w:rPr>
        <w:t>iq</w:t>
      </w:r>
      <w:r>
        <w:rPr>
          <w:rFonts w:ascii="Arial" w:hAnsi="Arial" w:cs="Arial"/>
          <w:sz w:val="24"/>
          <w:szCs w:val="24"/>
        </w:rPr>
        <w:t>ues</w:t>
      </w:r>
      <w:r>
        <w:rPr>
          <w:rFonts w:ascii="Arial" w:hAnsi="Arial" w:cs="Arial"/>
          <w:spacing w:val="2"/>
          <w:sz w:val="24"/>
          <w:szCs w:val="24"/>
        </w:rPr>
        <w:t xml:space="preserve"> </w:t>
      </w:r>
      <w:r>
        <w:rPr>
          <w:rFonts w:ascii="Arial" w:hAnsi="Arial" w:cs="Arial"/>
          <w:sz w:val="24"/>
          <w:szCs w:val="24"/>
        </w:rPr>
        <w:t>é</w:t>
      </w:r>
      <w:r>
        <w:rPr>
          <w:rFonts w:ascii="Arial" w:hAnsi="Arial" w:cs="Arial"/>
          <w:spacing w:val="-3"/>
          <w:sz w:val="24"/>
          <w:szCs w:val="24"/>
        </w:rPr>
        <w:t>c</w:t>
      </w:r>
      <w:r>
        <w:rPr>
          <w:rFonts w:ascii="Arial" w:hAnsi="Arial" w:cs="Arial"/>
          <w:sz w:val="24"/>
          <w:szCs w:val="24"/>
        </w:rPr>
        <w:t>onom</w:t>
      </w:r>
      <w:r>
        <w:rPr>
          <w:rFonts w:ascii="Arial" w:hAnsi="Arial" w:cs="Arial"/>
          <w:spacing w:val="1"/>
          <w:sz w:val="24"/>
          <w:szCs w:val="24"/>
        </w:rPr>
        <w:t>iq</w:t>
      </w:r>
      <w:r>
        <w:rPr>
          <w:rFonts w:ascii="Arial" w:hAnsi="Arial" w:cs="Arial"/>
          <w:sz w:val="24"/>
          <w:szCs w:val="24"/>
        </w:rPr>
        <w:t xml:space="preserve">ues </w:t>
      </w:r>
      <w:r>
        <w:rPr>
          <w:rFonts w:ascii="Arial" w:hAnsi="Arial" w:cs="Arial"/>
          <w:spacing w:val="-1"/>
          <w:sz w:val="24"/>
          <w:szCs w:val="24"/>
        </w:rPr>
        <w:t>s</w:t>
      </w:r>
      <w:r>
        <w:rPr>
          <w:rFonts w:ascii="Arial" w:hAnsi="Arial" w:cs="Arial"/>
          <w:sz w:val="24"/>
          <w:szCs w:val="24"/>
        </w:rPr>
        <w:t xml:space="preserve">ont </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r</w:t>
      </w:r>
      <w:r>
        <w:rPr>
          <w:rFonts w:ascii="Arial" w:hAnsi="Arial" w:cs="Arial"/>
          <w:spacing w:val="1"/>
          <w:sz w:val="24"/>
          <w:szCs w:val="24"/>
        </w:rPr>
        <w:t>g</w:t>
      </w:r>
      <w:r>
        <w:rPr>
          <w:rFonts w:ascii="Arial" w:hAnsi="Arial" w:cs="Arial"/>
          <w:sz w:val="24"/>
          <w:szCs w:val="24"/>
        </w:rPr>
        <w:t>e</w:t>
      </w:r>
      <w:r>
        <w:rPr>
          <w:rFonts w:ascii="Arial" w:hAnsi="Arial" w:cs="Arial"/>
          <w:spacing w:val="2"/>
          <w:sz w:val="24"/>
          <w:szCs w:val="24"/>
        </w:rPr>
        <w:t>n</w:t>
      </w:r>
      <w:r>
        <w:rPr>
          <w:rFonts w:ascii="Arial" w:hAnsi="Arial" w:cs="Arial"/>
          <w:spacing w:val="-1"/>
          <w:sz w:val="24"/>
          <w:szCs w:val="24"/>
        </w:rPr>
        <w:t>c</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our</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u</w:t>
      </w:r>
      <w:r>
        <w:rPr>
          <w:rFonts w:ascii="Arial" w:hAnsi="Arial" w:cs="Arial"/>
          <w:spacing w:val="3"/>
          <w:sz w:val="24"/>
          <w:szCs w:val="24"/>
        </w:rPr>
        <w:t>v</w:t>
      </w:r>
      <w:r>
        <w:rPr>
          <w:rFonts w:ascii="Arial" w:hAnsi="Arial" w:cs="Arial"/>
          <w:sz w:val="24"/>
          <w:szCs w:val="24"/>
        </w:rPr>
        <w:t>er</w:t>
      </w:r>
      <w:r>
        <w:rPr>
          <w:rFonts w:ascii="Arial" w:hAnsi="Arial" w:cs="Arial"/>
          <w:spacing w:val="1"/>
          <w:sz w:val="24"/>
          <w:szCs w:val="24"/>
        </w:rPr>
        <w:t xml:space="preserve"> </w:t>
      </w:r>
      <w:r>
        <w:rPr>
          <w:rFonts w:ascii="Arial" w:hAnsi="Arial" w:cs="Arial"/>
          <w:sz w:val="24"/>
          <w:szCs w:val="24"/>
        </w:rPr>
        <w:t>et</w:t>
      </w:r>
      <w:r>
        <w:rPr>
          <w:rFonts w:ascii="Arial" w:hAnsi="Arial" w:cs="Arial"/>
          <w:spacing w:val="4"/>
          <w:sz w:val="24"/>
          <w:szCs w:val="24"/>
        </w:rPr>
        <w:t xml:space="preserve"> </w:t>
      </w:r>
      <w:r>
        <w:rPr>
          <w:rFonts w:ascii="Arial" w:hAnsi="Arial" w:cs="Arial"/>
          <w:spacing w:val="-1"/>
          <w:sz w:val="24"/>
          <w:szCs w:val="24"/>
        </w:rPr>
        <w:t>p</w:t>
      </w:r>
      <w:r>
        <w:rPr>
          <w:rFonts w:ascii="Arial" w:hAnsi="Arial" w:cs="Arial"/>
          <w:sz w:val="24"/>
          <w:szCs w:val="24"/>
        </w:rPr>
        <w:t>é</w:t>
      </w:r>
      <w:r>
        <w:rPr>
          <w:rFonts w:ascii="Arial" w:hAnsi="Arial" w:cs="Arial"/>
          <w:spacing w:val="-1"/>
          <w:sz w:val="24"/>
          <w:szCs w:val="24"/>
        </w:rPr>
        <w:t>r</w:t>
      </w:r>
      <w:r>
        <w:rPr>
          <w:rFonts w:ascii="Arial" w:hAnsi="Arial" w:cs="Arial"/>
          <w:sz w:val="24"/>
          <w:szCs w:val="24"/>
        </w:rPr>
        <w:t>enn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 xml:space="preserve">er </w:t>
      </w:r>
      <w:r>
        <w:rPr>
          <w:rFonts w:ascii="Arial" w:hAnsi="Arial" w:cs="Arial"/>
          <w:spacing w:val="-1"/>
          <w:sz w:val="24"/>
          <w:szCs w:val="24"/>
        </w:rPr>
        <w:t>c</w:t>
      </w:r>
      <w:r>
        <w:rPr>
          <w:rFonts w:ascii="Arial" w:hAnsi="Arial" w:cs="Arial"/>
          <w:sz w:val="24"/>
          <w:szCs w:val="24"/>
        </w:rPr>
        <w:t>e</w:t>
      </w:r>
      <w:r>
        <w:rPr>
          <w:rFonts w:ascii="Arial" w:hAnsi="Arial" w:cs="Arial"/>
          <w:spacing w:val="3"/>
          <w:sz w:val="24"/>
          <w:szCs w:val="24"/>
        </w:rPr>
        <w:t>t</w:t>
      </w:r>
      <w:r>
        <w:rPr>
          <w:rFonts w:ascii="Arial" w:hAnsi="Arial" w:cs="Arial"/>
          <w:sz w:val="24"/>
          <w:szCs w:val="24"/>
        </w:rPr>
        <w:t>te</w:t>
      </w:r>
      <w:r>
        <w:rPr>
          <w:rFonts w:ascii="Arial" w:hAnsi="Arial" w:cs="Arial"/>
          <w:spacing w:val="2"/>
          <w:sz w:val="24"/>
          <w:szCs w:val="24"/>
        </w:rPr>
        <w:t xml:space="preserve"> </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qui</w:t>
      </w:r>
      <w:r>
        <w:rPr>
          <w:rFonts w:ascii="Arial" w:hAnsi="Arial" w:cs="Arial"/>
          <w:spacing w:val="3"/>
          <w:sz w:val="24"/>
          <w:szCs w:val="24"/>
        </w:rPr>
        <w:t xml:space="preserve"> </w:t>
      </w:r>
      <w:r>
        <w:rPr>
          <w:rFonts w:ascii="Arial" w:hAnsi="Arial" w:cs="Arial"/>
          <w:sz w:val="24"/>
          <w:szCs w:val="24"/>
        </w:rPr>
        <w:t>nou</w:t>
      </w:r>
      <w:r>
        <w:rPr>
          <w:rFonts w:ascii="Arial" w:hAnsi="Arial" w:cs="Arial"/>
          <w:spacing w:val="-1"/>
          <w:sz w:val="24"/>
          <w:szCs w:val="24"/>
        </w:rPr>
        <w:t>rr</w:t>
      </w:r>
      <w:r>
        <w:rPr>
          <w:rFonts w:ascii="Arial" w:hAnsi="Arial" w:cs="Arial"/>
          <w:spacing w:val="1"/>
          <w:sz w:val="24"/>
          <w:szCs w:val="24"/>
        </w:rPr>
        <w:t>i</w:t>
      </w:r>
      <w:r>
        <w:rPr>
          <w:rFonts w:ascii="Arial" w:hAnsi="Arial" w:cs="Arial"/>
          <w:sz w:val="24"/>
          <w:szCs w:val="24"/>
        </w:rPr>
        <w:t>t</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l</w:t>
      </w:r>
      <w:r>
        <w:rPr>
          <w:rFonts w:ascii="Arial" w:hAnsi="Arial" w:cs="Arial"/>
          <w:spacing w:val="1"/>
          <w:sz w:val="24"/>
          <w:szCs w:val="24"/>
        </w:rPr>
        <w:t>li</w:t>
      </w:r>
      <w:r>
        <w:rPr>
          <w:rFonts w:ascii="Arial" w:hAnsi="Arial" w:cs="Arial"/>
          <w:sz w:val="24"/>
          <w:szCs w:val="24"/>
        </w:rPr>
        <w:t>ons</w:t>
      </w:r>
      <w:r>
        <w:rPr>
          <w:rFonts w:ascii="Arial" w:hAnsi="Arial" w:cs="Arial"/>
          <w:spacing w:val="2"/>
          <w:sz w:val="24"/>
          <w:szCs w:val="24"/>
        </w:rPr>
        <w:t xml:space="preserve"> </w:t>
      </w:r>
      <w:r>
        <w:rPr>
          <w:rFonts w:ascii="Arial" w:hAnsi="Arial" w:cs="Arial"/>
          <w:spacing w:val="-3"/>
          <w:sz w:val="24"/>
          <w:szCs w:val="24"/>
        </w:rPr>
        <w:t>d</w:t>
      </w:r>
      <w:r>
        <w:rPr>
          <w:rFonts w:ascii="Arial" w:hAnsi="Arial" w:cs="Arial"/>
          <w:sz w:val="24"/>
          <w:szCs w:val="24"/>
        </w:rPr>
        <w:t xml:space="preserve">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la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z w:val="24"/>
          <w:szCs w:val="24"/>
        </w:rPr>
        <w:t>Au</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l</w:t>
      </w:r>
      <w:r>
        <w:rPr>
          <w:rFonts w:ascii="Arial" w:hAnsi="Arial" w:cs="Arial"/>
          <w:sz w:val="24"/>
          <w:szCs w:val="24"/>
        </w:rPr>
        <w:t>à</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 xml:space="preserve">hénomènes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 à</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4"/>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z w:val="24"/>
          <w:szCs w:val="24"/>
        </w:rPr>
        <w:t xml:space="preserve">à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he</w:t>
      </w:r>
      <w:r>
        <w:rPr>
          <w:rFonts w:ascii="Arial" w:hAnsi="Arial" w:cs="Arial"/>
          <w:spacing w:val="-1"/>
          <w:sz w:val="24"/>
          <w:szCs w:val="24"/>
        </w:rPr>
        <w:t>s</w:t>
      </w:r>
      <w:r>
        <w:rPr>
          <w:rFonts w:ascii="Arial" w:hAnsi="Arial" w:cs="Arial"/>
          <w:sz w:val="24"/>
          <w:szCs w:val="24"/>
        </w:rPr>
        <w:t>,</w:t>
      </w:r>
      <w:r>
        <w:rPr>
          <w:rFonts w:ascii="Arial" w:hAnsi="Arial" w:cs="Arial"/>
          <w:spacing w:val="10"/>
          <w:sz w:val="24"/>
          <w:szCs w:val="24"/>
        </w:rPr>
        <w:t xml:space="preserve"> </w:t>
      </w:r>
      <w:r>
        <w:rPr>
          <w:rFonts w:ascii="Arial" w:hAnsi="Arial" w:cs="Arial"/>
          <w:sz w:val="24"/>
          <w:szCs w:val="24"/>
        </w:rPr>
        <w:t>et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l</w:t>
      </w:r>
      <w:r>
        <w:rPr>
          <w:rFonts w:ascii="Arial" w:hAnsi="Arial" w:cs="Arial"/>
          <w:sz w:val="24"/>
          <w:szCs w:val="24"/>
        </w:rPr>
        <w:t>ut</w:t>
      </w:r>
      <w:r>
        <w:rPr>
          <w:rFonts w:ascii="Arial" w:hAnsi="Arial" w:cs="Arial"/>
          <w:spacing w:val="1"/>
          <w:sz w:val="24"/>
          <w:szCs w:val="24"/>
        </w:rPr>
        <w:t>i</w:t>
      </w:r>
      <w:r>
        <w:rPr>
          <w:rFonts w:ascii="Arial" w:hAnsi="Arial" w:cs="Arial"/>
          <w:sz w:val="24"/>
          <w:szCs w:val="24"/>
        </w:rPr>
        <w:t>on</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ou</w:t>
      </w:r>
      <w:r>
        <w:rPr>
          <w:rFonts w:ascii="Arial" w:hAnsi="Arial" w:cs="Arial"/>
          <w:spacing w:val="-1"/>
          <w:sz w:val="24"/>
          <w:szCs w:val="24"/>
        </w:rPr>
        <w:t>r</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2"/>
          <w:sz w:val="24"/>
          <w:szCs w:val="24"/>
        </w:rPr>
        <w:t xml:space="preserve"> dollar et du </w:t>
      </w:r>
      <w:r>
        <w:rPr>
          <w:rFonts w:ascii="Arial" w:hAnsi="Arial" w:cs="Arial"/>
          <w:spacing w:val="-1"/>
          <w:sz w:val="24"/>
          <w:szCs w:val="24"/>
        </w:rPr>
        <w:t>c</w:t>
      </w:r>
      <w:r>
        <w:rPr>
          <w:rFonts w:ascii="Arial" w:hAnsi="Arial" w:cs="Arial"/>
          <w:spacing w:val="2"/>
          <w:sz w:val="24"/>
          <w:szCs w:val="24"/>
        </w:rPr>
        <w:t>o</w:t>
      </w:r>
      <w:r>
        <w:rPr>
          <w:rFonts w:ascii="Arial" w:hAnsi="Arial" w:cs="Arial"/>
          <w:sz w:val="24"/>
          <w:szCs w:val="24"/>
        </w:rPr>
        <w:t>ton</w:t>
      </w:r>
      <w:r>
        <w:rPr>
          <w:rFonts w:ascii="Arial" w:hAnsi="Arial" w:cs="Arial"/>
          <w:spacing w:val="7"/>
          <w:sz w:val="24"/>
          <w:szCs w:val="24"/>
        </w:rPr>
        <w:t xml:space="preserve"> </w:t>
      </w:r>
      <w:r>
        <w:rPr>
          <w:rFonts w:ascii="Arial" w:hAnsi="Arial" w:cs="Arial"/>
          <w:spacing w:val="1"/>
          <w:sz w:val="24"/>
          <w:szCs w:val="24"/>
        </w:rPr>
        <w:t>q</w:t>
      </w:r>
      <w:r>
        <w:rPr>
          <w:rFonts w:ascii="Arial" w:hAnsi="Arial" w:cs="Arial"/>
          <w:sz w:val="24"/>
          <w:szCs w:val="24"/>
        </w:rPr>
        <w:t>ui</w:t>
      </w:r>
      <w:r>
        <w:rPr>
          <w:rFonts w:ascii="Arial" w:hAnsi="Arial" w:cs="Arial"/>
          <w:spacing w:val="11"/>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 e</w:t>
      </w:r>
      <w:r>
        <w:rPr>
          <w:rFonts w:ascii="Arial" w:hAnsi="Arial" w:cs="Arial"/>
          <w:spacing w:val="1"/>
          <w:sz w:val="24"/>
          <w:szCs w:val="24"/>
        </w:rPr>
        <w:t>x</w:t>
      </w:r>
      <w:r>
        <w:rPr>
          <w:rFonts w:ascii="Arial" w:hAnsi="Arial" w:cs="Arial"/>
          <w:sz w:val="24"/>
          <w:szCs w:val="24"/>
        </w:rPr>
        <w:t>te</w:t>
      </w:r>
      <w:r>
        <w:rPr>
          <w:rFonts w:ascii="Arial" w:hAnsi="Arial" w:cs="Arial"/>
          <w:spacing w:val="-1"/>
          <w:sz w:val="24"/>
          <w:szCs w:val="24"/>
        </w:rPr>
        <w:t>r</w:t>
      </w:r>
      <w:r>
        <w:rPr>
          <w:rFonts w:ascii="Arial" w:hAnsi="Arial" w:cs="Arial"/>
          <w:sz w:val="24"/>
          <w:szCs w:val="24"/>
        </w:rPr>
        <w:t xml:space="preserve">nes </w:t>
      </w:r>
      <w:r>
        <w:rPr>
          <w:rFonts w:ascii="Arial" w:hAnsi="Arial" w:cs="Arial"/>
          <w:spacing w:val="2"/>
          <w:sz w:val="24"/>
          <w:szCs w:val="24"/>
        </w:rPr>
        <w:t>f</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xq</w:t>
      </w:r>
      <w:r>
        <w:rPr>
          <w:rFonts w:ascii="Arial" w:hAnsi="Arial" w:cs="Arial"/>
          <w:sz w:val="24"/>
          <w:szCs w:val="24"/>
        </w:rPr>
        <w:t>u</w:t>
      </w:r>
      <w:r>
        <w:rPr>
          <w:rFonts w:ascii="Arial" w:hAnsi="Arial" w:cs="Arial"/>
          <w:spacing w:val="-2"/>
          <w:sz w:val="24"/>
          <w:szCs w:val="24"/>
        </w:rPr>
        <w:t>e</w:t>
      </w:r>
      <w:r>
        <w:rPr>
          <w:rFonts w:ascii="Arial" w:hAnsi="Arial" w:cs="Arial"/>
          <w:spacing w:val="1"/>
          <w:sz w:val="24"/>
          <w:szCs w:val="24"/>
        </w:rPr>
        <w:t>l</w:t>
      </w:r>
      <w:r>
        <w:rPr>
          <w:rFonts w:ascii="Arial" w:hAnsi="Arial" w:cs="Arial"/>
          <w:sz w:val="24"/>
          <w:szCs w:val="24"/>
        </w:rPr>
        <w:t>s</w:t>
      </w:r>
      <w:r>
        <w:rPr>
          <w:rFonts w:ascii="Arial" w:hAnsi="Arial" w:cs="Arial"/>
          <w:spacing w:val="1"/>
          <w:sz w:val="24"/>
          <w:szCs w:val="24"/>
        </w:rPr>
        <w:t xml:space="preserve"> la RCA</w:t>
      </w:r>
      <w:r>
        <w:rPr>
          <w:rFonts w:ascii="Arial" w:hAnsi="Arial" w:cs="Arial"/>
          <w:spacing w:val="2"/>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w:t>
      </w:r>
      <w:r>
        <w:rPr>
          <w:rFonts w:ascii="Arial" w:hAnsi="Arial" w:cs="Arial"/>
          <w:sz w:val="24"/>
          <w:szCs w:val="24"/>
        </w:rPr>
        <w:t xml:space="preserve">te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z w:val="24"/>
          <w:szCs w:val="24"/>
        </w:rPr>
        <w:t>u</w:t>
      </w:r>
      <w:r>
        <w:rPr>
          <w:rFonts w:ascii="Arial" w:hAnsi="Arial" w:cs="Arial"/>
          <w:spacing w:val="1"/>
          <w:sz w:val="24"/>
          <w:szCs w:val="24"/>
        </w:rPr>
        <w:t>i</w:t>
      </w:r>
      <w:r>
        <w:rPr>
          <w:rFonts w:ascii="Arial" w:hAnsi="Arial" w:cs="Arial"/>
          <w:spacing w:val="-1"/>
          <w:sz w:val="24"/>
          <w:szCs w:val="24"/>
        </w:rPr>
        <w:t>ss</w:t>
      </w:r>
      <w:r>
        <w:rPr>
          <w:rFonts w:ascii="Arial" w:hAnsi="Arial" w:cs="Arial"/>
          <w:spacing w:val="1"/>
          <w:sz w:val="24"/>
          <w:szCs w:val="24"/>
        </w:rPr>
        <w:t>a</w:t>
      </w:r>
      <w:r>
        <w:rPr>
          <w:rFonts w:ascii="Arial" w:hAnsi="Arial" w:cs="Arial"/>
          <w:sz w:val="24"/>
          <w:szCs w:val="24"/>
        </w:rPr>
        <w:t>nt,</w:t>
      </w:r>
      <w:r>
        <w:rPr>
          <w:rFonts w:ascii="Arial" w:hAnsi="Arial" w:cs="Arial"/>
          <w:spacing w:val="34"/>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9"/>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ivi</w:t>
      </w:r>
      <w:r>
        <w:rPr>
          <w:rFonts w:ascii="Arial" w:hAnsi="Arial" w:cs="Arial"/>
          <w:sz w:val="24"/>
          <w:szCs w:val="24"/>
        </w:rPr>
        <w:t>té</w:t>
      </w:r>
      <w:r>
        <w:rPr>
          <w:rFonts w:ascii="Arial" w:hAnsi="Arial" w:cs="Arial"/>
          <w:spacing w:val="31"/>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37"/>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6"/>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pacing w:val="1"/>
          <w:sz w:val="24"/>
          <w:szCs w:val="24"/>
        </w:rPr>
        <w:t>li</w:t>
      </w:r>
      <w:r>
        <w:rPr>
          <w:rFonts w:ascii="Arial" w:hAnsi="Arial" w:cs="Arial"/>
          <w:sz w:val="24"/>
          <w:szCs w:val="24"/>
        </w:rPr>
        <w:t>té</w:t>
      </w:r>
      <w:r>
        <w:rPr>
          <w:rFonts w:ascii="Arial" w:hAnsi="Arial" w:cs="Arial"/>
          <w:spacing w:val="32"/>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38"/>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35"/>
          <w:sz w:val="24"/>
          <w:szCs w:val="24"/>
        </w:rPr>
        <w:t xml:space="preserve"> </w:t>
      </w:r>
      <w:r>
        <w:rPr>
          <w:rFonts w:ascii="Arial" w:hAnsi="Arial" w:cs="Arial"/>
          <w:spacing w:val="1"/>
          <w:sz w:val="24"/>
          <w:szCs w:val="24"/>
        </w:rPr>
        <w:t>centrafricain</w:t>
      </w:r>
      <w:r>
        <w:rPr>
          <w:rFonts w:ascii="Arial" w:hAnsi="Arial" w:cs="Arial"/>
          <w:spacing w:val="33"/>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l</w:t>
      </w:r>
      <w:r>
        <w:rPr>
          <w:rFonts w:ascii="Arial" w:hAnsi="Arial" w:cs="Arial"/>
          <w:sz w:val="24"/>
          <w:szCs w:val="24"/>
        </w:rPr>
        <w:t>è</w:t>
      </w:r>
      <w:r>
        <w:rPr>
          <w:rFonts w:ascii="Arial" w:hAnsi="Arial" w:cs="Arial"/>
          <w:spacing w:val="1"/>
          <w:sz w:val="24"/>
          <w:szCs w:val="24"/>
        </w:rPr>
        <w:t>v</w:t>
      </w:r>
      <w:r>
        <w:rPr>
          <w:rFonts w:ascii="Arial" w:hAnsi="Arial" w:cs="Arial"/>
          <w:sz w:val="24"/>
          <w:szCs w:val="24"/>
        </w:rPr>
        <w:t>ent</w:t>
      </w:r>
      <w:r>
        <w:rPr>
          <w:rFonts w:ascii="Arial" w:hAnsi="Arial" w:cs="Arial"/>
          <w:spacing w:val="34"/>
          <w:sz w:val="24"/>
          <w:szCs w:val="24"/>
        </w:rPr>
        <w:t xml:space="preserve"> </w:t>
      </w:r>
      <w:r>
        <w:rPr>
          <w:rFonts w:ascii="Arial" w:hAnsi="Arial" w:cs="Arial"/>
          <w:sz w:val="24"/>
          <w:szCs w:val="24"/>
        </w:rPr>
        <w:t>né</w:t>
      </w:r>
      <w:r>
        <w:rPr>
          <w:rFonts w:ascii="Arial" w:hAnsi="Arial" w:cs="Arial"/>
          <w:spacing w:val="1"/>
          <w:sz w:val="24"/>
          <w:szCs w:val="24"/>
        </w:rPr>
        <w:t>a</w:t>
      </w:r>
      <w:r>
        <w:rPr>
          <w:rFonts w:ascii="Arial" w:hAnsi="Arial" w:cs="Arial"/>
          <w:sz w:val="24"/>
          <w:szCs w:val="24"/>
        </w:rPr>
        <w:t>nm</w:t>
      </w:r>
      <w:r>
        <w:rPr>
          <w:rFonts w:ascii="Arial" w:hAnsi="Arial" w:cs="Arial"/>
          <w:spacing w:val="-2"/>
          <w:sz w:val="24"/>
          <w:szCs w:val="24"/>
        </w:rPr>
        <w:t>o</w:t>
      </w:r>
      <w:r>
        <w:rPr>
          <w:rFonts w:ascii="Arial" w:hAnsi="Arial" w:cs="Arial"/>
          <w:spacing w:val="1"/>
          <w:sz w:val="24"/>
          <w:szCs w:val="24"/>
        </w:rPr>
        <w:t>i</w:t>
      </w:r>
      <w:r>
        <w:rPr>
          <w:rFonts w:ascii="Arial" w:hAnsi="Arial" w:cs="Arial"/>
          <w:sz w:val="24"/>
          <w:szCs w:val="24"/>
        </w:rPr>
        <w:t xml:space="preserve">ns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bl</w:t>
      </w:r>
      <w:r>
        <w:rPr>
          <w:rFonts w:ascii="Arial" w:hAnsi="Arial" w:cs="Arial"/>
          <w:sz w:val="24"/>
          <w:szCs w:val="24"/>
        </w:rPr>
        <w:t>èmes n</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w:t>
      </w:r>
      <w:r>
        <w:rPr>
          <w:rFonts w:ascii="Arial" w:hAnsi="Arial" w:cs="Arial"/>
          <w:spacing w:val="-2"/>
          <w:sz w:val="24"/>
          <w:szCs w:val="24"/>
        </w:rPr>
        <w:t>n</w:t>
      </w:r>
      <w:r>
        <w:rPr>
          <w:rFonts w:ascii="Arial" w:hAnsi="Arial" w:cs="Arial"/>
          <w:spacing w:val="1"/>
          <w:sz w:val="24"/>
          <w:szCs w:val="24"/>
        </w:rPr>
        <w:t>a</w:t>
      </w:r>
      <w:r>
        <w:rPr>
          <w:rFonts w:ascii="Arial" w:hAnsi="Arial" w:cs="Arial"/>
          <w:sz w:val="24"/>
          <w:szCs w:val="24"/>
        </w:rPr>
        <w:t>ux</w:t>
      </w:r>
      <w:r>
        <w:rPr>
          <w:rFonts w:ascii="Arial" w:hAnsi="Arial" w:cs="Arial"/>
          <w:spacing w:val="3"/>
          <w:sz w:val="24"/>
          <w:szCs w:val="24"/>
        </w:rPr>
        <w:t xml:space="preserve"> qui sont presque les mêmes dans la sous-région, problèmes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xq</w:t>
      </w:r>
      <w:r>
        <w:rPr>
          <w:rFonts w:ascii="Arial" w:hAnsi="Arial" w:cs="Arial"/>
          <w:sz w:val="24"/>
          <w:szCs w:val="24"/>
        </w:rPr>
        <w:t>u</w:t>
      </w:r>
      <w:r>
        <w:rPr>
          <w:rFonts w:ascii="Arial" w:hAnsi="Arial" w:cs="Arial"/>
          <w:spacing w:val="-2"/>
          <w:sz w:val="24"/>
          <w:szCs w:val="24"/>
        </w:rPr>
        <w:t>e</w:t>
      </w:r>
      <w:r>
        <w:rPr>
          <w:rFonts w:ascii="Arial" w:hAnsi="Arial" w:cs="Arial"/>
          <w:spacing w:val="1"/>
          <w:sz w:val="24"/>
          <w:szCs w:val="24"/>
        </w:rPr>
        <w:t>l</w:t>
      </w:r>
      <w:r>
        <w:rPr>
          <w:rFonts w:ascii="Arial" w:hAnsi="Arial" w:cs="Arial"/>
          <w:sz w:val="24"/>
          <w:szCs w:val="24"/>
        </w:rPr>
        <w:t>s</w:t>
      </w:r>
      <w:r>
        <w:rPr>
          <w:rFonts w:ascii="Arial" w:hAnsi="Arial" w:cs="Arial"/>
          <w:spacing w:val="3"/>
          <w:sz w:val="24"/>
          <w:szCs w:val="24"/>
        </w:rPr>
        <w:t xml:space="preserve"> </w:t>
      </w:r>
      <w:r>
        <w:rPr>
          <w:rFonts w:ascii="Arial" w:hAnsi="Arial" w:cs="Arial"/>
          <w:sz w:val="24"/>
          <w:szCs w:val="24"/>
        </w:rPr>
        <w:t>une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l</w:t>
      </w:r>
      <w:r>
        <w:rPr>
          <w:rFonts w:ascii="Arial" w:hAnsi="Arial" w:cs="Arial"/>
          <w:sz w:val="24"/>
          <w:szCs w:val="24"/>
        </w:rPr>
        <w:t>ut</w:t>
      </w:r>
      <w:r>
        <w:rPr>
          <w:rFonts w:ascii="Arial" w:hAnsi="Arial" w:cs="Arial"/>
          <w:spacing w:val="1"/>
          <w:sz w:val="24"/>
          <w:szCs w:val="24"/>
        </w:rPr>
        <w:t>i</w:t>
      </w:r>
      <w:r>
        <w:rPr>
          <w:rFonts w:ascii="Arial" w:hAnsi="Arial" w:cs="Arial"/>
          <w:sz w:val="24"/>
          <w:szCs w:val="24"/>
        </w:rPr>
        <w:t>on</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r</w:t>
      </w:r>
      <w:r>
        <w:rPr>
          <w:rFonts w:ascii="Arial" w:hAnsi="Arial" w:cs="Arial"/>
          <w:sz w:val="24"/>
          <w:szCs w:val="24"/>
        </w:rPr>
        <w:t>tée</w:t>
      </w:r>
      <w:r>
        <w:rPr>
          <w:rFonts w:ascii="Arial" w:hAnsi="Arial" w:cs="Arial"/>
          <w:spacing w:val="3"/>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pacing w:val="1"/>
          <w:sz w:val="24"/>
          <w:szCs w:val="24"/>
        </w:rPr>
        <w:t>gl</w:t>
      </w:r>
      <w:r>
        <w:rPr>
          <w:rFonts w:ascii="Arial" w:hAnsi="Arial" w:cs="Arial"/>
          <w:sz w:val="24"/>
          <w:szCs w:val="24"/>
        </w:rPr>
        <w:t>o</w:t>
      </w:r>
      <w:r>
        <w:rPr>
          <w:rFonts w:ascii="Arial" w:hAnsi="Arial" w:cs="Arial"/>
          <w:spacing w:val="1"/>
          <w:sz w:val="24"/>
          <w:szCs w:val="24"/>
        </w:rPr>
        <w:t>bal</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eut</w:t>
      </w:r>
      <w:r>
        <w:rPr>
          <w:rFonts w:ascii="Arial" w:hAnsi="Arial" w:cs="Arial"/>
          <w:spacing w:val="6"/>
          <w:sz w:val="24"/>
          <w:szCs w:val="24"/>
        </w:rPr>
        <w:t xml:space="preserve"> </w:t>
      </w:r>
      <w:r>
        <w:rPr>
          <w:rFonts w:ascii="Arial" w:hAnsi="Arial" w:cs="Arial"/>
          <w:spacing w:val="1"/>
          <w:sz w:val="24"/>
          <w:szCs w:val="24"/>
        </w:rPr>
        <w:t>a</w:t>
      </w:r>
      <w:r>
        <w:rPr>
          <w:rFonts w:ascii="Arial" w:hAnsi="Arial" w:cs="Arial"/>
          <w:spacing w:val="-1"/>
          <w:sz w:val="24"/>
          <w:szCs w:val="24"/>
        </w:rPr>
        <w:t>ss</w:t>
      </w:r>
      <w:r>
        <w:rPr>
          <w:rFonts w:ascii="Arial" w:hAnsi="Arial" w:cs="Arial"/>
          <w:sz w:val="24"/>
          <w:szCs w:val="24"/>
        </w:rPr>
        <w:t>u</w:t>
      </w:r>
      <w:r>
        <w:rPr>
          <w:rFonts w:ascii="Arial" w:hAnsi="Arial" w:cs="Arial"/>
          <w:spacing w:val="-1"/>
          <w:sz w:val="24"/>
          <w:szCs w:val="24"/>
        </w:rPr>
        <w:t>r</w:t>
      </w:r>
      <w:r>
        <w:rPr>
          <w:rFonts w:ascii="Arial" w:hAnsi="Arial" w:cs="Arial"/>
          <w:sz w:val="24"/>
          <w:szCs w:val="24"/>
        </w:rPr>
        <w:t>er un</w:t>
      </w:r>
      <w:r>
        <w:rPr>
          <w:rFonts w:ascii="Arial" w:hAnsi="Arial" w:cs="Arial"/>
          <w:spacing w:val="5"/>
          <w:sz w:val="24"/>
          <w:szCs w:val="24"/>
        </w:rPr>
        <w:t xml:space="preserve"> </w:t>
      </w:r>
      <w:r>
        <w:rPr>
          <w:rFonts w:ascii="Arial" w:hAnsi="Arial" w:cs="Arial"/>
          <w:spacing w:val="1"/>
          <w:sz w:val="24"/>
          <w:szCs w:val="24"/>
        </w:rPr>
        <w:t>av</w:t>
      </w:r>
      <w:r>
        <w:rPr>
          <w:rFonts w:ascii="Arial" w:hAnsi="Arial" w:cs="Arial"/>
          <w:sz w:val="24"/>
          <w:szCs w:val="24"/>
        </w:rPr>
        <w:t>en</w:t>
      </w:r>
      <w:r>
        <w:rPr>
          <w:rFonts w:ascii="Arial" w:hAnsi="Arial" w:cs="Arial"/>
          <w:spacing w:val="1"/>
          <w:sz w:val="24"/>
          <w:szCs w:val="24"/>
        </w:rPr>
        <w:t>i</w:t>
      </w:r>
      <w:r>
        <w:rPr>
          <w:rFonts w:ascii="Arial" w:hAnsi="Arial" w:cs="Arial"/>
          <w:sz w:val="24"/>
          <w:szCs w:val="24"/>
        </w:rPr>
        <w:t>r</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b</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 xml:space="preserve"> a</w:t>
      </w:r>
      <w:r>
        <w:rPr>
          <w:rFonts w:ascii="Arial" w:hAnsi="Arial" w:cs="Arial"/>
          <w:sz w:val="24"/>
          <w:szCs w:val="24"/>
        </w:rPr>
        <w:t>u</w:t>
      </w:r>
      <w:r>
        <w:rPr>
          <w:rFonts w:ascii="Arial" w:hAnsi="Arial" w:cs="Arial"/>
          <w:spacing w:val="2"/>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3"/>
          <w:sz w:val="24"/>
          <w:szCs w:val="24"/>
        </w:rPr>
        <w:t xml:space="preserve"> </w:t>
      </w:r>
    </w:p>
    <w:p w14:paraId="658500B0" w14:textId="77777777" w:rsidR="008862C7" w:rsidRDefault="008862C7" w:rsidP="008862C7">
      <w:pPr>
        <w:widowControl w:val="0"/>
        <w:autoSpaceDE w:val="0"/>
        <w:autoSpaceDN w:val="0"/>
        <w:adjustRightInd w:val="0"/>
        <w:spacing w:before="120" w:after="0" w:line="360" w:lineRule="auto"/>
        <w:ind w:right="66"/>
        <w:jc w:val="both"/>
        <w:rPr>
          <w:rFonts w:ascii="Arial" w:hAnsi="Arial" w:cs="Arial"/>
          <w:sz w:val="24"/>
          <w:szCs w:val="24"/>
        </w:rPr>
      </w:pPr>
      <w:r>
        <w:rPr>
          <w:rFonts w:ascii="Arial" w:hAnsi="Arial" w:cs="Arial"/>
          <w:spacing w:val="1"/>
          <w:sz w:val="24"/>
          <w:szCs w:val="24"/>
        </w:rPr>
        <w:t>P</w:t>
      </w:r>
      <w:r>
        <w:rPr>
          <w:rFonts w:ascii="Arial" w:hAnsi="Arial" w:cs="Arial"/>
          <w:sz w:val="24"/>
          <w:szCs w:val="24"/>
        </w:rPr>
        <w:t>our</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la</w:t>
      </w:r>
      <w:r>
        <w:rPr>
          <w:rFonts w:ascii="Arial" w:hAnsi="Arial" w:cs="Arial"/>
          <w:sz w:val="24"/>
          <w:szCs w:val="24"/>
        </w:rPr>
        <w:t>,</w:t>
      </w:r>
      <w:r>
        <w:rPr>
          <w:rFonts w:ascii="Arial" w:hAnsi="Arial" w:cs="Arial"/>
          <w:spacing w:val="8"/>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c</w:t>
      </w:r>
      <w:r>
        <w:rPr>
          <w:rFonts w:ascii="Arial" w:hAnsi="Arial" w:cs="Arial"/>
          <w:sz w:val="24"/>
          <w:szCs w:val="24"/>
        </w:rPr>
        <w:t>e</w:t>
      </w:r>
      <w:r>
        <w:rPr>
          <w:rFonts w:ascii="Arial" w:hAnsi="Arial" w:cs="Arial"/>
          <w:spacing w:val="-1"/>
          <w:sz w:val="24"/>
          <w:szCs w:val="24"/>
        </w:rPr>
        <w:t>s</w:t>
      </w:r>
      <w:r>
        <w:rPr>
          <w:rFonts w:ascii="Arial" w:hAnsi="Arial" w:cs="Arial"/>
          <w:spacing w:val="2"/>
          <w:sz w:val="24"/>
          <w:szCs w:val="24"/>
        </w:rPr>
        <w:t>s</w:t>
      </w:r>
      <w:r>
        <w:rPr>
          <w:rFonts w:ascii="Arial" w:hAnsi="Arial" w:cs="Arial"/>
          <w:sz w:val="24"/>
          <w:szCs w:val="24"/>
        </w:rPr>
        <w:t>us</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lib</w:t>
      </w:r>
      <w:r>
        <w:rPr>
          <w:rFonts w:ascii="Arial" w:hAnsi="Arial" w:cs="Arial"/>
          <w:sz w:val="24"/>
          <w:szCs w:val="24"/>
        </w:rPr>
        <w:t>é</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 et</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pr</w:t>
      </w:r>
      <w:r>
        <w:rPr>
          <w:rFonts w:ascii="Arial" w:hAnsi="Arial" w:cs="Arial"/>
          <w:spacing w:val="1"/>
          <w:sz w:val="24"/>
          <w:szCs w:val="24"/>
        </w:rPr>
        <w:t>iva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 xml:space="preserve"> </w:t>
      </w:r>
      <w:r>
        <w:rPr>
          <w:rFonts w:ascii="Arial" w:hAnsi="Arial" w:cs="Arial"/>
          <w:spacing w:val="-3"/>
          <w:sz w:val="24"/>
          <w:szCs w:val="24"/>
        </w:rPr>
        <w:t>d</w:t>
      </w:r>
      <w:r>
        <w:rPr>
          <w:rFonts w:ascii="Arial" w:hAnsi="Arial" w:cs="Arial"/>
          <w:sz w:val="24"/>
          <w:szCs w:val="24"/>
        </w:rPr>
        <w:t>e la</w:t>
      </w:r>
      <w:r>
        <w:rPr>
          <w:rFonts w:ascii="Arial" w:hAnsi="Arial" w:cs="Arial"/>
          <w:spacing w:val="6"/>
          <w:sz w:val="24"/>
          <w:szCs w:val="24"/>
        </w:rPr>
        <w:t xml:space="preserve">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 xml:space="preserve">été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 ent</w:t>
      </w:r>
      <w:r>
        <w:rPr>
          <w:rFonts w:ascii="Arial" w:hAnsi="Arial" w:cs="Arial"/>
          <w:spacing w:val="1"/>
          <w:sz w:val="24"/>
          <w:szCs w:val="24"/>
        </w:rPr>
        <w:t>a</w:t>
      </w:r>
      <w:r>
        <w:rPr>
          <w:rFonts w:ascii="Arial" w:hAnsi="Arial" w:cs="Arial"/>
          <w:sz w:val="24"/>
          <w:szCs w:val="24"/>
        </w:rPr>
        <w:t xml:space="preserve">mé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i</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ou</w:t>
      </w:r>
      <w:r>
        <w:rPr>
          <w:rFonts w:ascii="Arial" w:hAnsi="Arial" w:cs="Arial"/>
          <w:spacing w:val="-1"/>
          <w:sz w:val="24"/>
          <w:szCs w:val="24"/>
        </w:rPr>
        <w:t>rs</w:t>
      </w:r>
      <w:r>
        <w:rPr>
          <w:rFonts w:ascii="Arial" w:hAnsi="Arial" w:cs="Arial"/>
          <w:sz w:val="24"/>
          <w:szCs w:val="24"/>
        </w:rPr>
        <w:t>u</w:t>
      </w:r>
      <w:r>
        <w:rPr>
          <w:rFonts w:ascii="Arial" w:hAnsi="Arial" w:cs="Arial"/>
          <w:spacing w:val="1"/>
          <w:sz w:val="24"/>
          <w:szCs w:val="24"/>
        </w:rPr>
        <w:t>iv</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et</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he</w:t>
      </w:r>
      <w:r>
        <w:rPr>
          <w:rFonts w:ascii="Arial" w:hAnsi="Arial" w:cs="Arial"/>
          <w:spacing w:val="1"/>
          <w:sz w:val="24"/>
          <w:szCs w:val="24"/>
        </w:rPr>
        <w:t>v</w:t>
      </w:r>
      <w:r>
        <w:rPr>
          <w:rFonts w:ascii="Arial" w:hAnsi="Arial" w:cs="Arial"/>
          <w:sz w:val="24"/>
          <w:szCs w:val="24"/>
        </w:rPr>
        <w:t xml:space="preserve">er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3"/>
          <w:sz w:val="24"/>
          <w:szCs w:val="24"/>
        </w:rPr>
        <w:t xml:space="preserve"> </w:t>
      </w:r>
      <w:r>
        <w:rPr>
          <w:rFonts w:ascii="Arial" w:hAnsi="Arial" w:cs="Arial"/>
          <w:sz w:val="24"/>
          <w:szCs w:val="24"/>
        </w:rPr>
        <w:t>un</w:t>
      </w:r>
      <w:r>
        <w:rPr>
          <w:rFonts w:ascii="Arial" w:hAnsi="Arial" w:cs="Arial"/>
          <w:spacing w:val="9"/>
          <w:sz w:val="24"/>
          <w:szCs w:val="24"/>
        </w:rPr>
        <w:t xml:space="preserve"> </w:t>
      </w:r>
      <w:r>
        <w:rPr>
          <w:rFonts w:ascii="Arial" w:hAnsi="Arial" w:cs="Arial"/>
          <w:sz w:val="24"/>
          <w:szCs w:val="24"/>
        </w:rPr>
        <w:t>ho</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zon</w:t>
      </w:r>
      <w:r>
        <w:rPr>
          <w:rFonts w:ascii="Arial" w:hAnsi="Arial" w:cs="Arial"/>
          <w:spacing w:val="4"/>
          <w:sz w:val="24"/>
          <w:szCs w:val="24"/>
        </w:rPr>
        <w:t xml:space="preserve"> </w:t>
      </w:r>
      <w:r>
        <w:rPr>
          <w:rFonts w:ascii="Arial" w:hAnsi="Arial" w:cs="Arial"/>
          <w:sz w:val="24"/>
          <w:szCs w:val="24"/>
        </w:rPr>
        <w:t>tem</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 xml:space="preserve">el </w:t>
      </w:r>
      <w:r>
        <w:rPr>
          <w:rFonts w:ascii="Arial" w:hAnsi="Arial" w:cs="Arial"/>
          <w:spacing w:val="-1"/>
          <w:sz w:val="24"/>
          <w:szCs w:val="24"/>
        </w:rPr>
        <w:t>pr</w:t>
      </w:r>
      <w:r>
        <w:rPr>
          <w:rFonts w:ascii="Arial" w:hAnsi="Arial" w:cs="Arial"/>
          <w:sz w:val="24"/>
          <w:szCs w:val="24"/>
        </w:rPr>
        <w:t>é</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U</w:t>
      </w:r>
      <w:r>
        <w:rPr>
          <w:rFonts w:ascii="Arial" w:hAnsi="Arial" w:cs="Arial"/>
          <w:sz w:val="24"/>
          <w:szCs w:val="24"/>
        </w:rPr>
        <w:t>ne</w:t>
      </w:r>
      <w:r>
        <w:rPr>
          <w:rFonts w:ascii="Arial" w:hAnsi="Arial" w:cs="Arial"/>
          <w:spacing w:val="7"/>
          <w:sz w:val="24"/>
          <w:szCs w:val="24"/>
        </w:rPr>
        <w:t xml:space="preserve"> </w:t>
      </w:r>
      <w:r>
        <w:rPr>
          <w:rFonts w:ascii="Arial" w:hAnsi="Arial" w:cs="Arial"/>
          <w:spacing w:val="1"/>
          <w:sz w:val="24"/>
          <w:szCs w:val="24"/>
        </w:rPr>
        <w:t>ap</w:t>
      </w:r>
      <w:r>
        <w:rPr>
          <w:rFonts w:ascii="Arial" w:hAnsi="Arial" w:cs="Arial"/>
          <w:spacing w:val="-1"/>
          <w:sz w:val="24"/>
          <w:szCs w:val="24"/>
        </w:rPr>
        <w:t>pr</w:t>
      </w:r>
      <w:r>
        <w:rPr>
          <w:rFonts w:ascii="Arial" w:hAnsi="Arial" w:cs="Arial"/>
          <w:sz w:val="24"/>
          <w:szCs w:val="24"/>
        </w:rPr>
        <w:t>o</w:t>
      </w:r>
      <w:r>
        <w:rPr>
          <w:rFonts w:ascii="Arial" w:hAnsi="Arial" w:cs="Arial"/>
          <w:spacing w:val="2"/>
          <w:sz w:val="24"/>
          <w:szCs w:val="24"/>
        </w:rPr>
        <w:t>ch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tém</w:t>
      </w:r>
      <w:r>
        <w:rPr>
          <w:rFonts w:ascii="Arial" w:hAnsi="Arial" w:cs="Arial"/>
          <w:spacing w:val="1"/>
          <w:sz w:val="24"/>
          <w:szCs w:val="24"/>
        </w:rPr>
        <w:t>iq</w:t>
      </w:r>
      <w:r>
        <w:rPr>
          <w:rFonts w:ascii="Arial" w:hAnsi="Arial" w:cs="Arial"/>
          <w:sz w:val="24"/>
          <w:szCs w:val="24"/>
        </w:rPr>
        <w:t xml:space="preserve">ue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i</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êt</w:t>
      </w:r>
      <w:r>
        <w:rPr>
          <w:rFonts w:ascii="Arial" w:hAnsi="Arial" w:cs="Arial"/>
          <w:spacing w:val="-1"/>
          <w:sz w:val="24"/>
          <w:szCs w:val="24"/>
        </w:rPr>
        <w:t>r</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p</w:t>
      </w:r>
      <w:r>
        <w:rPr>
          <w:rFonts w:ascii="Arial" w:hAnsi="Arial" w:cs="Arial"/>
          <w:sz w:val="24"/>
          <w:szCs w:val="24"/>
        </w:rPr>
        <w:t>tée</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6"/>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6"/>
          <w:sz w:val="24"/>
          <w:szCs w:val="24"/>
        </w:rPr>
        <w:t xml:space="preserve"> </w:t>
      </w:r>
      <w:r>
        <w:rPr>
          <w:rFonts w:ascii="Arial" w:hAnsi="Arial" w:cs="Arial"/>
          <w:sz w:val="24"/>
          <w:szCs w:val="24"/>
        </w:rPr>
        <w:t>tous</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te</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i</w:t>
      </w:r>
      <w:r>
        <w:rPr>
          <w:rFonts w:ascii="Arial" w:hAnsi="Arial" w:cs="Arial"/>
          <w:spacing w:val="1"/>
          <w:sz w:val="24"/>
          <w:szCs w:val="24"/>
        </w:rPr>
        <w:t>q</w:t>
      </w:r>
      <w:r>
        <w:rPr>
          <w:rFonts w:ascii="Arial" w:hAnsi="Arial" w:cs="Arial"/>
          <w:sz w:val="24"/>
          <w:szCs w:val="24"/>
        </w:rPr>
        <w:t>ués</w:t>
      </w:r>
      <w:r>
        <w:rPr>
          <w:rFonts w:ascii="Arial" w:hAnsi="Arial" w:cs="Arial"/>
          <w:spacing w:val="63"/>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 xml:space="preserve">ns </w:t>
      </w:r>
      <w:r>
        <w:rPr>
          <w:rFonts w:ascii="Arial" w:hAnsi="Arial" w:cs="Arial"/>
          <w:spacing w:val="1"/>
          <w:sz w:val="24"/>
          <w:szCs w:val="24"/>
        </w:rPr>
        <w:t>l</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fi</w:t>
      </w:r>
      <w:r>
        <w:rPr>
          <w:rFonts w:ascii="Arial" w:hAnsi="Arial" w:cs="Arial"/>
          <w:spacing w:val="1"/>
          <w:sz w:val="24"/>
          <w:szCs w:val="24"/>
        </w:rPr>
        <w:t>li</w:t>
      </w:r>
      <w:r>
        <w:rPr>
          <w:rFonts w:ascii="Arial" w:hAnsi="Arial" w:cs="Arial"/>
          <w:sz w:val="24"/>
          <w:szCs w:val="24"/>
        </w:rPr>
        <w:t>è</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64"/>
          <w:sz w:val="24"/>
          <w:szCs w:val="24"/>
        </w:rPr>
        <w:t xml:space="preserve"> </w:t>
      </w:r>
      <w:r>
        <w:rPr>
          <w:rFonts w:ascii="Arial" w:hAnsi="Arial" w:cs="Arial"/>
          <w:spacing w:val="-1"/>
          <w:sz w:val="24"/>
          <w:szCs w:val="24"/>
        </w:rPr>
        <w:t>(</w:t>
      </w:r>
      <w:r>
        <w:rPr>
          <w:rFonts w:ascii="Arial" w:hAnsi="Arial" w:cs="Arial"/>
          <w:sz w:val="24"/>
          <w:szCs w:val="24"/>
        </w:rPr>
        <w:t>Et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s</w:t>
      </w:r>
      <w:r>
        <w:rPr>
          <w:rFonts w:ascii="Arial" w:hAnsi="Arial" w:cs="Arial"/>
          <w:sz w:val="24"/>
          <w:szCs w:val="24"/>
        </w:rPr>
        <w:t>,</w:t>
      </w:r>
      <w:r>
        <w:rPr>
          <w:rFonts w:ascii="Arial" w:hAnsi="Arial" w:cs="Arial"/>
          <w:spacing w:val="64"/>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 xml:space="preserve">, </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w:t>
      </w:r>
      <w:r>
        <w:rPr>
          <w:rFonts w:ascii="Arial" w:hAnsi="Arial" w:cs="Arial"/>
          <w:sz w:val="24"/>
          <w:szCs w:val="24"/>
        </w:rPr>
        <w:t>étés</w:t>
      </w:r>
      <w:r>
        <w:rPr>
          <w:rFonts w:ascii="Arial" w:hAnsi="Arial" w:cs="Arial"/>
          <w:spacing w:val="65"/>
          <w:sz w:val="24"/>
          <w:szCs w:val="24"/>
        </w:rPr>
        <w:t xml:space="preserve">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w:t>
      </w:r>
      <w:r>
        <w:rPr>
          <w:rFonts w:ascii="Arial" w:hAnsi="Arial" w:cs="Arial"/>
          <w:sz w:val="24"/>
          <w:szCs w:val="24"/>
        </w:rPr>
        <w:t xml:space="preserve">, </w:t>
      </w:r>
      <w:r>
        <w:rPr>
          <w:rFonts w:ascii="Arial" w:hAnsi="Arial" w:cs="Arial"/>
          <w:spacing w:val="1"/>
          <w:sz w:val="24"/>
          <w:szCs w:val="24"/>
        </w:rPr>
        <w:t>a</w:t>
      </w:r>
      <w:r>
        <w:rPr>
          <w:rFonts w:ascii="Arial" w:hAnsi="Arial" w:cs="Arial"/>
          <w:spacing w:val="-1"/>
          <w:sz w:val="24"/>
          <w:szCs w:val="24"/>
        </w:rPr>
        <w:t>ss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1"/>
          <w:sz w:val="24"/>
          <w:szCs w:val="24"/>
        </w:rPr>
        <w:t xml:space="preserve"> </w:t>
      </w:r>
      <w:r>
        <w:rPr>
          <w:rFonts w:ascii="Arial" w:hAnsi="Arial" w:cs="Arial"/>
          <w:spacing w:val="1"/>
          <w:sz w:val="24"/>
          <w:szCs w:val="24"/>
        </w:rPr>
        <w:t>i</w:t>
      </w:r>
      <w:r>
        <w:rPr>
          <w:rFonts w:ascii="Arial" w:hAnsi="Arial" w:cs="Arial"/>
          <w:sz w:val="24"/>
          <w:szCs w:val="24"/>
        </w:rPr>
        <w:t>nte</w:t>
      </w:r>
      <w:r>
        <w:rPr>
          <w:rFonts w:ascii="Arial" w:hAnsi="Arial" w:cs="Arial"/>
          <w:spacing w:val="-1"/>
          <w:sz w:val="24"/>
          <w:szCs w:val="24"/>
        </w:rPr>
        <w:t>rpr</w:t>
      </w:r>
      <w:r>
        <w:rPr>
          <w:rFonts w:ascii="Arial" w:hAnsi="Arial" w:cs="Arial"/>
          <w:sz w:val="24"/>
          <w:szCs w:val="24"/>
        </w:rPr>
        <w:t>o</w:t>
      </w:r>
      <w:r>
        <w:rPr>
          <w:rFonts w:ascii="Arial" w:hAnsi="Arial" w:cs="Arial"/>
          <w:spacing w:val="-1"/>
          <w:sz w:val="24"/>
          <w:szCs w:val="24"/>
        </w:rPr>
        <w:t>f</w:t>
      </w:r>
      <w:r>
        <w:rPr>
          <w:rFonts w:ascii="Arial" w:hAnsi="Arial" w:cs="Arial"/>
          <w:sz w:val="24"/>
          <w:szCs w:val="24"/>
        </w:rPr>
        <w:t>e</w:t>
      </w:r>
      <w:r>
        <w:rPr>
          <w:rFonts w:ascii="Arial" w:hAnsi="Arial" w:cs="Arial"/>
          <w:spacing w:val="-1"/>
          <w:sz w:val="24"/>
          <w:szCs w:val="24"/>
        </w:rPr>
        <w:t>ss</w:t>
      </w:r>
      <w:r>
        <w:rPr>
          <w:rFonts w:ascii="Arial" w:hAnsi="Arial" w:cs="Arial"/>
          <w:spacing w:val="1"/>
          <w:sz w:val="24"/>
          <w:szCs w:val="24"/>
        </w:rPr>
        <w:t>i</w:t>
      </w:r>
      <w:r>
        <w:rPr>
          <w:rFonts w:ascii="Arial" w:hAnsi="Arial" w:cs="Arial"/>
          <w:sz w:val="24"/>
          <w:szCs w:val="24"/>
        </w:rPr>
        <w:t>onne</w:t>
      </w:r>
      <w:r>
        <w:rPr>
          <w:rFonts w:ascii="Arial" w:hAnsi="Arial" w:cs="Arial"/>
          <w:spacing w:val="1"/>
          <w:sz w:val="24"/>
          <w:szCs w:val="24"/>
        </w:rPr>
        <w:t>ll</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10"/>
          <w:sz w:val="24"/>
          <w:szCs w:val="24"/>
        </w:rPr>
        <w:t xml:space="preserve"> </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ava</w:t>
      </w:r>
      <w:r>
        <w:rPr>
          <w:rFonts w:ascii="Arial" w:hAnsi="Arial" w:cs="Arial"/>
          <w:spacing w:val="-1"/>
          <w:sz w:val="24"/>
          <w:szCs w:val="24"/>
        </w:rPr>
        <w:t>i</w:t>
      </w:r>
      <w:r>
        <w:rPr>
          <w:rFonts w:ascii="Arial" w:hAnsi="Arial" w:cs="Arial"/>
          <w:spacing w:val="1"/>
          <w:sz w:val="24"/>
          <w:szCs w:val="24"/>
        </w:rPr>
        <w:t>ll</w:t>
      </w:r>
      <w:r>
        <w:rPr>
          <w:rFonts w:ascii="Arial" w:hAnsi="Arial" w:cs="Arial"/>
          <w:sz w:val="24"/>
          <w:szCs w:val="24"/>
        </w:rPr>
        <w:t>ent</w:t>
      </w:r>
      <w:r>
        <w:rPr>
          <w:rFonts w:ascii="Arial" w:hAnsi="Arial" w:cs="Arial"/>
          <w:spacing w:val="-2"/>
          <w:sz w:val="24"/>
          <w:szCs w:val="24"/>
        </w:rPr>
        <w:t xml:space="preserve"> </w:t>
      </w:r>
      <w:r>
        <w:rPr>
          <w:rFonts w:ascii="Arial" w:hAnsi="Arial" w:cs="Arial"/>
          <w:sz w:val="24"/>
          <w:szCs w:val="24"/>
        </w:rPr>
        <w:t>en</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1"/>
          <w:sz w:val="24"/>
          <w:szCs w:val="24"/>
        </w:rPr>
        <w:t>y</w:t>
      </w:r>
      <w:r>
        <w:rPr>
          <w:rFonts w:ascii="Arial" w:hAnsi="Arial" w:cs="Arial"/>
          <w:sz w:val="24"/>
          <w:szCs w:val="24"/>
        </w:rPr>
        <w:t>ne</w:t>
      </w:r>
      <w:r>
        <w:rPr>
          <w:rFonts w:ascii="Arial" w:hAnsi="Arial" w:cs="Arial"/>
          <w:spacing w:val="-1"/>
          <w:sz w:val="24"/>
          <w:szCs w:val="24"/>
        </w:rPr>
        <w:t>r</w:t>
      </w:r>
      <w:r>
        <w:rPr>
          <w:rFonts w:ascii="Arial" w:hAnsi="Arial" w:cs="Arial"/>
          <w:spacing w:val="1"/>
          <w:sz w:val="24"/>
          <w:szCs w:val="24"/>
        </w:rPr>
        <w:t>gi</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e</w:t>
      </w:r>
      <w:r>
        <w:rPr>
          <w:rFonts w:ascii="Arial" w:hAnsi="Arial" w:cs="Arial"/>
          <w:sz w:val="24"/>
          <w:szCs w:val="24"/>
        </w:rPr>
        <w:t>t</w:t>
      </w:r>
      <w:r>
        <w:rPr>
          <w:rFonts w:ascii="Arial" w:hAnsi="Arial" w:cs="Arial"/>
          <w:spacing w:val="4"/>
          <w:sz w:val="24"/>
          <w:szCs w:val="24"/>
        </w:rPr>
        <w:t xml:space="preserve"> </w:t>
      </w:r>
      <w:r>
        <w:rPr>
          <w:rFonts w:ascii="Arial" w:hAnsi="Arial" w:cs="Arial"/>
          <w:sz w:val="24"/>
          <w:szCs w:val="24"/>
        </w:rPr>
        <w:t>m</w:t>
      </w:r>
      <w:r>
        <w:rPr>
          <w:rFonts w:ascii="Arial" w:hAnsi="Arial" w:cs="Arial"/>
          <w:spacing w:val="1"/>
          <w:sz w:val="24"/>
          <w:szCs w:val="24"/>
        </w:rPr>
        <w:t>i</w:t>
      </w:r>
      <w:r>
        <w:rPr>
          <w:rFonts w:ascii="Arial" w:hAnsi="Arial" w:cs="Arial"/>
          <w:sz w:val="24"/>
          <w:szCs w:val="24"/>
        </w:rPr>
        <w:t>eux</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f</w:t>
      </w:r>
      <w:r>
        <w:rPr>
          <w:rFonts w:ascii="Arial" w:hAnsi="Arial" w:cs="Arial"/>
          <w:sz w:val="24"/>
          <w:szCs w:val="24"/>
        </w:rPr>
        <w:t>en</w:t>
      </w:r>
      <w:r>
        <w:rPr>
          <w:rFonts w:ascii="Arial" w:hAnsi="Arial" w:cs="Arial"/>
          <w:spacing w:val="-1"/>
          <w:sz w:val="24"/>
          <w:szCs w:val="24"/>
        </w:rPr>
        <w:t>dr</w:t>
      </w:r>
      <w:r>
        <w:rPr>
          <w:rFonts w:ascii="Arial" w:hAnsi="Arial" w:cs="Arial"/>
          <w:sz w:val="24"/>
          <w:szCs w:val="24"/>
        </w:rPr>
        <w:t xml:space="preserve">e </w:t>
      </w:r>
      <w:r>
        <w:rPr>
          <w:rFonts w:ascii="Arial" w:hAnsi="Arial" w:cs="Arial"/>
          <w:spacing w:val="1"/>
          <w:sz w:val="24"/>
          <w:szCs w:val="24"/>
        </w:rPr>
        <w:t>l</w:t>
      </w:r>
      <w:r>
        <w:rPr>
          <w:rFonts w:ascii="Arial" w:hAnsi="Arial" w:cs="Arial"/>
          <w:sz w:val="24"/>
          <w:szCs w:val="24"/>
        </w:rPr>
        <w:t>eu</w:t>
      </w:r>
      <w:r>
        <w:rPr>
          <w:rFonts w:ascii="Arial" w:hAnsi="Arial" w:cs="Arial"/>
          <w:spacing w:val="-1"/>
          <w:sz w:val="24"/>
          <w:szCs w:val="24"/>
        </w:rPr>
        <w:t>r</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i</w:t>
      </w:r>
      <w:r>
        <w:rPr>
          <w:rFonts w:ascii="Arial" w:hAnsi="Arial" w:cs="Arial"/>
          <w:sz w:val="24"/>
          <w:szCs w:val="24"/>
        </w:rPr>
        <w:t>nté</w:t>
      </w:r>
      <w:r>
        <w:rPr>
          <w:rFonts w:ascii="Arial" w:hAnsi="Arial" w:cs="Arial"/>
          <w:spacing w:val="-1"/>
          <w:sz w:val="24"/>
          <w:szCs w:val="24"/>
        </w:rPr>
        <w:t>r</w:t>
      </w:r>
      <w:r>
        <w:rPr>
          <w:rFonts w:ascii="Arial" w:hAnsi="Arial" w:cs="Arial"/>
          <w:sz w:val="24"/>
          <w:szCs w:val="24"/>
        </w:rPr>
        <w:t>êt</w:t>
      </w:r>
      <w:r>
        <w:rPr>
          <w:rFonts w:ascii="Arial" w:hAnsi="Arial" w:cs="Arial"/>
          <w:spacing w:val="-1"/>
          <w:sz w:val="24"/>
          <w:szCs w:val="24"/>
        </w:rPr>
        <w:t>s</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our</w:t>
      </w:r>
      <w:r>
        <w:rPr>
          <w:rFonts w:ascii="Arial" w:hAnsi="Arial" w:cs="Arial"/>
          <w:spacing w:val="6"/>
          <w:sz w:val="24"/>
          <w:szCs w:val="24"/>
        </w:rPr>
        <w:t xml:space="preserve"> </w:t>
      </w:r>
      <w:r>
        <w:rPr>
          <w:rFonts w:ascii="Arial" w:hAnsi="Arial" w:cs="Arial"/>
          <w:spacing w:val="2"/>
          <w:sz w:val="24"/>
          <w:szCs w:val="24"/>
        </w:rPr>
        <w:t>r</w:t>
      </w:r>
      <w:r>
        <w:rPr>
          <w:rFonts w:ascii="Arial" w:hAnsi="Arial" w:cs="Arial"/>
          <w:sz w:val="24"/>
          <w:szCs w:val="24"/>
        </w:rPr>
        <w:t>e</w:t>
      </w:r>
      <w:r>
        <w:rPr>
          <w:rFonts w:ascii="Arial" w:hAnsi="Arial" w:cs="Arial"/>
          <w:spacing w:val="-1"/>
          <w:sz w:val="24"/>
          <w:szCs w:val="24"/>
        </w:rPr>
        <w:t>s</w:t>
      </w:r>
      <w:r>
        <w:rPr>
          <w:rFonts w:ascii="Arial" w:hAnsi="Arial" w:cs="Arial"/>
          <w:sz w:val="24"/>
          <w:szCs w:val="24"/>
        </w:rPr>
        <w:t>ter</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s</w:t>
      </w:r>
      <w:r>
        <w:rPr>
          <w:rFonts w:ascii="Arial" w:hAnsi="Arial" w:cs="Arial"/>
          <w:sz w:val="24"/>
          <w:szCs w:val="24"/>
        </w:rPr>
        <w:t>ents</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 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1"/>
          <w:sz w:val="24"/>
          <w:szCs w:val="24"/>
        </w:rPr>
        <w:t xml:space="preserve"> </w:t>
      </w:r>
      <w:r>
        <w:rPr>
          <w:rFonts w:ascii="Arial" w:hAnsi="Arial" w:cs="Arial"/>
          <w:spacing w:val="-1"/>
          <w:sz w:val="24"/>
          <w:szCs w:val="24"/>
        </w:rPr>
        <w:t>pr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te</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iv</w:t>
      </w:r>
      <w:r>
        <w:rPr>
          <w:rFonts w:ascii="Arial" w:hAnsi="Arial" w:cs="Arial"/>
          <w:sz w:val="24"/>
          <w:szCs w:val="24"/>
        </w:rPr>
        <w:t>ent</w:t>
      </w:r>
      <w:r>
        <w:rPr>
          <w:rFonts w:ascii="Arial" w:hAnsi="Arial" w:cs="Arial"/>
          <w:spacing w:val="3"/>
          <w:sz w:val="24"/>
          <w:szCs w:val="24"/>
        </w:rPr>
        <w:t xml:space="preserve"> </w:t>
      </w:r>
      <w:r>
        <w:rPr>
          <w:rFonts w:ascii="Arial" w:hAnsi="Arial" w:cs="Arial"/>
          <w:sz w:val="24"/>
          <w:szCs w:val="24"/>
        </w:rPr>
        <w:t>êt</w:t>
      </w:r>
      <w:r>
        <w:rPr>
          <w:rFonts w:ascii="Arial" w:hAnsi="Arial" w:cs="Arial"/>
          <w:spacing w:val="-1"/>
          <w:sz w:val="24"/>
          <w:szCs w:val="24"/>
        </w:rPr>
        <w:t>r</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pacing w:val="3"/>
          <w:sz w:val="24"/>
          <w:szCs w:val="24"/>
        </w:rPr>
        <w:t>t</w:t>
      </w:r>
      <w:r>
        <w:rPr>
          <w:rFonts w:ascii="Arial" w:hAnsi="Arial" w:cs="Arial"/>
          <w:spacing w:val="1"/>
          <w:sz w:val="24"/>
          <w:szCs w:val="24"/>
        </w:rPr>
        <w:t>i</w:t>
      </w:r>
      <w:r>
        <w:rPr>
          <w:rFonts w:ascii="Arial" w:hAnsi="Arial" w:cs="Arial"/>
          <w:spacing w:val="-1"/>
          <w:sz w:val="24"/>
          <w:szCs w:val="24"/>
        </w:rPr>
        <w:t>fs</w:t>
      </w:r>
      <w:r>
        <w:rPr>
          <w:rFonts w:ascii="Arial" w:hAnsi="Arial" w:cs="Arial"/>
          <w:sz w:val="24"/>
          <w:szCs w:val="24"/>
        </w:rPr>
        <w:t>, t</w:t>
      </w:r>
      <w:r>
        <w:rPr>
          <w:rFonts w:ascii="Arial" w:hAnsi="Arial" w:cs="Arial"/>
          <w:spacing w:val="1"/>
          <w:sz w:val="24"/>
          <w:szCs w:val="24"/>
        </w:rPr>
        <w:t>a</w:t>
      </w:r>
      <w:r>
        <w:rPr>
          <w:rFonts w:ascii="Arial" w:hAnsi="Arial" w:cs="Arial"/>
          <w:sz w:val="24"/>
          <w:szCs w:val="24"/>
        </w:rPr>
        <w:t>nt</w:t>
      </w:r>
      <w:r>
        <w:rPr>
          <w:rFonts w:ascii="Arial" w:hAnsi="Arial" w:cs="Arial"/>
          <w:spacing w:val="5"/>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oû</w:t>
      </w:r>
      <w:r>
        <w:rPr>
          <w:rFonts w:ascii="Arial" w:hAnsi="Arial" w:cs="Arial"/>
          <w:spacing w:val="3"/>
          <w:sz w:val="24"/>
          <w:szCs w:val="24"/>
        </w:rPr>
        <w:t>t</w:t>
      </w:r>
      <w:r>
        <w:rPr>
          <w:rFonts w:ascii="Arial" w:hAnsi="Arial" w:cs="Arial"/>
          <w:sz w:val="24"/>
          <w:szCs w:val="24"/>
        </w:rPr>
        <w:t>s</w:t>
      </w:r>
      <w:r>
        <w:rPr>
          <w:rFonts w:ascii="Arial" w:hAnsi="Arial" w:cs="Arial"/>
          <w:spacing w:val="8"/>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8"/>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ali</w:t>
      </w:r>
      <w:r>
        <w:rPr>
          <w:rFonts w:ascii="Arial" w:hAnsi="Arial" w:cs="Arial"/>
          <w:sz w:val="24"/>
          <w:szCs w:val="24"/>
        </w:rPr>
        <w:t>té.</w:t>
      </w:r>
      <w:r>
        <w:rPr>
          <w:rFonts w:ascii="Arial" w:hAnsi="Arial" w:cs="Arial"/>
          <w:spacing w:val="2"/>
          <w:sz w:val="24"/>
          <w:szCs w:val="24"/>
        </w:rPr>
        <w:t xml:space="preserve"> </w:t>
      </w:r>
      <w:r>
        <w:rPr>
          <w:rFonts w:ascii="Arial" w:hAnsi="Arial" w:cs="Arial"/>
          <w:sz w:val="24"/>
          <w:szCs w:val="24"/>
        </w:rPr>
        <w:t>Ce</w:t>
      </w:r>
      <w:r>
        <w:rPr>
          <w:rFonts w:ascii="Arial" w:hAnsi="Arial" w:cs="Arial"/>
          <w:spacing w:val="1"/>
          <w:sz w:val="24"/>
          <w:szCs w:val="24"/>
        </w:rPr>
        <w:t>l</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ut</w:t>
      </w:r>
      <w:r>
        <w:rPr>
          <w:rFonts w:ascii="Arial" w:hAnsi="Arial" w:cs="Arial"/>
          <w:spacing w:val="1"/>
          <w:sz w:val="24"/>
          <w:szCs w:val="24"/>
        </w:rPr>
        <w:t>a</w:t>
      </w:r>
      <w:r>
        <w:rPr>
          <w:rFonts w:ascii="Arial" w:hAnsi="Arial" w:cs="Arial"/>
          <w:sz w:val="24"/>
          <w:szCs w:val="24"/>
        </w:rPr>
        <w:t xml:space="preserve">nt </w:t>
      </w:r>
      <w:r>
        <w:rPr>
          <w:rFonts w:ascii="Arial" w:hAnsi="Arial" w:cs="Arial"/>
          <w:spacing w:val="-1"/>
          <w:sz w:val="24"/>
          <w:szCs w:val="24"/>
        </w:rPr>
        <w:t>p</w:t>
      </w:r>
      <w:r>
        <w:rPr>
          <w:rFonts w:ascii="Arial" w:hAnsi="Arial" w:cs="Arial"/>
          <w:spacing w:val="1"/>
          <w:sz w:val="24"/>
          <w:szCs w:val="24"/>
        </w:rPr>
        <w:t>l</w:t>
      </w:r>
      <w:r>
        <w:rPr>
          <w:rFonts w:ascii="Arial" w:hAnsi="Arial" w:cs="Arial"/>
          <w:sz w:val="24"/>
          <w:szCs w:val="24"/>
        </w:rPr>
        <w:t xml:space="preserve">us </w:t>
      </w:r>
      <w:r>
        <w:rPr>
          <w:rFonts w:ascii="Arial" w:hAnsi="Arial" w:cs="Arial"/>
          <w:spacing w:val="1"/>
          <w:sz w:val="24"/>
          <w:szCs w:val="24"/>
        </w:rPr>
        <w:t xml:space="preserve"> v</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 xml:space="preserve">i </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 xml:space="preserve">ue </w:t>
      </w:r>
      <w:r>
        <w:rPr>
          <w:rFonts w:ascii="Arial" w:hAnsi="Arial" w:cs="Arial"/>
          <w:spacing w:val="1"/>
          <w:sz w:val="24"/>
          <w:szCs w:val="24"/>
        </w:rPr>
        <w:t xml:space="preserve"> </w:t>
      </w:r>
      <w:r>
        <w:rPr>
          <w:rFonts w:ascii="Arial" w:hAnsi="Arial" w:cs="Arial"/>
          <w:spacing w:val="-1"/>
          <w:sz w:val="24"/>
          <w:szCs w:val="24"/>
        </w:rPr>
        <w:t>p</w:t>
      </w:r>
      <w:r>
        <w:rPr>
          <w:rFonts w:ascii="Arial" w:hAnsi="Arial" w:cs="Arial"/>
          <w:sz w:val="24"/>
          <w:szCs w:val="24"/>
        </w:rPr>
        <w:t xml:space="preserve">our  </w:t>
      </w:r>
      <w:r>
        <w:rPr>
          <w:rFonts w:ascii="Arial" w:hAnsi="Arial" w:cs="Arial"/>
          <w:spacing w:val="4"/>
          <w:sz w:val="24"/>
          <w:szCs w:val="24"/>
        </w:rPr>
        <w:t>la RCA</w:t>
      </w:r>
      <w:r>
        <w:rPr>
          <w:rFonts w:ascii="Arial" w:hAnsi="Arial" w:cs="Arial"/>
          <w:spacing w:val="65"/>
          <w:sz w:val="24"/>
          <w:szCs w:val="24"/>
        </w:rPr>
        <w:t xml:space="preserve"> </w:t>
      </w:r>
      <w:r>
        <w:rPr>
          <w:rFonts w:ascii="Arial" w:hAnsi="Arial" w:cs="Arial"/>
          <w:spacing w:val="1"/>
          <w:sz w:val="24"/>
          <w:szCs w:val="24"/>
        </w:rPr>
        <w:t>q</w:t>
      </w:r>
      <w:r>
        <w:rPr>
          <w:rFonts w:ascii="Arial" w:hAnsi="Arial" w:cs="Arial"/>
          <w:sz w:val="24"/>
          <w:szCs w:val="24"/>
        </w:rPr>
        <w:t xml:space="preserve">ui </w:t>
      </w:r>
      <w:r>
        <w:rPr>
          <w:rFonts w:ascii="Arial" w:hAnsi="Arial" w:cs="Arial"/>
          <w:spacing w:val="3"/>
          <w:sz w:val="24"/>
          <w:szCs w:val="24"/>
        </w:rPr>
        <w:t xml:space="preserve"> </w:t>
      </w:r>
      <w:r>
        <w:rPr>
          <w:rFonts w:ascii="Arial" w:hAnsi="Arial" w:cs="Arial"/>
          <w:sz w:val="24"/>
          <w:szCs w:val="24"/>
        </w:rPr>
        <w:t xml:space="preserve">ne </w:t>
      </w:r>
      <w:r>
        <w:rPr>
          <w:rFonts w:ascii="Arial" w:hAnsi="Arial" w:cs="Arial"/>
          <w:spacing w:val="3"/>
          <w:sz w:val="24"/>
          <w:szCs w:val="24"/>
        </w:rPr>
        <w:t xml:space="preserve"> </w:t>
      </w:r>
      <w:r>
        <w:rPr>
          <w:rFonts w:ascii="Arial" w:hAnsi="Arial" w:cs="Arial"/>
          <w:spacing w:val="-1"/>
          <w:sz w:val="24"/>
          <w:szCs w:val="24"/>
        </w:rPr>
        <w:t>p</w:t>
      </w:r>
      <w:r>
        <w:rPr>
          <w:rFonts w:ascii="Arial" w:hAnsi="Arial" w:cs="Arial"/>
          <w:sz w:val="24"/>
          <w:szCs w:val="24"/>
        </w:rPr>
        <w:t>eut</w:t>
      </w:r>
      <w:r>
        <w:rPr>
          <w:rFonts w:ascii="Arial" w:hAnsi="Arial" w:cs="Arial"/>
          <w:spacing w:val="64"/>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s</w:t>
      </w:r>
      <w:r>
        <w:rPr>
          <w:rFonts w:ascii="Arial" w:hAnsi="Arial" w:cs="Arial"/>
          <w:sz w:val="24"/>
          <w:szCs w:val="24"/>
        </w:rPr>
        <w:t>outen</w:t>
      </w:r>
      <w:r>
        <w:rPr>
          <w:rFonts w:ascii="Arial" w:hAnsi="Arial" w:cs="Arial"/>
          <w:spacing w:val="1"/>
          <w:sz w:val="24"/>
          <w:szCs w:val="24"/>
        </w:rPr>
        <w:t>i</w:t>
      </w:r>
      <w:r>
        <w:rPr>
          <w:rFonts w:ascii="Arial" w:hAnsi="Arial" w:cs="Arial"/>
          <w:sz w:val="24"/>
          <w:szCs w:val="24"/>
        </w:rPr>
        <w:t xml:space="preserve">r </w:t>
      </w:r>
      <w:r>
        <w:rPr>
          <w:rFonts w:ascii="Arial" w:hAnsi="Arial" w:cs="Arial"/>
          <w:spacing w:val="1"/>
          <w:sz w:val="24"/>
          <w:szCs w:val="24"/>
        </w:rPr>
        <w:t xml:space="preserve"> se</w:t>
      </w:r>
      <w:r>
        <w:rPr>
          <w:rFonts w:ascii="Arial" w:hAnsi="Arial" w:cs="Arial"/>
          <w:sz w:val="24"/>
          <w:szCs w:val="24"/>
        </w:rPr>
        <w:t xml:space="preserve">s </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rs</w:t>
      </w:r>
      <w:r>
        <w:rPr>
          <w:rFonts w:ascii="Arial" w:hAnsi="Arial" w:cs="Arial"/>
          <w:sz w:val="24"/>
          <w:szCs w:val="24"/>
        </w:rPr>
        <w:t xml:space="preserve">. </w:t>
      </w:r>
      <w:r>
        <w:rPr>
          <w:rFonts w:ascii="Arial" w:hAnsi="Arial" w:cs="Arial"/>
          <w:spacing w:val="1"/>
          <w:sz w:val="24"/>
          <w:szCs w:val="24"/>
        </w:rPr>
        <w:t>N</w:t>
      </w:r>
      <w:r>
        <w:rPr>
          <w:rFonts w:ascii="Arial" w:hAnsi="Arial" w:cs="Arial"/>
          <w:sz w:val="24"/>
          <w:szCs w:val="24"/>
        </w:rPr>
        <w:t>otons</w:t>
      </w:r>
      <w:r>
        <w:rPr>
          <w:rFonts w:ascii="Arial" w:hAnsi="Arial" w:cs="Arial"/>
          <w:spacing w:val="2"/>
          <w:sz w:val="24"/>
          <w:szCs w:val="24"/>
        </w:rPr>
        <w:t xml:space="preserve"> </w:t>
      </w:r>
      <w:r>
        <w:rPr>
          <w:rFonts w:ascii="Arial" w:hAnsi="Arial" w:cs="Arial"/>
          <w:spacing w:val="1"/>
          <w:sz w:val="24"/>
          <w:szCs w:val="24"/>
        </w:rPr>
        <w:t>q</w:t>
      </w:r>
      <w:r>
        <w:rPr>
          <w:rFonts w:ascii="Arial" w:hAnsi="Arial" w:cs="Arial"/>
          <w:sz w:val="24"/>
          <w:szCs w:val="24"/>
        </w:rPr>
        <w:t>ue</w:t>
      </w:r>
      <w:r>
        <w:rPr>
          <w:rFonts w:ascii="Arial" w:hAnsi="Arial" w:cs="Arial"/>
          <w:spacing w:val="1"/>
          <w:sz w:val="24"/>
          <w:szCs w:val="24"/>
        </w:rPr>
        <w:t xml:space="preserve"> l</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no</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i</w:t>
      </w:r>
      <w:r>
        <w:rPr>
          <w:rFonts w:ascii="Arial" w:hAnsi="Arial" w:cs="Arial"/>
          <w:sz w:val="24"/>
          <w:szCs w:val="24"/>
        </w:rPr>
        <w:t>té</w:t>
      </w:r>
      <w:r>
        <w:rPr>
          <w:rFonts w:ascii="Arial" w:hAnsi="Arial" w:cs="Arial"/>
          <w:spacing w:val="1"/>
          <w:sz w:val="24"/>
          <w:szCs w:val="24"/>
        </w:rPr>
        <w:t xml:space="preserve"> </w:t>
      </w:r>
      <w:r>
        <w:rPr>
          <w:rFonts w:ascii="Arial" w:hAnsi="Arial" w:cs="Arial"/>
          <w:sz w:val="24"/>
          <w:szCs w:val="24"/>
        </w:rPr>
        <w:t>ne</w:t>
      </w:r>
      <w:r>
        <w:rPr>
          <w:rFonts w:ascii="Arial" w:hAnsi="Arial" w:cs="Arial"/>
          <w:spacing w:val="2"/>
          <w:sz w:val="24"/>
          <w:szCs w:val="24"/>
        </w:rPr>
        <w:t xml:space="preserve"> </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v</w:t>
      </w:r>
      <w:r>
        <w:rPr>
          <w:rFonts w:ascii="Arial" w:hAnsi="Arial" w:cs="Arial"/>
          <w:sz w:val="24"/>
          <w:szCs w:val="24"/>
        </w:rPr>
        <w:t>o</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c</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té</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iq</w:t>
      </w:r>
      <w:r>
        <w:rPr>
          <w:rFonts w:ascii="Arial" w:hAnsi="Arial" w:cs="Arial"/>
          <w:sz w:val="24"/>
          <w:szCs w:val="24"/>
        </w:rPr>
        <w:t>ues te</w:t>
      </w:r>
      <w:r>
        <w:rPr>
          <w:rFonts w:ascii="Arial" w:hAnsi="Arial" w:cs="Arial"/>
          <w:spacing w:val="-1"/>
          <w:sz w:val="24"/>
          <w:szCs w:val="24"/>
        </w:rPr>
        <w:t>c</w:t>
      </w:r>
      <w:r>
        <w:rPr>
          <w:rFonts w:ascii="Arial" w:hAnsi="Arial" w:cs="Arial"/>
          <w:sz w:val="24"/>
          <w:szCs w:val="24"/>
        </w:rPr>
        <w:t>hno</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giq</w:t>
      </w:r>
      <w:r>
        <w:rPr>
          <w:rFonts w:ascii="Arial" w:hAnsi="Arial" w:cs="Arial"/>
          <w:sz w:val="24"/>
          <w:szCs w:val="24"/>
        </w:rPr>
        <w:t xml:space="preserve">ues  </w:t>
      </w:r>
      <w:r>
        <w:rPr>
          <w:rFonts w:ascii="Arial" w:hAnsi="Arial" w:cs="Arial"/>
          <w:spacing w:val="-1"/>
          <w:sz w:val="24"/>
          <w:szCs w:val="24"/>
        </w:rPr>
        <w:t>d</w:t>
      </w:r>
      <w:r>
        <w:rPr>
          <w:rFonts w:ascii="Arial" w:hAnsi="Arial" w:cs="Arial"/>
          <w:sz w:val="24"/>
          <w:szCs w:val="24"/>
        </w:rPr>
        <w:t xml:space="preserve">e </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 xml:space="preserve">a </w:t>
      </w:r>
      <w:r>
        <w:rPr>
          <w:rFonts w:ascii="Arial" w:hAnsi="Arial" w:cs="Arial"/>
          <w:spacing w:val="9"/>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 </w:t>
      </w:r>
      <w:r>
        <w:rPr>
          <w:rFonts w:ascii="Arial" w:hAnsi="Arial" w:cs="Arial"/>
          <w:spacing w:val="6"/>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i</w:t>
      </w:r>
      <w:r>
        <w:rPr>
          <w:rFonts w:ascii="Arial" w:hAnsi="Arial" w:cs="Arial"/>
          <w:sz w:val="24"/>
          <w:szCs w:val="24"/>
        </w:rPr>
        <w:t xml:space="preserve">s </w:t>
      </w:r>
      <w:r>
        <w:rPr>
          <w:rFonts w:ascii="Arial" w:hAnsi="Arial" w:cs="Arial"/>
          <w:spacing w:val="5"/>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ss</w:t>
      </w:r>
      <w:r>
        <w:rPr>
          <w:rFonts w:ascii="Arial" w:hAnsi="Arial" w:cs="Arial"/>
          <w:sz w:val="24"/>
          <w:szCs w:val="24"/>
        </w:rPr>
        <w:t xml:space="preserve">i à </w:t>
      </w:r>
      <w:r>
        <w:rPr>
          <w:rFonts w:ascii="Arial" w:hAnsi="Arial" w:cs="Arial"/>
          <w:spacing w:val="1"/>
          <w:sz w:val="24"/>
          <w:szCs w:val="24"/>
        </w:rPr>
        <w:t>l</w:t>
      </w:r>
      <w:r>
        <w:rPr>
          <w:rFonts w:ascii="Arial" w:hAnsi="Arial" w:cs="Arial"/>
          <w:sz w:val="24"/>
          <w:szCs w:val="24"/>
        </w:rPr>
        <w:t xml:space="preserve">a </w:t>
      </w:r>
      <w:r>
        <w:rPr>
          <w:rFonts w:ascii="Arial" w:hAnsi="Arial" w:cs="Arial"/>
          <w:spacing w:val="-3"/>
          <w:sz w:val="24"/>
          <w:szCs w:val="24"/>
        </w:rPr>
        <w:t>f</w:t>
      </w:r>
      <w:r>
        <w:rPr>
          <w:rFonts w:ascii="Arial" w:hAnsi="Arial" w:cs="Arial"/>
          <w:spacing w:val="1"/>
          <w:sz w:val="24"/>
          <w:szCs w:val="24"/>
        </w:rPr>
        <w:t>a</w:t>
      </w:r>
      <w:r>
        <w:rPr>
          <w:rFonts w:ascii="Arial" w:hAnsi="Arial" w:cs="Arial"/>
          <w:spacing w:val="-1"/>
          <w:sz w:val="24"/>
          <w:szCs w:val="24"/>
        </w:rPr>
        <w:t>ç</w:t>
      </w:r>
      <w:r>
        <w:rPr>
          <w:rFonts w:ascii="Arial" w:hAnsi="Arial" w:cs="Arial"/>
          <w:sz w:val="24"/>
          <w:szCs w:val="24"/>
        </w:rPr>
        <w:t>on</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ont</w:t>
      </w:r>
      <w:r>
        <w:rPr>
          <w:rFonts w:ascii="Arial" w:hAnsi="Arial" w:cs="Arial"/>
          <w:spacing w:val="6"/>
          <w:sz w:val="24"/>
          <w:szCs w:val="24"/>
        </w:rPr>
        <w:t xml:space="preserve"> </w:t>
      </w:r>
      <w:r>
        <w:rPr>
          <w:rFonts w:ascii="Arial" w:hAnsi="Arial" w:cs="Arial"/>
          <w:sz w:val="24"/>
          <w:szCs w:val="24"/>
        </w:rPr>
        <w:t>e</w:t>
      </w:r>
      <w:r>
        <w:rPr>
          <w:rFonts w:ascii="Arial" w:hAnsi="Arial" w:cs="Arial"/>
          <w:spacing w:val="1"/>
          <w:sz w:val="24"/>
          <w:szCs w:val="24"/>
        </w:rPr>
        <w:t>ll</w:t>
      </w:r>
      <w:r>
        <w:rPr>
          <w:rFonts w:ascii="Arial" w:hAnsi="Arial" w:cs="Arial"/>
          <w:sz w:val="24"/>
          <w:szCs w:val="24"/>
        </w:rPr>
        <w:t>e e</w:t>
      </w:r>
      <w:r>
        <w:rPr>
          <w:rFonts w:ascii="Arial" w:hAnsi="Arial" w:cs="Arial"/>
          <w:spacing w:val="-1"/>
          <w:sz w:val="24"/>
          <w:szCs w:val="24"/>
        </w:rPr>
        <w:t>s</w:t>
      </w:r>
      <w:r>
        <w:rPr>
          <w:rFonts w:ascii="Arial" w:hAnsi="Arial" w:cs="Arial"/>
          <w:sz w:val="24"/>
          <w:szCs w:val="24"/>
        </w:rPr>
        <w:t>t</w:t>
      </w:r>
      <w:r>
        <w:rPr>
          <w:rFonts w:ascii="Arial" w:hAnsi="Arial" w:cs="Arial"/>
          <w:spacing w:val="7"/>
          <w:sz w:val="24"/>
          <w:szCs w:val="24"/>
        </w:rPr>
        <w:t xml:space="preserve"> </w:t>
      </w:r>
      <w:r>
        <w:rPr>
          <w:rFonts w:ascii="Arial" w:hAnsi="Arial" w:cs="Arial"/>
          <w:sz w:val="24"/>
          <w:szCs w:val="24"/>
        </w:rPr>
        <w:t>o</w:t>
      </w:r>
      <w:r>
        <w:rPr>
          <w:rFonts w:ascii="Arial" w:hAnsi="Arial" w:cs="Arial"/>
          <w:spacing w:val="1"/>
          <w:sz w:val="24"/>
          <w:szCs w:val="24"/>
        </w:rPr>
        <w:t>b</w:t>
      </w:r>
      <w:r>
        <w:rPr>
          <w:rFonts w:ascii="Arial" w:hAnsi="Arial" w:cs="Arial"/>
          <w:sz w:val="24"/>
          <w:szCs w:val="24"/>
        </w:rPr>
        <w:t xml:space="preserve">tenue </w:t>
      </w:r>
      <w:r>
        <w:rPr>
          <w:rFonts w:ascii="Arial" w:hAnsi="Arial" w:cs="Arial"/>
          <w:spacing w:val="-1"/>
          <w:sz w:val="24"/>
          <w:szCs w:val="24"/>
        </w:rPr>
        <w:t>(</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ga</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64"/>
          <w:sz w:val="24"/>
          <w:szCs w:val="24"/>
        </w:rPr>
        <w:t xml:space="preserve"> </w:t>
      </w:r>
      <w:r>
        <w:rPr>
          <w:rFonts w:ascii="Arial" w:hAnsi="Arial" w:cs="Arial"/>
          <w:spacing w:val="-1"/>
          <w:sz w:val="24"/>
          <w:szCs w:val="24"/>
        </w:rPr>
        <w:t>s</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ial</w:t>
      </w:r>
      <w:r>
        <w:rPr>
          <w:rFonts w:ascii="Arial" w:hAnsi="Arial" w:cs="Arial"/>
          <w:spacing w:val="-2"/>
          <w:sz w:val="24"/>
          <w:szCs w:val="24"/>
        </w:rPr>
        <w:t>e</w:t>
      </w:r>
      <w:r>
        <w:rPr>
          <w:rFonts w:ascii="Arial" w:hAnsi="Arial" w:cs="Arial"/>
          <w:sz w:val="24"/>
          <w:szCs w:val="24"/>
        </w:rPr>
        <w:t xml:space="preserve">,  </w:t>
      </w:r>
      <w:r>
        <w:rPr>
          <w:rFonts w:ascii="Arial" w:hAnsi="Arial" w:cs="Arial"/>
          <w:spacing w:val="-1"/>
          <w:sz w:val="24"/>
          <w:szCs w:val="24"/>
        </w:rPr>
        <w:t>pr</w:t>
      </w:r>
      <w:r>
        <w:rPr>
          <w:rFonts w:ascii="Arial" w:hAnsi="Arial" w:cs="Arial"/>
          <w:sz w:val="24"/>
          <w:szCs w:val="24"/>
        </w:rPr>
        <w:t>ote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3"/>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en</w:t>
      </w:r>
      <w:r>
        <w:rPr>
          <w:rFonts w:ascii="Arial" w:hAnsi="Arial" w:cs="Arial"/>
          <w:spacing w:val="1"/>
          <w:sz w:val="24"/>
          <w:szCs w:val="24"/>
        </w:rPr>
        <w:t>vi</w:t>
      </w:r>
      <w:r>
        <w:rPr>
          <w:rFonts w:ascii="Arial" w:hAnsi="Arial" w:cs="Arial"/>
          <w:spacing w:val="-1"/>
          <w:sz w:val="24"/>
          <w:szCs w:val="24"/>
        </w:rPr>
        <w:t>r</w:t>
      </w:r>
      <w:r>
        <w:rPr>
          <w:rFonts w:ascii="Arial" w:hAnsi="Arial" w:cs="Arial"/>
          <w:sz w:val="24"/>
          <w:szCs w:val="24"/>
        </w:rPr>
        <w:t>onnement</w:t>
      </w:r>
      <w:r>
        <w:rPr>
          <w:rFonts w:ascii="Arial" w:hAnsi="Arial" w:cs="Arial"/>
          <w:spacing w:val="-1"/>
          <w:sz w:val="24"/>
          <w:szCs w:val="24"/>
        </w:rPr>
        <w:t>)</w:t>
      </w:r>
      <w:r>
        <w:rPr>
          <w:rFonts w:ascii="Arial" w:hAnsi="Arial" w:cs="Arial"/>
          <w:sz w:val="24"/>
          <w:szCs w:val="24"/>
        </w:rPr>
        <w:t>.</w:t>
      </w:r>
      <w:r>
        <w:rPr>
          <w:rFonts w:ascii="Arial" w:hAnsi="Arial" w:cs="Arial"/>
          <w:spacing w:val="63"/>
          <w:sz w:val="24"/>
          <w:szCs w:val="24"/>
        </w:rPr>
        <w:t xml:space="preserve"> </w:t>
      </w:r>
      <w:r>
        <w:rPr>
          <w:rFonts w:ascii="Arial" w:hAnsi="Arial" w:cs="Arial"/>
          <w:sz w:val="24"/>
          <w:szCs w:val="24"/>
        </w:rPr>
        <w:t>Ce</w:t>
      </w:r>
      <w:r>
        <w:rPr>
          <w:rFonts w:ascii="Arial" w:hAnsi="Arial" w:cs="Arial"/>
          <w:spacing w:val="3"/>
          <w:sz w:val="24"/>
          <w:szCs w:val="24"/>
        </w:rPr>
        <w:t xml:space="preserve"> </w:t>
      </w:r>
      <w:r>
        <w:rPr>
          <w:rFonts w:ascii="Arial" w:hAnsi="Arial" w:cs="Arial"/>
          <w:spacing w:val="1"/>
          <w:sz w:val="24"/>
          <w:szCs w:val="24"/>
        </w:rPr>
        <w:t>q</w:t>
      </w:r>
      <w:r>
        <w:rPr>
          <w:rFonts w:ascii="Arial" w:hAnsi="Arial" w:cs="Arial"/>
          <w:sz w:val="24"/>
          <w:szCs w:val="24"/>
        </w:rPr>
        <w:t xml:space="preserve">ui </w:t>
      </w:r>
      <w:r>
        <w:rPr>
          <w:rFonts w:ascii="Arial" w:hAnsi="Arial" w:cs="Arial"/>
          <w:spacing w:val="1"/>
          <w:sz w:val="24"/>
          <w:szCs w:val="24"/>
        </w:rPr>
        <w:t>v</w:t>
      </w:r>
      <w:r>
        <w:rPr>
          <w:rFonts w:ascii="Arial" w:hAnsi="Arial" w:cs="Arial"/>
          <w:sz w:val="24"/>
          <w:szCs w:val="24"/>
        </w:rPr>
        <w:t xml:space="preserve">eut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 xml:space="preserve">e </w:t>
      </w:r>
      <w:r>
        <w:rPr>
          <w:rFonts w:ascii="Arial" w:hAnsi="Arial" w:cs="Arial"/>
          <w:spacing w:val="1"/>
          <w:sz w:val="24"/>
          <w:szCs w:val="24"/>
        </w:rPr>
        <w:t>q</w:t>
      </w:r>
      <w:r>
        <w:rPr>
          <w:rFonts w:ascii="Arial" w:hAnsi="Arial" w:cs="Arial"/>
          <w:sz w:val="24"/>
          <w:szCs w:val="24"/>
        </w:rPr>
        <w:t>u</w:t>
      </w:r>
      <w:r>
        <w:rPr>
          <w:rFonts w:ascii="Arial" w:hAnsi="Arial" w:cs="Arial"/>
          <w:spacing w:val="-1"/>
          <w:sz w:val="24"/>
          <w:szCs w:val="24"/>
        </w:rPr>
        <w:t>’</w:t>
      </w:r>
      <w:r>
        <w:rPr>
          <w:rFonts w:ascii="Arial" w:hAnsi="Arial" w:cs="Arial"/>
          <w:sz w:val="24"/>
          <w:szCs w:val="24"/>
        </w:rPr>
        <w:t xml:space="preserve">un </w:t>
      </w:r>
      <w:r>
        <w:rPr>
          <w:rFonts w:ascii="Arial" w:hAnsi="Arial" w:cs="Arial"/>
          <w:spacing w:val="1"/>
          <w:sz w:val="24"/>
          <w:szCs w:val="24"/>
        </w:rPr>
        <w:t>a</w:t>
      </w:r>
      <w:r>
        <w:rPr>
          <w:rFonts w:ascii="Arial" w:hAnsi="Arial" w:cs="Arial"/>
          <w:spacing w:val="-1"/>
          <w:sz w:val="24"/>
          <w:szCs w:val="24"/>
        </w:rPr>
        <w:t>cc</w:t>
      </w:r>
      <w:r>
        <w:rPr>
          <w:rFonts w:ascii="Arial" w:hAnsi="Arial" w:cs="Arial"/>
          <w:sz w:val="24"/>
          <w:szCs w:val="24"/>
        </w:rPr>
        <w:t>ent</w:t>
      </w:r>
      <w:r>
        <w:rPr>
          <w:rFonts w:ascii="Arial" w:hAnsi="Arial" w:cs="Arial"/>
          <w:spacing w:val="27"/>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li</w:t>
      </w:r>
      <w:r>
        <w:rPr>
          <w:rFonts w:ascii="Arial" w:hAnsi="Arial" w:cs="Arial"/>
          <w:sz w:val="24"/>
          <w:szCs w:val="24"/>
        </w:rPr>
        <w:t>er</w:t>
      </w:r>
      <w:r>
        <w:rPr>
          <w:rFonts w:ascii="Arial" w:hAnsi="Arial" w:cs="Arial"/>
          <w:spacing w:val="24"/>
          <w:sz w:val="24"/>
          <w:szCs w:val="24"/>
        </w:rPr>
        <w:t xml:space="preserve">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i</w:t>
      </w:r>
      <w:r>
        <w:rPr>
          <w:rFonts w:ascii="Arial" w:hAnsi="Arial" w:cs="Arial"/>
          <w:sz w:val="24"/>
          <w:szCs w:val="24"/>
        </w:rPr>
        <w:t>t</w:t>
      </w:r>
      <w:r>
        <w:rPr>
          <w:rFonts w:ascii="Arial" w:hAnsi="Arial" w:cs="Arial"/>
          <w:spacing w:val="26"/>
          <w:sz w:val="24"/>
          <w:szCs w:val="24"/>
        </w:rPr>
        <w:t xml:space="preserve"> </w:t>
      </w:r>
      <w:r>
        <w:rPr>
          <w:rFonts w:ascii="Arial" w:hAnsi="Arial" w:cs="Arial"/>
          <w:sz w:val="24"/>
          <w:szCs w:val="24"/>
        </w:rPr>
        <w:t>êt</w:t>
      </w:r>
      <w:r>
        <w:rPr>
          <w:rFonts w:ascii="Arial" w:hAnsi="Arial" w:cs="Arial"/>
          <w:spacing w:val="-1"/>
          <w:sz w:val="24"/>
          <w:szCs w:val="24"/>
        </w:rPr>
        <w:t>r</w:t>
      </w:r>
      <w:r>
        <w:rPr>
          <w:rFonts w:ascii="Arial" w:hAnsi="Arial" w:cs="Arial"/>
          <w:sz w:val="24"/>
          <w:szCs w:val="24"/>
        </w:rPr>
        <w:t>e</w:t>
      </w:r>
      <w:r>
        <w:rPr>
          <w:rFonts w:ascii="Arial" w:hAnsi="Arial" w:cs="Arial"/>
          <w:spacing w:val="27"/>
          <w:sz w:val="24"/>
          <w:szCs w:val="24"/>
        </w:rPr>
        <w:t xml:space="preserve"> </w:t>
      </w:r>
      <w:r>
        <w:rPr>
          <w:rFonts w:ascii="Arial" w:hAnsi="Arial" w:cs="Arial"/>
          <w:sz w:val="24"/>
          <w:szCs w:val="24"/>
        </w:rPr>
        <w:t>m</w:t>
      </w:r>
      <w:r>
        <w:rPr>
          <w:rFonts w:ascii="Arial" w:hAnsi="Arial" w:cs="Arial"/>
          <w:spacing w:val="1"/>
          <w:sz w:val="24"/>
          <w:szCs w:val="24"/>
        </w:rPr>
        <w:t>i</w:t>
      </w:r>
      <w:r>
        <w:rPr>
          <w:rFonts w:ascii="Arial" w:hAnsi="Arial" w:cs="Arial"/>
          <w:sz w:val="24"/>
          <w:szCs w:val="24"/>
        </w:rPr>
        <w:t>s</w:t>
      </w:r>
      <w:r>
        <w:rPr>
          <w:rFonts w:ascii="Arial" w:hAnsi="Arial" w:cs="Arial"/>
          <w:spacing w:val="27"/>
          <w:sz w:val="24"/>
          <w:szCs w:val="24"/>
        </w:rPr>
        <w:t xml:space="preserve"> </w:t>
      </w:r>
      <w:r>
        <w:rPr>
          <w:rFonts w:ascii="Arial" w:hAnsi="Arial" w:cs="Arial"/>
          <w:spacing w:val="-1"/>
          <w:sz w:val="24"/>
          <w:szCs w:val="24"/>
        </w:rPr>
        <w:t>s</w:t>
      </w:r>
      <w:r>
        <w:rPr>
          <w:rFonts w:ascii="Arial" w:hAnsi="Arial" w:cs="Arial"/>
          <w:sz w:val="24"/>
          <w:szCs w:val="24"/>
        </w:rPr>
        <w:t>ur</w:t>
      </w:r>
      <w:r>
        <w:rPr>
          <w:rFonts w:ascii="Arial" w:hAnsi="Arial" w:cs="Arial"/>
          <w:spacing w:val="31"/>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0"/>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c</w:t>
      </w:r>
      <w:r>
        <w:rPr>
          <w:rFonts w:ascii="Arial" w:hAnsi="Arial" w:cs="Arial"/>
          <w:sz w:val="24"/>
          <w:szCs w:val="24"/>
        </w:rPr>
        <w:t>he</w:t>
      </w:r>
      <w:r>
        <w:rPr>
          <w:rFonts w:ascii="Arial" w:hAnsi="Arial" w:cs="Arial"/>
          <w:spacing w:val="-1"/>
          <w:sz w:val="24"/>
          <w:szCs w:val="24"/>
        </w:rPr>
        <w:t>rc</w:t>
      </w:r>
      <w:r>
        <w:rPr>
          <w:rFonts w:ascii="Arial" w:hAnsi="Arial" w:cs="Arial"/>
          <w:sz w:val="24"/>
          <w:szCs w:val="24"/>
        </w:rPr>
        <w:t>he</w:t>
      </w:r>
      <w:r>
        <w:rPr>
          <w:rFonts w:ascii="Arial" w:hAnsi="Arial" w:cs="Arial"/>
          <w:spacing w:val="26"/>
          <w:sz w:val="24"/>
          <w:szCs w:val="24"/>
        </w:rPr>
        <w:t xml:space="preserve"> </w:t>
      </w:r>
      <w:r>
        <w:rPr>
          <w:rFonts w:ascii="Arial" w:hAnsi="Arial" w:cs="Arial"/>
          <w:spacing w:val="-1"/>
          <w:sz w:val="24"/>
          <w:szCs w:val="24"/>
        </w:rPr>
        <w:t>e</w:t>
      </w:r>
      <w:r>
        <w:rPr>
          <w:rFonts w:ascii="Arial" w:hAnsi="Arial" w:cs="Arial"/>
          <w:sz w:val="24"/>
          <w:szCs w:val="24"/>
        </w:rPr>
        <w:t>t</w:t>
      </w:r>
      <w:r>
        <w:rPr>
          <w:rFonts w:ascii="Arial" w:hAnsi="Arial" w:cs="Arial"/>
          <w:spacing w:val="28"/>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0"/>
          <w:sz w:val="24"/>
          <w:szCs w:val="24"/>
        </w:rPr>
        <w:t xml:space="preserve"> </w:t>
      </w:r>
      <w:r>
        <w:rPr>
          <w:rFonts w:ascii="Arial" w:hAnsi="Arial" w:cs="Arial"/>
          <w:spacing w:val="-1"/>
          <w:sz w:val="24"/>
          <w:szCs w:val="24"/>
        </w:rPr>
        <w:t>f</w:t>
      </w:r>
      <w:r>
        <w:rPr>
          <w:rFonts w:ascii="Arial" w:hAnsi="Arial" w:cs="Arial"/>
          <w:sz w:val="24"/>
          <w:szCs w:val="24"/>
        </w:rPr>
        <w:t>o</w:t>
      </w:r>
      <w:r>
        <w:rPr>
          <w:rFonts w:ascii="Arial" w:hAnsi="Arial" w:cs="Arial"/>
          <w:spacing w:val="-1"/>
          <w:sz w:val="24"/>
          <w:szCs w:val="24"/>
        </w:rPr>
        <w:t>r</w:t>
      </w:r>
      <w:r>
        <w:rPr>
          <w:rFonts w:ascii="Arial" w:hAnsi="Arial" w:cs="Arial"/>
          <w:sz w:val="24"/>
          <w:szCs w:val="24"/>
        </w:rPr>
        <w:t>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21"/>
          <w:sz w:val="24"/>
          <w:szCs w:val="24"/>
        </w:rPr>
        <w:t xml:space="preserve"> </w:t>
      </w:r>
      <w:r>
        <w:rPr>
          <w:rFonts w:ascii="Arial" w:hAnsi="Arial" w:cs="Arial"/>
          <w:sz w:val="24"/>
          <w:szCs w:val="24"/>
        </w:rPr>
        <w:t>afin que soient diffusées de bonnes pratiques agricoles nécessaires à l’amélioration de la qualité et de la quantité produite, ce qui contribuera indéniablement au renforcement des capacités productives.</w:t>
      </w:r>
    </w:p>
    <w:p w14:paraId="3A78538D" w14:textId="77777777" w:rsidR="008862C7" w:rsidRDefault="008862C7" w:rsidP="008862C7">
      <w:pPr>
        <w:widowControl w:val="0"/>
        <w:autoSpaceDE w:val="0"/>
        <w:autoSpaceDN w:val="0"/>
        <w:adjustRightInd w:val="0"/>
        <w:spacing w:before="120" w:after="0" w:line="355" w:lineRule="auto"/>
        <w:ind w:right="66"/>
        <w:jc w:val="both"/>
        <w:rPr>
          <w:rFonts w:ascii="Arial" w:hAnsi="Arial" w:cs="Arial"/>
          <w:sz w:val="24"/>
          <w:szCs w:val="24"/>
        </w:rPr>
      </w:pP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w:t>
      </w:r>
      <w:r>
        <w:rPr>
          <w:rFonts w:ascii="Arial" w:hAnsi="Arial" w:cs="Arial"/>
          <w:sz w:val="24"/>
          <w:szCs w:val="24"/>
        </w:rPr>
        <w:t>mé</w:t>
      </w:r>
      <w:r>
        <w:rPr>
          <w:rFonts w:ascii="Arial" w:hAnsi="Arial" w:cs="Arial"/>
          <w:spacing w:val="1"/>
          <w:sz w:val="24"/>
          <w:szCs w:val="24"/>
        </w:rPr>
        <w:t>li</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1"/>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13"/>
          <w:sz w:val="24"/>
          <w:szCs w:val="24"/>
        </w:rPr>
        <w:t xml:space="preserv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z w:val="24"/>
          <w:szCs w:val="24"/>
        </w:rPr>
        <w:t>ét</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w:t>
      </w:r>
      <w:r>
        <w:rPr>
          <w:rFonts w:ascii="Arial" w:hAnsi="Arial" w:cs="Arial"/>
          <w:spacing w:val="-2"/>
          <w:sz w:val="24"/>
          <w:szCs w:val="24"/>
        </w:rPr>
        <w:t>v</w:t>
      </w:r>
      <w:r>
        <w:rPr>
          <w:rFonts w:ascii="Arial" w:hAnsi="Arial" w:cs="Arial"/>
          <w:spacing w:val="1"/>
          <w:sz w:val="24"/>
          <w:szCs w:val="24"/>
        </w:rPr>
        <w:t>i</w:t>
      </w:r>
      <w:r>
        <w:rPr>
          <w:rFonts w:ascii="Arial" w:hAnsi="Arial" w:cs="Arial"/>
          <w:sz w:val="24"/>
          <w:szCs w:val="24"/>
        </w:rPr>
        <w:t>té e</w:t>
      </w:r>
      <w:r>
        <w:rPr>
          <w:rFonts w:ascii="Arial" w:hAnsi="Arial" w:cs="Arial"/>
          <w:spacing w:val="1"/>
          <w:sz w:val="24"/>
          <w:szCs w:val="24"/>
        </w:rPr>
        <w:t>xig</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rs</w:t>
      </w:r>
      <w:r>
        <w:rPr>
          <w:rFonts w:ascii="Arial" w:hAnsi="Arial" w:cs="Arial"/>
          <w:sz w:val="24"/>
          <w:szCs w:val="24"/>
        </w:rPr>
        <w:t>ement</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une</w:t>
      </w:r>
      <w:r>
        <w:rPr>
          <w:rFonts w:ascii="Arial" w:hAnsi="Arial" w:cs="Arial"/>
          <w:spacing w:val="7"/>
          <w:sz w:val="24"/>
          <w:szCs w:val="24"/>
        </w:rPr>
        <w:t xml:space="preserve"> </w:t>
      </w:r>
      <w:r>
        <w:rPr>
          <w:rFonts w:ascii="Arial" w:hAnsi="Arial" w:cs="Arial"/>
          <w:spacing w:val="2"/>
          <w:sz w:val="24"/>
          <w:szCs w:val="24"/>
        </w:rPr>
        <w:t>c</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c</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p</w:t>
      </w:r>
      <w:r>
        <w:rPr>
          <w:rFonts w:ascii="Arial" w:hAnsi="Arial" w:cs="Arial"/>
          <w:spacing w:val="2"/>
          <w:sz w:val="24"/>
          <w:szCs w:val="24"/>
        </w:rPr>
        <w:t>e</w:t>
      </w:r>
      <w:r>
        <w:rPr>
          <w:rFonts w:ascii="Arial" w:hAnsi="Arial" w:cs="Arial"/>
          <w:spacing w:val="-1"/>
          <w:sz w:val="24"/>
          <w:szCs w:val="24"/>
        </w:rPr>
        <w:t>rs</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nte</w:t>
      </w:r>
      <w:r>
        <w:rPr>
          <w:rFonts w:ascii="Arial" w:hAnsi="Arial" w:cs="Arial"/>
          <w:spacing w:val="1"/>
          <w:sz w:val="24"/>
          <w:szCs w:val="24"/>
        </w:rPr>
        <w:t xml:space="preserve"> </w:t>
      </w:r>
      <w:r>
        <w:rPr>
          <w:rFonts w:ascii="Arial" w:hAnsi="Arial" w:cs="Arial"/>
          <w:spacing w:val="-1"/>
          <w:sz w:val="24"/>
          <w:szCs w:val="24"/>
        </w:rPr>
        <w:t>d’</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ement</w:t>
      </w:r>
      <w:r>
        <w:rPr>
          <w:rFonts w:ascii="Arial" w:hAnsi="Arial" w:cs="Arial"/>
          <w:spacing w:val="-3"/>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4"/>
          <w:sz w:val="24"/>
          <w:szCs w:val="24"/>
        </w:rPr>
        <w:t xml:space="preserve"> l</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c</w:t>
      </w:r>
      <w:r>
        <w:rPr>
          <w:rFonts w:ascii="Arial" w:hAnsi="Arial" w:cs="Arial"/>
          <w:sz w:val="24"/>
          <w:szCs w:val="24"/>
        </w:rPr>
        <w:t>teur</w:t>
      </w:r>
      <w:r>
        <w:rPr>
          <w:rFonts w:ascii="Arial" w:hAnsi="Arial" w:cs="Arial"/>
          <w:spacing w:val="7"/>
          <w:sz w:val="24"/>
          <w:szCs w:val="24"/>
        </w:rPr>
        <w:t xml:space="preserve"> </w:t>
      </w:r>
      <w:r>
        <w:rPr>
          <w:rFonts w:ascii="Arial" w:hAnsi="Arial" w:cs="Arial"/>
          <w:spacing w:val="1"/>
          <w:sz w:val="24"/>
          <w:szCs w:val="24"/>
        </w:rPr>
        <w:t>ag</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o</w:t>
      </w:r>
      <w:r>
        <w:rPr>
          <w:rFonts w:ascii="Arial" w:hAnsi="Arial" w:cs="Arial"/>
          <w:spacing w:val="1"/>
          <w:sz w:val="24"/>
          <w:szCs w:val="24"/>
        </w:rPr>
        <w:t>l</w:t>
      </w:r>
      <w:r>
        <w:rPr>
          <w:rFonts w:ascii="Arial" w:hAnsi="Arial" w:cs="Arial"/>
          <w:sz w:val="24"/>
          <w:szCs w:val="24"/>
        </w:rPr>
        <w:t xml:space="preserve">e </w:t>
      </w:r>
      <w:r>
        <w:rPr>
          <w:rFonts w:ascii="Arial" w:hAnsi="Arial" w:cs="Arial"/>
          <w:spacing w:val="-1"/>
          <w:sz w:val="24"/>
          <w:szCs w:val="24"/>
        </w:rPr>
        <w:t>centr</w:t>
      </w:r>
      <w:r>
        <w:rPr>
          <w:rFonts w:ascii="Arial" w:hAnsi="Arial" w:cs="Arial"/>
          <w:spacing w:val="1"/>
          <w:sz w:val="24"/>
          <w:szCs w:val="24"/>
        </w:rPr>
        <w:t>a</w:t>
      </w:r>
      <w:r>
        <w:rPr>
          <w:rFonts w:ascii="Arial" w:hAnsi="Arial" w:cs="Arial"/>
          <w:spacing w:val="-1"/>
          <w:sz w:val="24"/>
          <w:szCs w:val="24"/>
        </w:rPr>
        <w:t>fr</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ai</w:t>
      </w:r>
      <w:r>
        <w:rPr>
          <w:rFonts w:ascii="Arial" w:hAnsi="Arial" w:cs="Arial"/>
          <w:sz w:val="24"/>
          <w:szCs w:val="24"/>
        </w:rPr>
        <w:t>n</w:t>
      </w:r>
      <w:r>
        <w:rPr>
          <w:rFonts w:ascii="Arial" w:hAnsi="Arial" w:cs="Arial"/>
          <w:spacing w:val="7"/>
          <w:sz w:val="24"/>
          <w:szCs w:val="24"/>
        </w:rPr>
        <w:t xml:space="preserve"> </w:t>
      </w:r>
      <w:r>
        <w:rPr>
          <w:rFonts w:ascii="Arial" w:hAnsi="Arial" w:cs="Arial"/>
          <w:sz w:val="24"/>
          <w:szCs w:val="24"/>
        </w:rPr>
        <w:t>et</w:t>
      </w:r>
      <w:r>
        <w:rPr>
          <w:rFonts w:ascii="Arial" w:hAnsi="Arial" w:cs="Arial"/>
          <w:spacing w:val="8"/>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c</w:t>
      </w:r>
      <w:r>
        <w:rPr>
          <w:rFonts w:ascii="Arial" w:hAnsi="Arial" w:cs="Arial"/>
          <w:sz w:val="24"/>
          <w:szCs w:val="24"/>
        </w:rPr>
        <w:t>u</w:t>
      </w:r>
      <w:r>
        <w:rPr>
          <w:rFonts w:ascii="Arial" w:hAnsi="Arial" w:cs="Arial"/>
          <w:spacing w:val="1"/>
          <w:sz w:val="24"/>
          <w:szCs w:val="24"/>
        </w:rPr>
        <w:t>li</w:t>
      </w:r>
      <w:r>
        <w:rPr>
          <w:rFonts w:ascii="Arial" w:hAnsi="Arial" w:cs="Arial"/>
          <w:sz w:val="24"/>
          <w:szCs w:val="24"/>
        </w:rPr>
        <w:t>è</w:t>
      </w:r>
      <w:r>
        <w:rPr>
          <w:rFonts w:ascii="Arial" w:hAnsi="Arial" w:cs="Arial"/>
          <w:spacing w:val="-1"/>
          <w:sz w:val="24"/>
          <w:szCs w:val="24"/>
        </w:rPr>
        <w:t>r</w:t>
      </w:r>
      <w:r>
        <w:rPr>
          <w:rFonts w:ascii="Arial" w:hAnsi="Arial" w:cs="Arial"/>
          <w:sz w:val="24"/>
          <w:szCs w:val="24"/>
        </w:rPr>
        <w:t>em</w:t>
      </w:r>
      <w:r>
        <w:rPr>
          <w:rFonts w:ascii="Arial" w:hAnsi="Arial" w:cs="Arial"/>
          <w:spacing w:val="-2"/>
          <w:sz w:val="24"/>
          <w:szCs w:val="24"/>
        </w:rPr>
        <w:t>e</w:t>
      </w:r>
      <w:r>
        <w:rPr>
          <w:rFonts w:ascii="Arial" w:hAnsi="Arial" w:cs="Arial"/>
          <w:sz w:val="24"/>
          <w:szCs w:val="24"/>
        </w:rPr>
        <w:t xml:space="preserve">nt </w:t>
      </w:r>
      <w:r>
        <w:rPr>
          <w:rFonts w:ascii="Arial" w:hAnsi="Arial" w:cs="Arial"/>
          <w:spacing w:val="1"/>
          <w:sz w:val="24"/>
          <w:szCs w:val="24"/>
        </w:rPr>
        <w:t>l</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s</w:t>
      </w:r>
      <w:r>
        <w:rPr>
          <w:rFonts w:ascii="Arial" w:hAnsi="Arial" w:cs="Arial"/>
          <w:sz w:val="24"/>
          <w:szCs w:val="24"/>
        </w:rPr>
        <w:t>ous</w:t>
      </w:r>
      <w:r>
        <w:rPr>
          <w:rFonts w:ascii="Arial" w:hAnsi="Arial" w:cs="Arial"/>
          <w:spacing w:val="9"/>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c</w:t>
      </w:r>
      <w:r>
        <w:rPr>
          <w:rFonts w:ascii="Arial" w:hAnsi="Arial" w:cs="Arial"/>
          <w:sz w:val="24"/>
          <w:szCs w:val="24"/>
        </w:rPr>
        <w:t>teur</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r</w:t>
      </w:r>
      <w:r>
        <w:rPr>
          <w:rFonts w:ascii="Arial" w:hAnsi="Arial" w:cs="Arial"/>
          <w:sz w:val="24"/>
          <w:szCs w:val="24"/>
        </w:rPr>
        <w:t>.</w:t>
      </w:r>
      <w:r>
        <w:rPr>
          <w:rFonts w:ascii="Arial" w:hAnsi="Arial" w:cs="Arial"/>
          <w:spacing w:val="7"/>
          <w:sz w:val="24"/>
          <w:szCs w:val="24"/>
        </w:rPr>
        <w:t xml:space="preserve"> </w:t>
      </w:r>
      <w:r>
        <w:rPr>
          <w:rFonts w:ascii="Arial" w:hAnsi="Arial" w:cs="Arial"/>
          <w:spacing w:val="1"/>
          <w:sz w:val="24"/>
          <w:szCs w:val="24"/>
        </w:rPr>
        <w:t>L</w:t>
      </w:r>
      <w:r>
        <w:rPr>
          <w:rFonts w:ascii="Arial" w:hAnsi="Arial" w:cs="Arial"/>
          <w:sz w:val="24"/>
          <w:szCs w:val="24"/>
        </w:rPr>
        <w:t xml:space="preserve">es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ements en</w:t>
      </w:r>
      <w:r>
        <w:rPr>
          <w:rFonts w:ascii="Arial" w:hAnsi="Arial" w:cs="Arial"/>
          <w:spacing w:val="9"/>
          <w:sz w:val="24"/>
          <w:szCs w:val="24"/>
        </w:rPr>
        <w:t xml:space="preserve"> </w:t>
      </w:r>
      <w:r>
        <w:rPr>
          <w:rFonts w:ascii="Arial" w:hAnsi="Arial" w:cs="Arial"/>
          <w:spacing w:val="-1"/>
          <w:sz w:val="24"/>
          <w:szCs w:val="24"/>
        </w:rPr>
        <w:t>f</w:t>
      </w:r>
      <w:r>
        <w:rPr>
          <w:rFonts w:ascii="Arial" w:hAnsi="Arial" w:cs="Arial"/>
          <w:spacing w:val="1"/>
          <w:sz w:val="24"/>
          <w:szCs w:val="24"/>
        </w:rPr>
        <w:t>av</w:t>
      </w:r>
      <w:r>
        <w:rPr>
          <w:rFonts w:ascii="Arial" w:hAnsi="Arial" w:cs="Arial"/>
          <w:sz w:val="24"/>
          <w:szCs w:val="24"/>
        </w:rPr>
        <w:t>eur</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fr</w:t>
      </w:r>
      <w:r>
        <w:rPr>
          <w:rFonts w:ascii="Arial" w:hAnsi="Arial" w:cs="Arial"/>
          <w:spacing w:val="1"/>
          <w:sz w:val="24"/>
          <w:szCs w:val="24"/>
        </w:rPr>
        <w:t>a</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2"/>
          <w:sz w:val="24"/>
          <w:szCs w:val="24"/>
        </w:rPr>
        <w:t>u</w:t>
      </w:r>
      <w:r>
        <w:rPr>
          <w:rFonts w:ascii="Arial" w:hAnsi="Arial" w:cs="Arial"/>
          <w:spacing w:val="-1"/>
          <w:sz w:val="24"/>
          <w:szCs w:val="24"/>
        </w:rPr>
        <w:t>c</w:t>
      </w:r>
      <w:r>
        <w:rPr>
          <w:rFonts w:ascii="Arial" w:hAnsi="Arial" w:cs="Arial"/>
          <w:spacing w:val="3"/>
          <w:sz w:val="24"/>
          <w:szCs w:val="24"/>
        </w:rPr>
        <w:t>t</w:t>
      </w:r>
      <w:r>
        <w:rPr>
          <w:rFonts w:ascii="Arial" w:hAnsi="Arial" w:cs="Arial"/>
          <w:sz w:val="24"/>
          <w:szCs w:val="24"/>
        </w:rPr>
        <w:t>u</w:t>
      </w:r>
      <w:r>
        <w:rPr>
          <w:rFonts w:ascii="Arial" w:hAnsi="Arial" w:cs="Arial"/>
          <w:spacing w:val="-1"/>
          <w:sz w:val="24"/>
          <w:szCs w:val="24"/>
        </w:rPr>
        <w:t>r</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r</w:t>
      </w:r>
      <w:r>
        <w:rPr>
          <w:rFonts w:ascii="Arial" w:hAnsi="Arial" w:cs="Arial"/>
          <w:sz w:val="24"/>
          <w:szCs w:val="24"/>
        </w:rPr>
        <w:t>out</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4"/>
          <w:sz w:val="24"/>
          <w:szCs w:val="24"/>
        </w:rPr>
        <w:t>i</w:t>
      </w:r>
      <w:r>
        <w:rPr>
          <w:rFonts w:ascii="Arial" w:hAnsi="Arial" w:cs="Arial"/>
          <w:sz w:val="24"/>
          <w:szCs w:val="24"/>
        </w:rPr>
        <w:t>n</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i</w:t>
      </w:r>
      <w:r>
        <w:rPr>
          <w:rFonts w:ascii="Arial" w:hAnsi="Arial" w:cs="Arial"/>
          <w:sz w:val="24"/>
          <w:szCs w:val="24"/>
        </w:rPr>
        <w:t>tut</w:t>
      </w:r>
      <w:r>
        <w:rPr>
          <w:rFonts w:ascii="Arial" w:hAnsi="Arial" w:cs="Arial"/>
          <w:spacing w:val="1"/>
          <w:sz w:val="24"/>
          <w:szCs w:val="24"/>
        </w:rPr>
        <w:t>i</w:t>
      </w:r>
      <w:r>
        <w:rPr>
          <w:rFonts w:ascii="Arial" w:hAnsi="Arial" w:cs="Arial"/>
          <w:sz w:val="24"/>
          <w:szCs w:val="24"/>
        </w:rPr>
        <w:t>ons</w:t>
      </w:r>
      <w:r>
        <w:rPr>
          <w:rFonts w:ascii="Arial" w:hAnsi="Arial" w:cs="Arial"/>
          <w:spacing w:val="5"/>
          <w:sz w:val="24"/>
          <w:szCs w:val="24"/>
        </w:rPr>
        <w:t xml:space="preserve"> </w:t>
      </w:r>
      <w:r>
        <w:rPr>
          <w:rFonts w:ascii="Arial" w:hAnsi="Arial" w:cs="Arial"/>
          <w:sz w:val="24"/>
          <w:szCs w:val="24"/>
        </w:rPr>
        <w:t>et</w:t>
      </w:r>
      <w:r>
        <w:rPr>
          <w:rFonts w:ascii="Arial" w:hAnsi="Arial" w:cs="Arial"/>
          <w:spacing w:val="8"/>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z w:val="24"/>
          <w:szCs w:val="24"/>
        </w:rPr>
        <w:lastRenderedPageBreak/>
        <w:t>te</w:t>
      </w:r>
      <w:r>
        <w:rPr>
          <w:rFonts w:ascii="Arial" w:hAnsi="Arial" w:cs="Arial"/>
          <w:spacing w:val="-1"/>
          <w:sz w:val="24"/>
          <w:szCs w:val="24"/>
        </w:rPr>
        <w:t>c</w:t>
      </w:r>
      <w:r>
        <w:rPr>
          <w:rFonts w:ascii="Arial" w:hAnsi="Arial" w:cs="Arial"/>
          <w:sz w:val="24"/>
          <w:szCs w:val="24"/>
        </w:rPr>
        <w:t>hno</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gi</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ont</w:t>
      </w:r>
      <w:r>
        <w:rPr>
          <w:rFonts w:ascii="Arial" w:hAnsi="Arial" w:cs="Arial"/>
          <w:spacing w:val="6"/>
          <w:sz w:val="24"/>
          <w:szCs w:val="24"/>
        </w:rPr>
        <w:t xml:space="preserve"> </w:t>
      </w:r>
      <w:r>
        <w:rPr>
          <w:rFonts w:ascii="Arial" w:hAnsi="Arial" w:cs="Arial"/>
          <w:sz w:val="24"/>
          <w:szCs w:val="24"/>
        </w:rPr>
        <w:t>né</w:t>
      </w:r>
      <w:r>
        <w:rPr>
          <w:rFonts w:ascii="Arial" w:hAnsi="Arial" w:cs="Arial"/>
          <w:spacing w:val="2"/>
          <w:sz w:val="24"/>
          <w:szCs w:val="24"/>
        </w:rPr>
        <w:t>c</w:t>
      </w:r>
      <w:r>
        <w:rPr>
          <w:rFonts w:ascii="Arial" w:hAnsi="Arial" w:cs="Arial"/>
          <w:sz w:val="24"/>
          <w:szCs w:val="24"/>
        </w:rPr>
        <w:t>e</w:t>
      </w:r>
      <w:r>
        <w:rPr>
          <w:rFonts w:ascii="Arial" w:hAnsi="Arial" w:cs="Arial"/>
          <w:spacing w:val="-1"/>
          <w:sz w:val="24"/>
          <w:szCs w:val="24"/>
        </w:rPr>
        <w:t>ss</w:t>
      </w:r>
      <w:r>
        <w:rPr>
          <w:rFonts w:ascii="Arial" w:hAnsi="Arial" w:cs="Arial"/>
          <w:spacing w:val="1"/>
          <w:sz w:val="24"/>
          <w:szCs w:val="24"/>
        </w:rPr>
        <w:t>ai</w:t>
      </w:r>
      <w:r>
        <w:rPr>
          <w:rFonts w:ascii="Arial" w:hAnsi="Arial" w:cs="Arial"/>
          <w:spacing w:val="-1"/>
          <w:sz w:val="24"/>
          <w:szCs w:val="24"/>
        </w:rPr>
        <w:t>r</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2"/>
          <w:sz w:val="24"/>
          <w:szCs w:val="24"/>
        </w:rPr>
        <w:t>u</w:t>
      </w:r>
      <w:r>
        <w:rPr>
          <w:rFonts w:ascii="Arial" w:hAnsi="Arial" w:cs="Arial"/>
          <w:sz w:val="24"/>
          <w:szCs w:val="24"/>
        </w:rPr>
        <w:t>r</w:t>
      </w:r>
      <w:r>
        <w:rPr>
          <w:rFonts w:ascii="Arial" w:hAnsi="Arial" w:cs="Arial"/>
          <w:spacing w:val="4"/>
          <w:sz w:val="24"/>
          <w:szCs w:val="24"/>
        </w:rPr>
        <w:t xml:space="preserve"> </w:t>
      </w:r>
      <w:r>
        <w:rPr>
          <w:rFonts w:ascii="Arial" w:hAnsi="Arial" w:cs="Arial"/>
          <w:spacing w:val="-1"/>
          <w:sz w:val="24"/>
          <w:szCs w:val="24"/>
        </w:rPr>
        <w:t>s</w:t>
      </w:r>
      <w:r>
        <w:rPr>
          <w:rFonts w:ascii="Arial" w:hAnsi="Arial" w:cs="Arial"/>
          <w:spacing w:val="2"/>
          <w:sz w:val="24"/>
          <w:szCs w:val="24"/>
        </w:rPr>
        <w:t>u</w:t>
      </w:r>
      <w:r>
        <w:rPr>
          <w:rFonts w:ascii="Arial" w:hAnsi="Arial" w:cs="Arial"/>
          <w:spacing w:val="-1"/>
          <w:sz w:val="24"/>
          <w:szCs w:val="24"/>
        </w:rPr>
        <w:t>r</w:t>
      </w:r>
      <w:r>
        <w:rPr>
          <w:rFonts w:ascii="Arial" w:hAnsi="Arial" w:cs="Arial"/>
          <w:sz w:val="24"/>
          <w:szCs w:val="24"/>
        </w:rPr>
        <w:t>mo</w:t>
      </w:r>
      <w:r>
        <w:rPr>
          <w:rFonts w:ascii="Arial" w:hAnsi="Arial" w:cs="Arial"/>
          <w:spacing w:val="2"/>
          <w:sz w:val="24"/>
          <w:szCs w:val="24"/>
        </w:rPr>
        <w:t>n</w:t>
      </w:r>
      <w:r>
        <w:rPr>
          <w:rFonts w:ascii="Arial" w:hAnsi="Arial" w:cs="Arial"/>
          <w:sz w:val="24"/>
          <w:szCs w:val="24"/>
        </w:rPr>
        <w:t>ter</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z w:val="24"/>
          <w:szCs w:val="24"/>
        </w:rPr>
        <w:t>m</w:t>
      </w:r>
      <w:r>
        <w:rPr>
          <w:rFonts w:ascii="Arial" w:hAnsi="Arial" w:cs="Arial"/>
          <w:spacing w:val="1"/>
          <w:sz w:val="24"/>
          <w:szCs w:val="24"/>
        </w:rPr>
        <w:t>b</w:t>
      </w:r>
      <w:r>
        <w:rPr>
          <w:rFonts w:ascii="Arial" w:hAnsi="Arial" w:cs="Arial"/>
          <w:spacing w:val="-1"/>
          <w:sz w:val="24"/>
          <w:szCs w:val="24"/>
        </w:rPr>
        <w:t>r</w:t>
      </w:r>
      <w:r>
        <w:rPr>
          <w:rFonts w:ascii="Arial" w:hAnsi="Arial" w:cs="Arial"/>
          <w:sz w:val="24"/>
          <w:szCs w:val="24"/>
        </w:rPr>
        <w:t>eux</w:t>
      </w:r>
      <w:r>
        <w:rPr>
          <w:rFonts w:ascii="Arial" w:hAnsi="Arial" w:cs="Arial"/>
          <w:spacing w:val="1"/>
          <w:sz w:val="24"/>
          <w:szCs w:val="24"/>
        </w:rPr>
        <w:t xml:space="preserve"> </w:t>
      </w:r>
      <w:r>
        <w:rPr>
          <w:rFonts w:ascii="Arial" w:hAnsi="Arial" w:cs="Arial"/>
          <w:sz w:val="24"/>
          <w:szCs w:val="24"/>
        </w:rPr>
        <w:t>o</w:t>
      </w:r>
      <w:r>
        <w:rPr>
          <w:rFonts w:ascii="Arial" w:hAnsi="Arial" w:cs="Arial"/>
          <w:spacing w:val="1"/>
          <w:sz w:val="24"/>
          <w:szCs w:val="24"/>
        </w:rPr>
        <w:t>b</w:t>
      </w:r>
      <w:r>
        <w:rPr>
          <w:rFonts w:ascii="Arial" w:hAnsi="Arial" w:cs="Arial"/>
          <w:spacing w:val="-1"/>
          <w:sz w:val="24"/>
          <w:szCs w:val="24"/>
        </w:rPr>
        <w:t>s</w:t>
      </w:r>
      <w:r>
        <w:rPr>
          <w:rFonts w:ascii="Arial" w:hAnsi="Arial" w:cs="Arial"/>
          <w:spacing w:val="3"/>
          <w:sz w:val="24"/>
          <w:szCs w:val="24"/>
        </w:rPr>
        <w:t>t</w:t>
      </w:r>
      <w:r>
        <w:rPr>
          <w:rFonts w:ascii="Arial" w:hAnsi="Arial" w:cs="Arial"/>
          <w:spacing w:val="1"/>
          <w:sz w:val="24"/>
          <w:szCs w:val="24"/>
        </w:rPr>
        <w:t>a</w:t>
      </w:r>
      <w:r>
        <w:rPr>
          <w:rFonts w:ascii="Arial" w:hAnsi="Arial" w:cs="Arial"/>
          <w:spacing w:val="-1"/>
          <w:sz w:val="24"/>
          <w:szCs w:val="24"/>
        </w:rPr>
        <w:t>c</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w:t>
      </w:r>
      <w:r>
        <w:rPr>
          <w:rFonts w:ascii="Arial" w:hAnsi="Arial" w:cs="Arial"/>
          <w:spacing w:val="-1"/>
          <w:sz w:val="24"/>
          <w:szCs w:val="24"/>
        </w:rPr>
        <w:t>(</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sp</w:t>
      </w:r>
      <w:r>
        <w:rPr>
          <w:rFonts w:ascii="Arial" w:hAnsi="Arial" w:cs="Arial"/>
          <w:spacing w:val="2"/>
          <w:sz w:val="24"/>
          <w:szCs w:val="24"/>
        </w:rPr>
        <w:t>o</w:t>
      </w:r>
      <w:r>
        <w:rPr>
          <w:rFonts w:ascii="Arial" w:hAnsi="Arial" w:cs="Arial"/>
          <w:spacing w:val="-1"/>
          <w:sz w:val="24"/>
          <w:szCs w:val="24"/>
        </w:rPr>
        <w:t>r</w:t>
      </w:r>
      <w:r>
        <w:rPr>
          <w:rFonts w:ascii="Arial" w:hAnsi="Arial" w:cs="Arial"/>
          <w:sz w:val="24"/>
          <w:szCs w:val="24"/>
        </w:rPr>
        <w:t>t, é</w:t>
      </w:r>
      <w:r>
        <w:rPr>
          <w:rFonts w:ascii="Arial" w:hAnsi="Arial" w:cs="Arial"/>
          <w:spacing w:val="1"/>
          <w:sz w:val="24"/>
          <w:szCs w:val="24"/>
        </w:rPr>
        <w:t>g</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ag</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fr</w:t>
      </w:r>
      <w:r>
        <w:rPr>
          <w:rFonts w:ascii="Arial" w:hAnsi="Arial" w:cs="Arial"/>
          <w:spacing w:val="1"/>
          <w:sz w:val="24"/>
          <w:szCs w:val="24"/>
        </w:rPr>
        <w:t>ai</w:t>
      </w:r>
      <w:r>
        <w:rPr>
          <w:rFonts w:ascii="Arial" w:hAnsi="Arial" w:cs="Arial"/>
          <w:sz w:val="24"/>
          <w:szCs w:val="24"/>
        </w:rPr>
        <w:t>s</w:t>
      </w:r>
      <w:r>
        <w:rPr>
          <w:rFonts w:ascii="Arial" w:hAnsi="Arial" w:cs="Arial"/>
          <w:spacing w:val="10"/>
          <w:sz w:val="24"/>
          <w:szCs w:val="24"/>
        </w:rPr>
        <w:t xml:space="preserve"> </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m</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f</w:t>
      </w:r>
      <w:r>
        <w:rPr>
          <w:rFonts w:ascii="Arial" w:hAnsi="Arial" w:cs="Arial"/>
          <w:sz w:val="24"/>
          <w:szCs w:val="24"/>
        </w:rPr>
        <w:t>s</w:t>
      </w:r>
      <w:r>
        <w:rPr>
          <w:rFonts w:ascii="Arial" w:hAnsi="Arial" w:cs="Arial"/>
          <w:spacing w:val="3"/>
          <w:sz w:val="24"/>
          <w:szCs w:val="24"/>
        </w:rPr>
        <w:t xml:space="preserve"> </w:t>
      </w:r>
      <w:r>
        <w:rPr>
          <w:rFonts w:ascii="Arial" w:hAnsi="Arial" w:cs="Arial"/>
          <w:sz w:val="24"/>
          <w:szCs w:val="24"/>
        </w:rPr>
        <w:t>et</w:t>
      </w:r>
      <w:r>
        <w:rPr>
          <w:rFonts w:ascii="Arial" w:hAnsi="Arial" w:cs="Arial"/>
          <w:spacing w:val="11"/>
          <w:sz w:val="24"/>
          <w:szCs w:val="24"/>
        </w:rPr>
        <w:t xml:space="preserve"> </w:t>
      </w:r>
      <w:r>
        <w:rPr>
          <w:rFonts w:ascii="Arial" w:hAnsi="Arial" w:cs="Arial"/>
          <w:spacing w:val="-1"/>
          <w:sz w:val="24"/>
          <w:szCs w:val="24"/>
        </w:rPr>
        <w:t>d’</w:t>
      </w:r>
      <w:r>
        <w:rPr>
          <w:rFonts w:ascii="Arial" w:hAnsi="Arial" w:cs="Arial"/>
          <w:sz w:val="24"/>
          <w:szCs w:val="24"/>
        </w:rPr>
        <w:t>en</w:t>
      </w:r>
      <w:r>
        <w:rPr>
          <w:rFonts w:ascii="Arial" w:hAnsi="Arial" w:cs="Arial"/>
          <w:spacing w:val="-1"/>
          <w:sz w:val="24"/>
          <w:szCs w:val="24"/>
        </w:rPr>
        <w:t>c</w:t>
      </w:r>
      <w:r>
        <w:rPr>
          <w:rFonts w:ascii="Arial" w:hAnsi="Arial" w:cs="Arial"/>
          <w:spacing w:val="1"/>
          <w:sz w:val="24"/>
          <w:szCs w:val="24"/>
        </w:rPr>
        <w:t>a</w:t>
      </w:r>
      <w:r>
        <w:rPr>
          <w:rFonts w:ascii="Arial" w:hAnsi="Arial" w:cs="Arial"/>
          <w:spacing w:val="-1"/>
          <w:sz w:val="24"/>
          <w:szCs w:val="24"/>
        </w:rPr>
        <w:t>d</w:t>
      </w:r>
      <w:r>
        <w:rPr>
          <w:rFonts w:ascii="Arial" w:hAnsi="Arial" w:cs="Arial"/>
          <w:spacing w:val="2"/>
          <w:sz w:val="24"/>
          <w:szCs w:val="24"/>
        </w:rPr>
        <w:t>r</w:t>
      </w:r>
      <w:r>
        <w:rPr>
          <w:rFonts w:ascii="Arial" w:hAnsi="Arial" w:cs="Arial"/>
          <w:sz w:val="24"/>
          <w:szCs w:val="24"/>
        </w:rPr>
        <w:t>ement) à</w:t>
      </w:r>
      <w:r>
        <w:rPr>
          <w:rFonts w:ascii="Arial" w:hAnsi="Arial" w:cs="Arial"/>
          <w:spacing w:val="13"/>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o</w:t>
      </w:r>
      <w:r>
        <w:rPr>
          <w:rFonts w:ascii="Arial" w:hAnsi="Arial" w:cs="Arial"/>
          <w:spacing w:val="-1"/>
          <w:sz w:val="24"/>
          <w:szCs w:val="24"/>
        </w:rPr>
        <w:t>ffr</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12"/>
          <w:sz w:val="24"/>
          <w:szCs w:val="24"/>
        </w:rPr>
        <w:t xml:space="preserve"> </w:t>
      </w:r>
      <w:r>
        <w:rPr>
          <w:rFonts w:ascii="Arial" w:hAnsi="Arial" w:cs="Arial"/>
          <w:spacing w:val="-1"/>
          <w:sz w:val="24"/>
          <w:szCs w:val="24"/>
        </w:rPr>
        <w:t>c</w:t>
      </w:r>
      <w:r>
        <w:rPr>
          <w:rFonts w:ascii="Arial" w:hAnsi="Arial" w:cs="Arial"/>
          <w:spacing w:val="2"/>
          <w:sz w:val="24"/>
          <w:szCs w:val="24"/>
        </w:rPr>
        <w:t>o</w:t>
      </w:r>
      <w:r>
        <w:rPr>
          <w:rFonts w:ascii="Arial" w:hAnsi="Arial" w:cs="Arial"/>
          <w:sz w:val="24"/>
          <w:szCs w:val="24"/>
        </w:rPr>
        <w:t>ton</w:t>
      </w:r>
      <w:r>
        <w:rPr>
          <w:rFonts w:ascii="Arial" w:hAnsi="Arial" w:cs="Arial"/>
          <w:spacing w:val="10"/>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ns</w:t>
      </w:r>
      <w:r>
        <w:rPr>
          <w:rFonts w:ascii="Arial" w:hAnsi="Arial" w:cs="Arial"/>
          <w:spacing w:val="9"/>
          <w:sz w:val="24"/>
          <w:szCs w:val="24"/>
        </w:rPr>
        <w:t xml:space="preserve"> </w:t>
      </w:r>
      <w:r>
        <w:rPr>
          <w:rFonts w:ascii="Arial" w:hAnsi="Arial" w:cs="Arial"/>
          <w:spacing w:val="1"/>
          <w:sz w:val="24"/>
          <w:szCs w:val="24"/>
        </w:rPr>
        <w:t>un</w:t>
      </w:r>
      <w:r>
        <w:rPr>
          <w:rFonts w:ascii="Arial" w:hAnsi="Arial" w:cs="Arial"/>
          <w:spacing w:val="11"/>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 en</w:t>
      </w:r>
      <w:r>
        <w:rPr>
          <w:rFonts w:ascii="Arial" w:hAnsi="Arial" w:cs="Arial"/>
          <w:spacing w:val="-1"/>
          <w:sz w:val="24"/>
          <w:szCs w:val="24"/>
        </w:rPr>
        <w:t>c</w:t>
      </w:r>
      <w:r>
        <w:rPr>
          <w:rFonts w:ascii="Arial" w:hAnsi="Arial" w:cs="Arial"/>
          <w:spacing w:val="1"/>
          <w:sz w:val="24"/>
          <w:szCs w:val="24"/>
        </w:rPr>
        <w:t>lav</w:t>
      </w:r>
      <w:r>
        <w:rPr>
          <w:rFonts w:ascii="Arial" w:hAnsi="Arial" w:cs="Arial"/>
          <w:sz w:val="24"/>
          <w:szCs w:val="24"/>
        </w:rPr>
        <w:t>é comme la RCA,</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7"/>
          <w:sz w:val="24"/>
          <w:szCs w:val="24"/>
        </w:rPr>
        <w:t xml:space="preserve"> </w:t>
      </w:r>
      <w:r>
        <w:rPr>
          <w:rFonts w:ascii="Arial" w:hAnsi="Arial" w:cs="Arial"/>
          <w:spacing w:val="-1"/>
          <w:sz w:val="24"/>
          <w:szCs w:val="24"/>
        </w:rPr>
        <w:t>f</w:t>
      </w:r>
      <w:r>
        <w:rPr>
          <w:rFonts w:ascii="Arial" w:hAnsi="Arial" w:cs="Arial"/>
          <w:spacing w:val="1"/>
          <w:sz w:val="24"/>
          <w:szCs w:val="24"/>
        </w:rPr>
        <w:t>ai</w:t>
      </w:r>
      <w:r>
        <w:rPr>
          <w:rFonts w:ascii="Arial" w:hAnsi="Arial" w:cs="Arial"/>
          <w:sz w:val="24"/>
          <w:szCs w:val="24"/>
        </w:rPr>
        <w:t>t</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z w:val="24"/>
          <w:szCs w:val="24"/>
        </w:rPr>
        <w:t>é</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ig</w:t>
      </w:r>
      <w:r>
        <w:rPr>
          <w:rFonts w:ascii="Arial" w:hAnsi="Arial" w:cs="Arial"/>
          <w:sz w:val="24"/>
          <w:szCs w:val="24"/>
        </w:rPr>
        <w:t xml:space="preserve">nement </w:t>
      </w:r>
      <w:r>
        <w:rPr>
          <w:rFonts w:ascii="Arial" w:hAnsi="Arial" w:cs="Arial"/>
          <w:spacing w:val="-1"/>
          <w:sz w:val="24"/>
          <w:szCs w:val="24"/>
        </w:rPr>
        <w:t>r</w:t>
      </w:r>
      <w:r>
        <w:rPr>
          <w:rFonts w:ascii="Arial" w:hAnsi="Arial" w:cs="Arial"/>
          <w:spacing w:val="-2"/>
          <w:sz w:val="24"/>
          <w:szCs w:val="24"/>
        </w:rPr>
        <w:t>e</w:t>
      </w:r>
      <w:r>
        <w:rPr>
          <w:rFonts w:ascii="Arial" w:hAnsi="Arial" w:cs="Arial"/>
          <w:spacing w:val="1"/>
          <w:sz w:val="24"/>
          <w:szCs w:val="24"/>
        </w:rPr>
        <w:t>la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z w:val="24"/>
          <w:szCs w:val="24"/>
        </w:rPr>
        <w:t>zones</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pr</w:t>
      </w:r>
      <w:r>
        <w:rPr>
          <w:rFonts w:ascii="Arial" w:hAnsi="Arial" w:cs="Arial"/>
          <w:spacing w:val="2"/>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w:t>
      </w:r>
      <w:r>
        <w:rPr>
          <w:rFonts w:ascii="Arial" w:hAnsi="Arial" w:cs="Arial"/>
          <w:spacing w:val="6"/>
          <w:sz w:val="24"/>
          <w:szCs w:val="24"/>
        </w:rPr>
        <w:t xml:space="preserve"> </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pp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c</w:t>
      </w:r>
      <w:r>
        <w:rPr>
          <w:rFonts w:ascii="Arial" w:hAnsi="Arial" w:cs="Arial"/>
          <w:spacing w:val="1"/>
          <w:sz w:val="24"/>
          <w:szCs w:val="24"/>
        </w:rPr>
        <w:t>i</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ux</w:t>
      </w:r>
      <w:r>
        <w:rPr>
          <w:rFonts w:ascii="Arial" w:hAnsi="Arial" w:cs="Arial"/>
          <w:spacing w:val="30"/>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ts</w:t>
      </w:r>
      <w:r>
        <w:rPr>
          <w:rFonts w:ascii="Arial" w:hAnsi="Arial" w:cs="Arial"/>
          <w:spacing w:val="33"/>
          <w:sz w:val="24"/>
          <w:szCs w:val="24"/>
        </w:rPr>
        <w:t xml:space="preserve"> </w:t>
      </w:r>
      <w:r>
        <w:rPr>
          <w:rFonts w:ascii="Arial" w:hAnsi="Arial" w:cs="Arial"/>
          <w:spacing w:val="-1"/>
          <w:sz w:val="24"/>
          <w:szCs w:val="24"/>
        </w:rPr>
        <w:t>d’</w:t>
      </w:r>
      <w:r>
        <w:rPr>
          <w:rFonts w:ascii="Arial" w:hAnsi="Arial" w:cs="Arial"/>
          <w:spacing w:val="2"/>
          <w:sz w:val="24"/>
          <w:szCs w:val="24"/>
        </w:rPr>
        <w:t>e</w:t>
      </w:r>
      <w:r>
        <w:rPr>
          <w:rFonts w:ascii="Arial" w:hAnsi="Arial" w:cs="Arial"/>
          <w:sz w:val="24"/>
          <w:szCs w:val="24"/>
        </w:rPr>
        <w:t>m</w:t>
      </w:r>
      <w:r>
        <w:rPr>
          <w:rFonts w:ascii="Arial" w:hAnsi="Arial" w:cs="Arial"/>
          <w:spacing w:val="1"/>
          <w:sz w:val="24"/>
          <w:szCs w:val="24"/>
        </w:rPr>
        <w:t>ba</w:t>
      </w:r>
      <w:r>
        <w:rPr>
          <w:rFonts w:ascii="Arial" w:hAnsi="Arial" w:cs="Arial"/>
          <w:spacing w:val="-1"/>
          <w:sz w:val="24"/>
          <w:szCs w:val="24"/>
        </w:rPr>
        <w:t>r</w:t>
      </w:r>
      <w:r>
        <w:rPr>
          <w:rFonts w:ascii="Arial" w:hAnsi="Arial" w:cs="Arial"/>
          <w:spacing w:val="1"/>
          <w:sz w:val="24"/>
          <w:szCs w:val="24"/>
        </w:rPr>
        <w:t>q</w:t>
      </w:r>
      <w:r>
        <w:rPr>
          <w:rFonts w:ascii="Arial" w:hAnsi="Arial" w:cs="Arial"/>
          <w:sz w:val="24"/>
          <w:szCs w:val="24"/>
        </w:rPr>
        <w:t>uement,</w:t>
      </w:r>
      <w:r>
        <w:rPr>
          <w:rFonts w:ascii="Arial" w:hAnsi="Arial" w:cs="Arial"/>
          <w:spacing w:val="20"/>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33"/>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vai</w:t>
      </w:r>
      <w:r>
        <w:rPr>
          <w:rFonts w:ascii="Arial" w:hAnsi="Arial" w:cs="Arial"/>
          <w:sz w:val="24"/>
          <w:szCs w:val="24"/>
        </w:rPr>
        <w:t>s</w:t>
      </w:r>
      <w:r>
        <w:rPr>
          <w:rFonts w:ascii="Arial" w:hAnsi="Arial" w:cs="Arial"/>
          <w:spacing w:val="27"/>
          <w:sz w:val="24"/>
          <w:szCs w:val="24"/>
        </w:rPr>
        <w:t xml:space="preserve"> </w:t>
      </w:r>
      <w:r>
        <w:rPr>
          <w:rFonts w:ascii="Arial" w:hAnsi="Arial" w:cs="Arial"/>
          <w:sz w:val="24"/>
          <w:szCs w:val="24"/>
        </w:rPr>
        <w:t>ét</w:t>
      </w:r>
      <w:r>
        <w:rPr>
          <w:rFonts w:ascii="Arial" w:hAnsi="Arial" w:cs="Arial"/>
          <w:spacing w:val="1"/>
          <w:sz w:val="24"/>
          <w:szCs w:val="24"/>
        </w:rPr>
        <w:t>a</w:t>
      </w:r>
      <w:r>
        <w:rPr>
          <w:rFonts w:ascii="Arial" w:hAnsi="Arial" w:cs="Arial"/>
          <w:sz w:val="24"/>
          <w:szCs w:val="24"/>
        </w:rPr>
        <w:t>t</w:t>
      </w:r>
      <w:r>
        <w:rPr>
          <w:rFonts w:ascii="Arial" w:hAnsi="Arial" w:cs="Arial"/>
          <w:spacing w:val="30"/>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31"/>
          <w:sz w:val="24"/>
          <w:szCs w:val="24"/>
        </w:rPr>
        <w:t xml:space="preserve"> </w:t>
      </w:r>
      <w:r>
        <w:rPr>
          <w:rFonts w:ascii="Arial" w:hAnsi="Arial" w:cs="Arial"/>
          <w:spacing w:val="-1"/>
          <w:sz w:val="24"/>
          <w:szCs w:val="24"/>
        </w:rPr>
        <w:t>p</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te</w:t>
      </w:r>
      <w:r>
        <w:rPr>
          <w:rFonts w:ascii="Arial" w:hAnsi="Arial" w:cs="Arial"/>
          <w:spacing w:val="-1"/>
          <w:sz w:val="24"/>
          <w:szCs w:val="24"/>
        </w:rPr>
        <w:t>s</w:t>
      </w:r>
      <w:r>
        <w:rPr>
          <w:rFonts w:ascii="Arial" w:hAnsi="Arial" w:cs="Arial"/>
          <w:sz w:val="24"/>
          <w:szCs w:val="24"/>
        </w:rPr>
        <w:t>,</w:t>
      </w:r>
      <w:r>
        <w:rPr>
          <w:rFonts w:ascii="Arial" w:hAnsi="Arial" w:cs="Arial"/>
          <w:spacing w:val="3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2"/>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3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sp</w:t>
      </w:r>
      <w:r>
        <w:rPr>
          <w:rFonts w:ascii="Arial" w:hAnsi="Arial" w:cs="Arial"/>
          <w:sz w:val="24"/>
          <w:szCs w:val="24"/>
        </w:rPr>
        <w:t>e</w:t>
      </w:r>
      <w:r>
        <w:rPr>
          <w:rFonts w:ascii="Arial" w:hAnsi="Arial" w:cs="Arial"/>
          <w:spacing w:val="2"/>
          <w:sz w:val="24"/>
          <w:szCs w:val="24"/>
        </w:rPr>
        <w:t>r</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es</w:t>
      </w:r>
      <w:r>
        <w:rPr>
          <w:rFonts w:ascii="Arial" w:hAnsi="Arial" w:cs="Arial"/>
          <w:spacing w:val="-3"/>
          <w:sz w:val="24"/>
          <w:szCs w:val="24"/>
        </w:rPr>
        <w:t xml:space="preserve"> </w:t>
      </w:r>
      <w:r>
        <w:rPr>
          <w:rFonts w:ascii="Arial" w:hAnsi="Arial" w:cs="Arial"/>
          <w:sz w:val="24"/>
          <w:szCs w:val="24"/>
        </w:rPr>
        <w:t>zones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p>
    <w:p w14:paraId="352A2C7A" w14:textId="77777777" w:rsidR="008862C7" w:rsidRDefault="008862C7" w:rsidP="008862C7">
      <w:pPr>
        <w:widowControl w:val="0"/>
        <w:autoSpaceDE w:val="0"/>
        <w:autoSpaceDN w:val="0"/>
        <w:adjustRightInd w:val="0"/>
        <w:spacing w:before="120" w:after="0" w:line="360" w:lineRule="auto"/>
        <w:ind w:right="66"/>
        <w:jc w:val="both"/>
        <w:rPr>
          <w:rFonts w:ascii="Arial" w:hAnsi="Arial" w:cs="Arial"/>
          <w:sz w:val="24"/>
          <w:szCs w:val="24"/>
        </w:rPr>
      </w:pPr>
      <w:r>
        <w:rPr>
          <w:rFonts w:ascii="Arial" w:hAnsi="Arial" w:cs="Arial"/>
          <w:sz w:val="24"/>
          <w:szCs w:val="24"/>
        </w:rPr>
        <w:t>A</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7"/>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i</w:t>
      </w:r>
      <w:r>
        <w:rPr>
          <w:rFonts w:ascii="Arial" w:hAnsi="Arial" w:cs="Arial"/>
          <w:spacing w:val="-1"/>
          <w:sz w:val="24"/>
          <w:szCs w:val="24"/>
        </w:rPr>
        <w:t>r</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9"/>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p</w:t>
      </w:r>
      <w:r>
        <w:rPr>
          <w:rFonts w:ascii="Arial" w:hAnsi="Arial" w:cs="Arial"/>
          <w:sz w:val="24"/>
          <w:szCs w:val="24"/>
        </w:rPr>
        <w:t>en</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 xml:space="preserve">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9"/>
          <w:sz w:val="24"/>
          <w:szCs w:val="24"/>
        </w:rPr>
        <w:t xml:space="preserve"> </w:t>
      </w:r>
      <w:r>
        <w:rPr>
          <w:rFonts w:ascii="Arial" w:hAnsi="Arial" w:cs="Arial"/>
          <w:spacing w:val="-1"/>
          <w:sz w:val="24"/>
          <w:szCs w:val="24"/>
        </w:rPr>
        <w:t>fi</w:t>
      </w:r>
      <w:r>
        <w:rPr>
          <w:rFonts w:ascii="Arial" w:hAnsi="Arial" w:cs="Arial"/>
          <w:spacing w:val="1"/>
          <w:sz w:val="24"/>
          <w:szCs w:val="24"/>
        </w:rPr>
        <w:t>li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6"/>
          <w:sz w:val="24"/>
          <w:szCs w:val="24"/>
        </w:rPr>
        <w:t xml:space="preserve"> </w:t>
      </w:r>
      <w:r>
        <w:rPr>
          <w:rFonts w:ascii="Arial" w:hAnsi="Arial" w:cs="Arial"/>
          <w:spacing w:val="-3"/>
          <w:sz w:val="24"/>
          <w:szCs w:val="24"/>
        </w:rPr>
        <w:t>c</w:t>
      </w:r>
      <w:r>
        <w:rPr>
          <w:rFonts w:ascii="Arial" w:hAnsi="Arial" w:cs="Arial"/>
          <w:sz w:val="24"/>
          <w:szCs w:val="24"/>
        </w:rPr>
        <w:t>otonn</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8"/>
          <w:sz w:val="24"/>
          <w:szCs w:val="24"/>
        </w:rPr>
        <w:t xml:space="preserve"> </w:t>
      </w:r>
      <w:r>
        <w:rPr>
          <w:rFonts w:ascii="Arial" w:hAnsi="Arial" w:cs="Arial"/>
          <w:sz w:val="24"/>
          <w:szCs w:val="24"/>
        </w:rPr>
        <w:t>m</w:t>
      </w:r>
      <w:r>
        <w:rPr>
          <w:rFonts w:ascii="Arial" w:hAnsi="Arial" w:cs="Arial"/>
          <w:spacing w:val="1"/>
          <w:sz w:val="24"/>
          <w:szCs w:val="24"/>
        </w:rPr>
        <w:t>a</w:t>
      </w:r>
      <w:r>
        <w:rPr>
          <w:rFonts w:ascii="Arial" w:hAnsi="Arial" w:cs="Arial"/>
          <w:spacing w:val="-1"/>
          <w:sz w:val="24"/>
          <w:szCs w:val="24"/>
        </w:rPr>
        <w:t>rc</w:t>
      </w:r>
      <w:r>
        <w:rPr>
          <w:rFonts w:ascii="Arial" w:hAnsi="Arial" w:cs="Arial"/>
          <w:sz w:val="24"/>
          <w:szCs w:val="24"/>
        </w:rPr>
        <w:t>hé</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z w:val="24"/>
          <w:szCs w:val="24"/>
        </w:rPr>
        <w:t>té</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eu</w:t>
      </w:r>
      <w:r>
        <w:rPr>
          <w:rFonts w:ascii="Arial" w:hAnsi="Arial" w:cs="Arial"/>
          <w:spacing w:val="-1"/>
          <w:sz w:val="24"/>
          <w:szCs w:val="24"/>
        </w:rPr>
        <w:t xml:space="preserve">r </w:t>
      </w:r>
      <w:r>
        <w:rPr>
          <w:rFonts w:ascii="Arial" w:hAnsi="Arial" w:cs="Arial"/>
          <w:sz w:val="24"/>
          <w:szCs w:val="24"/>
        </w:rPr>
        <w:t>une</w:t>
      </w:r>
      <w:r>
        <w:rPr>
          <w:rFonts w:ascii="Arial" w:hAnsi="Arial" w:cs="Arial"/>
          <w:spacing w:val="50"/>
          <w:sz w:val="24"/>
          <w:szCs w:val="24"/>
        </w:rPr>
        <w:t xml:space="preserve"> </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sf</w:t>
      </w:r>
      <w:r>
        <w:rPr>
          <w:rFonts w:ascii="Arial" w:hAnsi="Arial" w:cs="Arial"/>
          <w:sz w:val="24"/>
          <w:szCs w:val="24"/>
        </w:rPr>
        <w:t>o</w:t>
      </w:r>
      <w:r>
        <w:rPr>
          <w:rFonts w:ascii="Arial" w:hAnsi="Arial" w:cs="Arial"/>
          <w:spacing w:val="-1"/>
          <w:sz w:val="24"/>
          <w:szCs w:val="24"/>
        </w:rPr>
        <w:t>r</w:t>
      </w:r>
      <w:r>
        <w:rPr>
          <w:rFonts w:ascii="Arial" w:hAnsi="Arial" w:cs="Arial"/>
          <w:sz w:val="24"/>
          <w:szCs w:val="24"/>
        </w:rPr>
        <w:t>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42"/>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w:t>
      </w:r>
      <w:r>
        <w:rPr>
          <w:rFonts w:ascii="Arial" w:hAnsi="Arial" w:cs="Arial"/>
          <w:spacing w:val="1"/>
          <w:sz w:val="24"/>
          <w:szCs w:val="24"/>
        </w:rPr>
        <w:t>al</w:t>
      </w:r>
      <w:r>
        <w:rPr>
          <w:rFonts w:ascii="Arial" w:hAnsi="Arial" w:cs="Arial"/>
          <w:sz w:val="24"/>
          <w:szCs w:val="24"/>
        </w:rPr>
        <w:t>e</w:t>
      </w:r>
      <w:r>
        <w:rPr>
          <w:rFonts w:ascii="Arial" w:hAnsi="Arial" w:cs="Arial"/>
          <w:spacing w:val="4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9"/>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51"/>
          <w:sz w:val="24"/>
          <w:szCs w:val="24"/>
        </w:rPr>
        <w:t xml:space="preserve">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e</w:t>
      </w:r>
      <w:r>
        <w:rPr>
          <w:rFonts w:ascii="Arial" w:hAnsi="Arial" w:cs="Arial"/>
          <w:spacing w:val="48"/>
          <w:sz w:val="24"/>
          <w:szCs w:val="24"/>
        </w:rPr>
        <w:t xml:space="preserve"> </w:t>
      </w:r>
      <w:r>
        <w:rPr>
          <w:rFonts w:ascii="Arial" w:hAnsi="Arial" w:cs="Arial"/>
          <w:sz w:val="24"/>
          <w:szCs w:val="24"/>
        </w:rPr>
        <w:t>et</w:t>
      </w:r>
      <w:r>
        <w:rPr>
          <w:rFonts w:ascii="Arial" w:hAnsi="Arial" w:cs="Arial"/>
          <w:spacing w:val="49"/>
          <w:sz w:val="24"/>
          <w:szCs w:val="24"/>
        </w:rPr>
        <w:t xml:space="preserve"> </w:t>
      </w:r>
      <w:r>
        <w:rPr>
          <w:rFonts w:ascii="Arial" w:hAnsi="Arial" w:cs="Arial"/>
          <w:sz w:val="24"/>
          <w:szCs w:val="24"/>
        </w:rPr>
        <w:t>une</w:t>
      </w:r>
      <w:r>
        <w:rPr>
          <w:rFonts w:ascii="Arial" w:hAnsi="Arial" w:cs="Arial"/>
          <w:spacing w:val="55"/>
          <w:sz w:val="24"/>
          <w:szCs w:val="24"/>
        </w:rPr>
        <w:t xml:space="preserve"> </w:t>
      </w:r>
      <w:r>
        <w:rPr>
          <w:rFonts w:ascii="Arial" w:hAnsi="Arial" w:cs="Arial"/>
          <w:spacing w:val="1"/>
          <w:sz w:val="24"/>
          <w:szCs w:val="24"/>
        </w:rPr>
        <w:t>val</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pacing w:val="-2"/>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44"/>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s</w:t>
      </w:r>
      <w:r>
        <w:rPr>
          <w:rFonts w:ascii="Arial" w:hAnsi="Arial" w:cs="Arial"/>
          <w:sz w:val="24"/>
          <w:szCs w:val="24"/>
        </w:rPr>
        <w:t>ou</w:t>
      </w:r>
      <w:r>
        <w:rPr>
          <w:rFonts w:ascii="Arial" w:hAnsi="Arial" w:cs="Arial"/>
          <w:spacing w:val="-1"/>
          <w:sz w:val="24"/>
          <w:szCs w:val="24"/>
        </w:rPr>
        <w:t>s-</w:t>
      </w:r>
      <w:r>
        <w:rPr>
          <w:rFonts w:ascii="Arial" w:hAnsi="Arial" w:cs="Arial"/>
          <w:spacing w:val="1"/>
          <w:sz w:val="24"/>
          <w:szCs w:val="24"/>
        </w:rPr>
        <w:t>p</w:t>
      </w:r>
      <w:r>
        <w:rPr>
          <w:rFonts w:ascii="Arial" w:hAnsi="Arial" w:cs="Arial"/>
          <w:spacing w:val="-1"/>
          <w:sz w:val="24"/>
          <w:szCs w:val="24"/>
        </w:rPr>
        <w:t>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i</w:t>
      </w:r>
      <w:r>
        <w:rPr>
          <w:rFonts w:ascii="Arial" w:hAnsi="Arial" w:cs="Arial"/>
          <w:sz w:val="24"/>
          <w:szCs w:val="24"/>
        </w:rPr>
        <w:t>ts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6"/>
          <w:sz w:val="24"/>
          <w:szCs w:val="24"/>
        </w:rPr>
        <w:t xml:space="preserve"> </w:t>
      </w:r>
      <w:r>
        <w:rPr>
          <w:rFonts w:ascii="Arial" w:hAnsi="Arial" w:cs="Arial"/>
          <w:spacing w:val="1"/>
          <w:sz w:val="24"/>
          <w:szCs w:val="24"/>
        </w:rPr>
        <w:t>g</w:t>
      </w:r>
      <w:r>
        <w:rPr>
          <w:rFonts w:ascii="Arial" w:hAnsi="Arial" w:cs="Arial"/>
          <w:spacing w:val="-1"/>
          <w:sz w:val="24"/>
          <w:szCs w:val="24"/>
        </w:rPr>
        <w:t>r</w:t>
      </w:r>
      <w:r>
        <w:rPr>
          <w:rFonts w:ascii="Arial" w:hAnsi="Arial" w:cs="Arial"/>
          <w:spacing w:val="1"/>
          <w:sz w:val="24"/>
          <w:szCs w:val="24"/>
        </w:rPr>
        <w:t>ai</w:t>
      </w:r>
      <w:r>
        <w:rPr>
          <w:rFonts w:ascii="Arial" w:hAnsi="Arial" w:cs="Arial"/>
          <w:sz w:val="24"/>
          <w:szCs w:val="24"/>
        </w:rPr>
        <w:t>ne</w:t>
      </w:r>
      <w:r>
        <w:rPr>
          <w:rFonts w:ascii="Arial" w:hAnsi="Arial" w:cs="Arial"/>
          <w:spacing w:val="3"/>
          <w:sz w:val="24"/>
          <w:szCs w:val="24"/>
        </w:rPr>
        <w:t xml:space="preserve"> </w:t>
      </w:r>
      <w:r>
        <w:rPr>
          <w:rFonts w:ascii="Arial" w:hAnsi="Arial" w:cs="Arial"/>
          <w:spacing w:val="-1"/>
          <w:sz w:val="24"/>
          <w:szCs w:val="24"/>
        </w:rPr>
        <w:t>(</w:t>
      </w:r>
      <w:r>
        <w:rPr>
          <w:rFonts w:ascii="Arial" w:hAnsi="Arial" w:cs="Arial"/>
          <w:sz w:val="24"/>
          <w:szCs w:val="24"/>
        </w:rPr>
        <w:t>tou</w:t>
      </w:r>
      <w:r>
        <w:rPr>
          <w:rFonts w:ascii="Arial" w:hAnsi="Arial" w:cs="Arial"/>
          <w:spacing w:val="-1"/>
          <w:sz w:val="24"/>
          <w:szCs w:val="24"/>
        </w:rPr>
        <w:t>r</w:t>
      </w:r>
      <w:r>
        <w:rPr>
          <w:rFonts w:ascii="Arial" w:hAnsi="Arial" w:cs="Arial"/>
          <w:sz w:val="24"/>
          <w:szCs w:val="24"/>
        </w:rPr>
        <w:t>te</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w:t>
      </w:r>
      <w:r>
        <w:rPr>
          <w:rFonts w:ascii="Arial" w:hAnsi="Arial" w:cs="Arial"/>
          <w:sz w:val="24"/>
          <w:szCs w:val="24"/>
        </w:rPr>
        <w:t>, hu</w:t>
      </w:r>
      <w:r>
        <w:rPr>
          <w:rFonts w:ascii="Arial" w:hAnsi="Arial" w:cs="Arial"/>
          <w:spacing w:val="1"/>
          <w:sz w:val="24"/>
          <w:szCs w:val="24"/>
        </w:rPr>
        <w:t>il</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5"/>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f</w:t>
      </w:r>
      <w:r>
        <w:rPr>
          <w:rFonts w:ascii="Arial" w:hAnsi="Arial" w:cs="Arial"/>
          <w:spacing w:val="2"/>
          <w:sz w:val="24"/>
          <w:szCs w:val="24"/>
        </w:rPr>
        <w:t>o</w:t>
      </w:r>
      <w:r>
        <w:rPr>
          <w:rFonts w:ascii="Arial" w:hAnsi="Arial" w:cs="Arial"/>
          <w:spacing w:val="-1"/>
          <w:sz w:val="24"/>
          <w:szCs w:val="24"/>
        </w:rPr>
        <w:t>rc</w:t>
      </w:r>
      <w:r>
        <w:rPr>
          <w:rFonts w:ascii="Arial" w:hAnsi="Arial" w:cs="Arial"/>
          <w:spacing w:val="2"/>
          <w:sz w:val="24"/>
          <w:szCs w:val="24"/>
        </w:rPr>
        <w:t>e</w:t>
      </w:r>
      <w:r>
        <w:rPr>
          <w:rFonts w:ascii="Arial" w:hAnsi="Arial" w:cs="Arial"/>
          <w:sz w:val="24"/>
          <w:szCs w:val="24"/>
        </w:rPr>
        <w:t>r</w:t>
      </w:r>
      <w:r>
        <w:rPr>
          <w:rFonts w:ascii="Arial" w:hAnsi="Arial" w:cs="Arial"/>
          <w:spacing w:val="4"/>
          <w:sz w:val="24"/>
          <w:szCs w:val="24"/>
        </w:rPr>
        <w:t xml:space="preserve"> </w:t>
      </w:r>
      <w:r>
        <w:rPr>
          <w:rFonts w:ascii="Arial" w:hAnsi="Arial" w:cs="Arial"/>
          <w:spacing w:val="1"/>
          <w:sz w:val="24"/>
          <w:szCs w:val="24"/>
        </w:rPr>
        <w:t>pour</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gag</w:t>
      </w:r>
      <w:r>
        <w:rPr>
          <w:rFonts w:ascii="Arial" w:hAnsi="Arial" w:cs="Arial"/>
          <w:sz w:val="24"/>
          <w:szCs w:val="24"/>
        </w:rPr>
        <w:t>er une</w:t>
      </w:r>
      <w:r>
        <w:rPr>
          <w:rFonts w:ascii="Arial" w:hAnsi="Arial" w:cs="Arial"/>
          <w:spacing w:val="2"/>
          <w:sz w:val="24"/>
          <w:szCs w:val="24"/>
        </w:rPr>
        <w:t xml:space="preserve"> </w:t>
      </w:r>
      <w:r>
        <w:rPr>
          <w:rFonts w:ascii="Arial" w:hAnsi="Arial" w:cs="Arial"/>
          <w:spacing w:val="1"/>
          <w:sz w:val="24"/>
          <w:szCs w:val="24"/>
        </w:rPr>
        <w:t>val</w:t>
      </w:r>
      <w:r>
        <w:rPr>
          <w:rFonts w:ascii="Arial" w:hAnsi="Arial" w:cs="Arial"/>
          <w:sz w:val="24"/>
          <w:szCs w:val="24"/>
        </w:rPr>
        <w:t>eur</w:t>
      </w:r>
      <w:r>
        <w:rPr>
          <w:rFonts w:ascii="Arial" w:hAnsi="Arial" w:cs="Arial"/>
          <w:spacing w:val="-2"/>
          <w:sz w:val="24"/>
          <w:szCs w:val="24"/>
        </w:rPr>
        <w:t xml:space="preserve"> </w:t>
      </w:r>
      <w:r>
        <w:rPr>
          <w:rFonts w:ascii="Arial" w:hAnsi="Arial" w:cs="Arial"/>
          <w:spacing w:val="1"/>
          <w:sz w:val="24"/>
          <w:szCs w:val="24"/>
        </w:rPr>
        <w:t>aj</w:t>
      </w:r>
      <w:r>
        <w:rPr>
          <w:rFonts w:ascii="Arial" w:hAnsi="Arial" w:cs="Arial"/>
          <w:sz w:val="24"/>
          <w:szCs w:val="24"/>
        </w:rPr>
        <w:t>outée,</w:t>
      </w:r>
      <w:r>
        <w:rPr>
          <w:rFonts w:ascii="Arial" w:hAnsi="Arial" w:cs="Arial"/>
          <w:spacing w:val="-2"/>
          <w:sz w:val="24"/>
          <w:szCs w:val="24"/>
        </w:rPr>
        <w:t xml:space="preserve"> </w:t>
      </w:r>
      <w:r>
        <w:rPr>
          <w:rFonts w:ascii="Arial" w:hAnsi="Arial" w:cs="Arial"/>
          <w:spacing w:val="-1"/>
          <w:sz w:val="24"/>
          <w:szCs w:val="24"/>
        </w:rPr>
        <w:t>s</w:t>
      </w:r>
      <w:r>
        <w:rPr>
          <w:rFonts w:ascii="Arial" w:hAnsi="Arial" w:cs="Arial"/>
          <w:spacing w:val="-2"/>
          <w:sz w:val="24"/>
          <w:szCs w:val="24"/>
        </w:rPr>
        <w:t>o</w:t>
      </w:r>
      <w:r>
        <w:rPr>
          <w:rFonts w:ascii="Arial" w:hAnsi="Arial" w:cs="Arial"/>
          <w:sz w:val="24"/>
          <w:szCs w:val="24"/>
        </w:rPr>
        <w:t>u</w:t>
      </w:r>
      <w:r>
        <w:rPr>
          <w:rFonts w:ascii="Arial" w:hAnsi="Arial" w:cs="Arial"/>
          <w:spacing w:val="-1"/>
          <w:sz w:val="24"/>
          <w:szCs w:val="24"/>
        </w:rPr>
        <w:t>rc</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é</w:t>
      </w:r>
      <w:r>
        <w:rPr>
          <w:rFonts w:ascii="Arial" w:hAnsi="Arial" w:cs="Arial"/>
          <w:spacing w:val="1"/>
          <w:sz w:val="24"/>
          <w:szCs w:val="24"/>
        </w:rPr>
        <w:t>v</w:t>
      </w:r>
      <w:r>
        <w:rPr>
          <w:rFonts w:ascii="Arial" w:hAnsi="Arial" w:cs="Arial"/>
          <w:sz w:val="24"/>
          <w:szCs w:val="24"/>
        </w:rPr>
        <w:t>e</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pp</w:t>
      </w:r>
      <w:r>
        <w:rPr>
          <w:rFonts w:ascii="Arial" w:hAnsi="Arial" w:cs="Arial"/>
          <w:sz w:val="24"/>
          <w:szCs w:val="24"/>
        </w:rPr>
        <w:t>eme</w:t>
      </w:r>
      <w:r>
        <w:rPr>
          <w:rFonts w:ascii="Arial" w:hAnsi="Arial" w:cs="Arial"/>
          <w:spacing w:val="2"/>
          <w:sz w:val="24"/>
          <w:szCs w:val="24"/>
        </w:rPr>
        <w:t>n</w:t>
      </w:r>
      <w:r>
        <w:rPr>
          <w:rFonts w:ascii="Arial" w:hAnsi="Arial" w:cs="Arial"/>
          <w:sz w:val="24"/>
          <w:szCs w:val="24"/>
        </w:rPr>
        <w:t>t</w:t>
      </w:r>
      <w:r>
        <w:rPr>
          <w:rFonts w:ascii="Arial" w:hAnsi="Arial" w:cs="Arial"/>
          <w:spacing w:val="-11"/>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e</w:t>
      </w:r>
      <w:r>
        <w:rPr>
          <w:rFonts w:ascii="Arial" w:hAnsi="Arial" w:cs="Arial"/>
          <w:spacing w:val="1"/>
          <w:sz w:val="24"/>
          <w:szCs w:val="24"/>
        </w:rPr>
        <w:t>l</w:t>
      </w:r>
      <w:r>
        <w:rPr>
          <w:rFonts w:ascii="Arial" w:hAnsi="Arial" w:cs="Arial"/>
          <w:sz w:val="24"/>
          <w:szCs w:val="24"/>
        </w:rPr>
        <w:t>. Au</w:t>
      </w:r>
      <w:r>
        <w:rPr>
          <w:rFonts w:ascii="Arial" w:hAnsi="Arial" w:cs="Arial"/>
          <w:spacing w:val="1"/>
          <w:sz w:val="24"/>
          <w:szCs w:val="24"/>
        </w:rPr>
        <w:t>j</w:t>
      </w:r>
      <w:r>
        <w:rPr>
          <w:rFonts w:ascii="Arial" w:hAnsi="Arial" w:cs="Arial"/>
          <w:sz w:val="24"/>
          <w:szCs w:val="24"/>
        </w:rPr>
        <w:t>ou</w:t>
      </w:r>
      <w:r>
        <w:rPr>
          <w:rFonts w:ascii="Arial" w:hAnsi="Arial" w:cs="Arial"/>
          <w:spacing w:val="-1"/>
          <w:sz w:val="24"/>
          <w:szCs w:val="24"/>
        </w:rPr>
        <w:t>rd</w:t>
      </w:r>
      <w:r>
        <w:rPr>
          <w:rFonts w:ascii="Arial" w:hAnsi="Arial" w:cs="Arial"/>
          <w:spacing w:val="1"/>
          <w:sz w:val="24"/>
          <w:szCs w:val="24"/>
        </w:rPr>
        <w:t>’</w:t>
      </w:r>
      <w:r>
        <w:rPr>
          <w:rFonts w:ascii="Arial" w:hAnsi="Arial" w:cs="Arial"/>
          <w:sz w:val="24"/>
          <w:szCs w:val="24"/>
        </w:rPr>
        <w:t>hu</w:t>
      </w:r>
      <w:r>
        <w:rPr>
          <w:rFonts w:ascii="Arial" w:hAnsi="Arial" w:cs="Arial"/>
          <w:spacing w:val="1"/>
          <w:sz w:val="24"/>
          <w:szCs w:val="24"/>
        </w:rPr>
        <w:t>i</w:t>
      </w:r>
      <w:r>
        <w:rPr>
          <w:rFonts w:ascii="Arial" w:hAnsi="Arial" w:cs="Arial"/>
          <w:sz w:val="24"/>
          <w:szCs w:val="24"/>
        </w:rPr>
        <w:t>,</w:t>
      </w:r>
      <w:r>
        <w:rPr>
          <w:rFonts w:ascii="Arial" w:hAnsi="Arial" w:cs="Arial"/>
          <w:spacing w:val="-1"/>
          <w:sz w:val="24"/>
          <w:szCs w:val="24"/>
        </w:rPr>
        <w:t xml:space="preserve"> 100</w:t>
      </w:r>
      <w:r>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oton centr</w:t>
      </w:r>
      <w:r>
        <w:rPr>
          <w:rFonts w:ascii="Arial" w:hAnsi="Arial" w:cs="Arial"/>
          <w:spacing w:val="1"/>
          <w:sz w:val="24"/>
          <w:szCs w:val="24"/>
        </w:rPr>
        <w:t>a</w:t>
      </w:r>
      <w:r>
        <w:rPr>
          <w:rFonts w:ascii="Arial" w:hAnsi="Arial" w:cs="Arial"/>
          <w:spacing w:val="-1"/>
          <w:sz w:val="24"/>
          <w:szCs w:val="24"/>
        </w:rPr>
        <w:t>fr</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ai</w:t>
      </w:r>
      <w:r>
        <w:rPr>
          <w:rFonts w:ascii="Arial" w:hAnsi="Arial" w:cs="Arial"/>
          <w:sz w:val="24"/>
          <w:szCs w:val="24"/>
        </w:rPr>
        <w:t xml:space="preserve">n </w:t>
      </w:r>
      <w:r>
        <w:rPr>
          <w:rFonts w:ascii="Arial" w:hAnsi="Arial" w:cs="Arial"/>
          <w:spacing w:val="-1"/>
          <w:sz w:val="24"/>
          <w:szCs w:val="24"/>
        </w:rPr>
        <w:t>s</w:t>
      </w:r>
      <w:r>
        <w:rPr>
          <w:rFonts w:ascii="Arial" w:hAnsi="Arial" w:cs="Arial"/>
          <w:sz w:val="24"/>
          <w:szCs w:val="24"/>
        </w:rPr>
        <w:t>ont</w:t>
      </w:r>
      <w:r>
        <w:rPr>
          <w:rFonts w:ascii="Arial" w:hAnsi="Arial" w:cs="Arial"/>
          <w:spacing w:val="1"/>
          <w:sz w:val="24"/>
          <w:szCs w:val="24"/>
        </w:rPr>
        <w:t xml:space="preserve"> </w:t>
      </w:r>
      <w:r>
        <w:rPr>
          <w:rFonts w:ascii="Arial" w:hAnsi="Arial" w:cs="Arial"/>
          <w:spacing w:val="-2"/>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tée</w:t>
      </w:r>
      <w:r>
        <w:rPr>
          <w:rFonts w:ascii="Arial" w:hAnsi="Arial" w:cs="Arial"/>
          <w:spacing w:val="-1"/>
          <w:sz w:val="24"/>
          <w:szCs w:val="24"/>
        </w:rPr>
        <w:t>s</w:t>
      </w:r>
      <w:r>
        <w:rPr>
          <w:rFonts w:ascii="Arial" w:hAnsi="Arial" w:cs="Arial"/>
          <w:sz w:val="24"/>
          <w:szCs w:val="24"/>
        </w:rPr>
        <w:t>.</w:t>
      </w:r>
      <w:r>
        <w:rPr>
          <w:rFonts w:ascii="Arial" w:hAnsi="Arial" w:cs="Arial"/>
          <w:spacing w:val="-4"/>
          <w:sz w:val="24"/>
          <w:szCs w:val="24"/>
        </w:rPr>
        <w:t xml:space="preserve"> </w:t>
      </w:r>
      <w:r>
        <w:rPr>
          <w:rFonts w:ascii="Arial" w:hAnsi="Arial" w:cs="Arial"/>
          <w:spacing w:val="-2"/>
          <w:sz w:val="24"/>
          <w:szCs w:val="24"/>
        </w:rPr>
        <w:t>I</w:t>
      </w:r>
      <w:r>
        <w:rPr>
          <w:rFonts w:ascii="Arial" w:hAnsi="Arial" w:cs="Arial"/>
          <w:sz w:val="24"/>
          <w:szCs w:val="24"/>
        </w:rPr>
        <w:t>l</w:t>
      </w:r>
      <w:r>
        <w:rPr>
          <w:rFonts w:ascii="Arial" w:hAnsi="Arial" w:cs="Arial"/>
          <w:spacing w:val="3"/>
          <w:sz w:val="24"/>
          <w:szCs w:val="24"/>
        </w:rPr>
        <w:t xml:space="preserve"> </w:t>
      </w:r>
      <w:r>
        <w:rPr>
          <w:rFonts w:ascii="Arial" w:hAnsi="Arial" w:cs="Arial"/>
          <w:spacing w:val="-1"/>
          <w:sz w:val="24"/>
          <w:szCs w:val="24"/>
        </w:rPr>
        <w:t>s</w:t>
      </w:r>
      <w:r>
        <w:rPr>
          <w:rFonts w:ascii="Arial" w:hAnsi="Arial" w:cs="Arial"/>
          <w:sz w:val="24"/>
          <w:szCs w:val="24"/>
        </w:rPr>
        <w:t>e</w:t>
      </w:r>
      <w:r>
        <w:rPr>
          <w:rFonts w:ascii="Arial" w:hAnsi="Arial" w:cs="Arial"/>
          <w:spacing w:val="-1"/>
          <w:sz w:val="24"/>
          <w:szCs w:val="24"/>
        </w:rPr>
        <w:t>r</w:t>
      </w:r>
      <w:r>
        <w:rPr>
          <w:rFonts w:ascii="Arial" w:hAnsi="Arial" w:cs="Arial"/>
          <w:spacing w:val="1"/>
          <w:sz w:val="24"/>
          <w:szCs w:val="24"/>
        </w:rPr>
        <w:t>ai</w:t>
      </w:r>
      <w:r>
        <w:rPr>
          <w:rFonts w:ascii="Arial" w:hAnsi="Arial" w:cs="Arial"/>
          <w:sz w:val="24"/>
          <w:szCs w:val="24"/>
        </w:rPr>
        <w:t>t</w:t>
      </w:r>
      <w:r>
        <w:rPr>
          <w:rFonts w:ascii="Arial" w:hAnsi="Arial" w:cs="Arial"/>
          <w:spacing w:val="-2"/>
          <w:sz w:val="24"/>
          <w:szCs w:val="24"/>
        </w:rPr>
        <w:t xml:space="preserve"> </w:t>
      </w:r>
      <w:r>
        <w:rPr>
          <w:rFonts w:ascii="Arial" w:hAnsi="Arial" w:cs="Arial"/>
          <w:sz w:val="24"/>
          <w:szCs w:val="24"/>
        </w:rPr>
        <w:t>ut</w:t>
      </w:r>
      <w:r>
        <w:rPr>
          <w:rFonts w:ascii="Arial" w:hAnsi="Arial" w:cs="Arial"/>
          <w:spacing w:val="-1"/>
          <w:sz w:val="24"/>
          <w:szCs w:val="24"/>
        </w:rPr>
        <w:t>i</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a</w:t>
      </w:r>
      <w:r>
        <w:rPr>
          <w:rFonts w:ascii="Arial" w:hAnsi="Arial" w:cs="Arial"/>
          <w:spacing w:val="-1"/>
          <w:sz w:val="24"/>
          <w:szCs w:val="24"/>
        </w:rPr>
        <w:t>l</w:t>
      </w:r>
      <w:r>
        <w:rPr>
          <w:rFonts w:ascii="Arial" w:hAnsi="Arial" w:cs="Arial"/>
          <w:spacing w:val="1"/>
          <w:sz w:val="24"/>
          <w:szCs w:val="24"/>
        </w:rPr>
        <w:t>y</w:t>
      </w:r>
      <w:r>
        <w:rPr>
          <w:rFonts w:ascii="Arial" w:hAnsi="Arial" w:cs="Arial"/>
          <w:spacing w:val="-1"/>
          <w:sz w:val="24"/>
          <w:szCs w:val="24"/>
        </w:rPr>
        <w:t>s</w:t>
      </w:r>
      <w:r>
        <w:rPr>
          <w:rFonts w:ascii="Arial" w:hAnsi="Arial" w:cs="Arial"/>
          <w:sz w:val="24"/>
          <w:szCs w:val="24"/>
        </w:rPr>
        <w:t>er</w:t>
      </w:r>
      <w:r>
        <w:rPr>
          <w:rFonts w:ascii="Arial" w:hAnsi="Arial" w:cs="Arial"/>
          <w:spacing w:val="-5"/>
          <w:sz w:val="24"/>
          <w:szCs w:val="24"/>
        </w:rPr>
        <w:t xml:space="preserve"> </w:t>
      </w:r>
      <w:r>
        <w:rPr>
          <w:rFonts w:ascii="Arial" w:hAnsi="Arial" w:cs="Arial"/>
          <w:sz w:val="24"/>
          <w:szCs w:val="24"/>
        </w:rPr>
        <w:t>en</w:t>
      </w:r>
      <w:r>
        <w:rPr>
          <w:rFonts w:ascii="Arial" w:hAnsi="Arial" w:cs="Arial"/>
          <w:spacing w:val="2"/>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f</w:t>
      </w:r>
      <w:r>
        <w:rPr>
          <w:rFonts w:ascii="Arial" w:hAnsi="Arial" w:cs="Arial"/>
          <w:sz w:val="24"/>
          <w:szCs w:val="24"/>
        </w:rPr>
        <w:t>on</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u</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s</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nom</w:t>
      </w:r>
      <w:r>
        <w:rPr>
          <w:rFonts w:ascii="Arial" w:hAnsi="Arial" w:cs="Arial"/>
          <w:spacing w:val="1"/>
          <w:sz w:val="24"/>
          <w:szCs w:val="24"/>
        </w:rPr>
        <w:t>b</w:t>
      </w:r>
      <w:r>
        <w:rPr>
          <w:rFonts w:ascii="Arial" w:hAnsi="Arial" w:cs="Arial"/>
          <w:spacing w:val="2"/>
          <w:sz w:val="24"/>
          <w:szCs w:val="24"/>
        </w:rPr>
        <w:t>r</w:t>
      </w:r>
      <w:r>
        <w:rPr>
          <w:rFonts w:ascii="Arial" w:hAnsi="Arial" w:cs="Arial"/>
          <w:sz w:val="24"/>
          <w:szCs w:val="24"/>
        </w:rPr>
        <w:t>eux</w:t>
      </w:r>
      <w:r>
        <w:rPr>
          <w:rFonts w:ascii="Arial" w:hAnsi="Arial" w:cs="Arial"/>
          <w:spacing w:val="-1"/>
          <w:sz w:val="24"/>
          <w:szCs w:val="24"/>
        </w:rPr>
        <w:t xml:space="preserve"> </w:t>
      </w:r>
      <w:r>
        <w:rPr>
          <w:rFonts w:ascii="Arial" w:hAnsi="Arial" w:cs="Arial"/>
          <w:sz w:val="24"/>
          <w:szCs w:val="24"/>
        </w:rPr>
        <w:t>é</w:t>
      </w:r>
      <w:r>
        <w:rPr>
          <w:rFonts w:ascii="Arial" w:hAnsi="Arial" w:cs="Arial"/>
          <w:spacing w:val="-1"/>
          <w:sz w:val="24"/>
          <w:szCs w:val="24"/>
        </w:rPr>
        <w:t>c</w:t>
      </w:r>
      <w:r>
        <w:rPr>
          <w:rFonts w:ascii="Arial" w:hAnsi="Arial" w:cs="Arial"/>
          <w:sz w:val="24"/>
          <w:szCs w:val="24"/>
        </w:rPr>
        <w:t>he</w:t>
      </w:r>
      <w:r>
        <w:rPr>
          <w:rFonts w:ascii="Arial" w:hAnsi="Arial" w:cs="Arial"/>
          <w:spacing w:val="-1"/>
          <w:sz w:val="24"/>
          <w:szCs w:val="24"/>
        </w:rPr>
        <w:t>c</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xq</w:t>
      </w:r>
      <w:r>
        <w:rPr>
          <w:rFonts w:ascii="Arial" w:hAnsi="Arial" w:cs="Arial"/>
          <w:sz w:val="24"/>
          <w:szCs w:val="24"/>
        </w:rPr>
        <w:t>ue</w:t>
      </w:r>
      <w:r>
        <w:rPr>
          <w:rFonts w:ascii="Arial" w:hAnsi="Arial" w:cs="Arial"/>
          <w:spacing w:val="1"/>
          <w:sz w:val="24"/>
          <w:szCs w:val="24"/>
        </w:rPr>
        <w:t>l</w:t>
      </w:r>
      <w:r>
        <w:rPr>
          <w:rFonts w:ascii="Arial" w:hAnsi="Arial" w:cs="Arial"/>
          <w:sz w:val="24"/>
          <w:szCs w:val="24"/>
        </w:rPr>
        <w:t xml:space="preserve">s </w:t>
      </w:r>
      <w:r>
        <w:rPr>
          <w:rFonts w:ascii="Arial" w:hAnsi="Arial" w:cs="Arial"/>
          <w:spacing w:val="-2"/>
          <w:sz w:val="24"/>
          <w:szCs w:val="24"/>
        </w:rPr>
        <w:t>o</w:t>
      </w:r>
      <w:r>
        <w:rPr>
          <w:rFonts w:ascii="Arial" w:hAnsi="Arial" w:cs="Arial"/>
          <w:sz w:val="24"/>
          <w:szCs w:val="24"/>
        </w:rPr>
        <w:t>nt</w:t>
      </w:r>
      <w:r>
        <w:rPr>
          <w:rFonts w:ascii="Arial" w:hAnsi="Arial" w:cs="Arial"/>
          <w:spacing w:val="4"/>
          <w:sz w:val="24"/>
          <w:szCs w:val="24"/>
        </w:rPr>
        <w:t xml:space="preserve"> </w:t>
      </w:r>
      <w:r>
        <w:rPr>
          <w:rFonts w:ascii="Arial" w:hAnsi="Arial" w:cs="Arial"/>
          <w:spacing w:val="-1"/>
          <w:sz w:val="24"/>
          <w:szCs w:val="24"/>
        </w:rPr>
        <w:t>s</w:t>
      </w:r>
      <w:r>
        <w:rPr>
          <w:rFonts w:ascii="Arial" w:hAnsi="Arial" w:cs="Arial"/>
          <w:sz w:val="24"/>
          <w:szCs w:val="24"/>
        </w:rPr>
        <w:t>ou</w:t>
      </w:r>
      <w:r>
        <w:rPr>
          <w:rFonts w:ascii="Arial" w:hAnsi="Arial" w:cs="Arial"/>
          <w:spacing w:val="1"/>
          <w:sz w:val="24"/>
          <w:szCs w:val="24"/>
        </w:rPr>
        <w:t>v</w:t>
      </w:r>
      <w:r>
        <w:rPr>
          <w:rFonts w:ascii="Arial" w:hAnsi="Arial" w:cs="Arial"/>
          <w:sz w:val="24"/>
          <w:szCs w:val="24"/>
        </w:rPr>
        <w:t>ent été</w:t>
      </w:r>
      <w:r>
        <w:rPr>
          <w:rFonts w:ascii="Arial" w:hAnsi="Arial" w:cs="Arial"/>
          <w:spacing w:val="3"/>
          <w:sz w:val="24"/>
          <w:szCs w:val="24"/>
        </w:rPr>
        <w:t xml:space="preserve"> </w:t>
      </w:r>
      <w:r>
        <w:rPr>
          <w:rFonts w:ascii="Arial" w:hAnsi="Arial" w:cs="Arial"/>
          <w:spacing w:val="1"/>
          <w:sz w:val="24"/>
          <w:szCs w:val="24"/>
        </w:rPr>
        <w:t>v</w:t>
      </w:r>
      <w:r>
        <w:rPr>
          <w:rFonts w:ascii="Arial" w:hAnsi="Arial" w:cs="Arial"/>
          <w:sz w:val="24"/>
          <w:szCs w:val="24"/>
        </w:rPr>
        <w:t xml:space="preserve">ouées </w:t>
      </w:r>
      <w:r>
        <w:rPr>
          <w:rFonts w:ascii="Arial" w:hAnsi="Arial" w:cs="Arial"/>
          <w:spacing w:val="1"/>
          <w:sz w:val="24"/>
          <w:szCs w:val="24"/>
        </w:rPr>
        <w:t>les</w:t>
      </w:r>
      <w:r>
        <w:rPr>
          <w:rFonts w:ascii="Arial" w:hAnsi="Arial" w:cs="Arial"/>
          <w:sz w:val="24"/>
          <w:szCs w:val="24"/>
        </w:rPr>
        <w:t xml:space="preserve"> </w:t>
      </w:r>
      <w:r>
        <w:rPr>
          <w:rFonts w:ascii="Arial" w:hAnsi="Arial" w:cs="Arial"/>
          <w:spacing w:val="1"/>
          <w:sz w:val="24"/>
          <w:szCs w:val="24"/>
        </w:rPr>
        <w:t>val</w:t>
      </w:r>
      <w:r>
        <w:rPr>
          <w:rFonts w:ascii="Arial" w:hAnsi="Arial" w:cs="Arial"/>
          <w:sz w:val="24"/>
          <w:szCs w:val="24"/>
        </w:rPr>
        <w:t>o</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sa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62"/>
          <w:sz w:val="24"/>
          <w:szCs w:val="24"/>
        </w:rPr>
        <w:t xml:space="preserve"> </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ca</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s</w:t>
      </w:r>
      <w:r>
        <w:rPr>
          <w:rFonts w:ascii="Arial" w:hAnsi="Arial" w:cs="Arial"/>
          <w:sz w:val="24"/>
          <w:szCs w:val="24"/>
        </w:rPr>
        <w:t>.</w:t>
      </w:r>
      <w:r>
        <w:rPr>
          <w:rFonts w:ascii="Arial" w:hAnsi="Arial" w:cs="Arial"/>
          <w:spacing w:val="64"/>
          <w:sz w:val="24"/>
          <w:szCs w:val="24"/>
        </w:rPr>
        <w:t xml:space="preserve"> </w:t>
      </w:r>
      <w:r>
        <w:rPr>
          <w:rFonts w:ascii="Arial" w:hAnsi="Arial" w:cs="Arial"/>
          <w:spacing w:val="1"/>
          <w:sz w:val="24"/>
          <w:szCs w:val="24"/>
        </w:rPr>
        <w:t>I</w:t>
      </w:r>
      <w:r>
        <w:rPr>
          <w:rFonts w:ascii="Arial" w:hAnsi="Arial" w:cs="Arial"/>
          <w:sz w:val="24"/>
          <w:szCs w:val="24"/>
        </w:rPr>
        <w:t xml:space="preserve">l </w:t>
      </w:r>
      <w:r>
        <w:rPr>
          <w:rFonts w:ascii="Arial" w:hAnsi="Arial" w:cs="Arial"/>
          <w:spacing w:val="-1"/>
          <w:sz w:val="24"/>
          <w:szCs w:val="24"/>
        </w:rPr>
        <w:t>f</w:t>
      </w:r>
      <w:r>
        <w:rPr>
          <w:rFonts w:ascii="Arial" w:hAnsi="Arial" w:cs="Arial"/>
          <w:spacing w:val="1"/>
          <w:sz w:val="24"/>
          <w:szCs w:val="24"/>
        </w:rPr>
        <w:t>a</w:t>
      </w:r>
      <w:r>
        <w:rPr>
          <w:rFonts w:ascii="Arial" w:hAnsi="Arial" w:cs="Arial"/>
          <w:sz w:val="24"/>
          <w:szCs w:val="24"/>
        </w:rPr>
        <w:t>ut une</w:t>
      </w:r>
      <w:r>
        <w:rPr>
          <w:rFonts w:ascii="Arial" w:hAnsi="Arial" w:cs="Arial"/>
          <w:spacing w:val="2"/>
          <w:sz w:val="24"/>
          <w:szCs w:val="24"/>
        </w:rPr>
        <w:t xml:space="preserve"> </w:t>
      </w:r>
      <w:r>
        <w:rPr>
          <w:rFonts w:ascii="Arial" w:hAnsi="Arial" w:cs="Arial"/>
          <w:spacing w:val="1"/>
          <w:sz w:val="24"/>
          <w:szCs w:val="24"/>
        </w:rPr>
        <w:t>l</w:t>
      </w:r>
      <w:r>
        <w:rPr>
          <w:rFonts w:ascii="Arial" w:hAnsi="Arial" w:cs="Arial"/>
          <w:spacing w:val="-2"/>
          <w:sz w:val="24"/>
          <w:szCs w:val="24"/>
        </w:rPr>
        <w:t>e</w:t>
      </w:r>
      <w:r>
        <w:rPr>
          <w:rFonts w:ascii="Arial" w:hAnsi="Arial" w:cs="Arial"/>
          <w:spacing w:val="1"/>
          <w:sz w:val="24"/>
          <w:szCs w:val="24"/>
        </w:rPr>
        <w:t>v</w:t>
      </w:r>
      <w:r>
        <w:rPr>
          <w:rFonts w:ascii="Arial" w:hAnsi="Arial" w:cs="Arial"/>
          <w:sz w:val="24"/>
          <w:szCs w:val="24"/>
        </w:rPr>
        <w:t>ée</w:t>
      </w:r>
      <w:r>
        <w:rPr>
          <w:rFonts w:ascii="Arial" w:hAnsi="Arial" w:cs="Arial"/>
          <w:spacing w:val="65"/>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ba</w:t>
      </w:r>
      <w:r>
        <w:rPr>
          <w:rFonts w:ascii="Arial" w:hAnsi="Arial" w:cs="Arial"/>
          <w:spacing w:val="-1"/>
          <w:sz w:val="24"/>
          <w:szCs w:val="24"/>
        </w:rPr>
        <w:t>rr</w:t>
      </w:r>
      <w:r>
        <w:rPr>
          <w:rFonts w:ascii="Arial" w:hAnsi="Arial" w:cs="Arial"/>
          <w:spacing w:val="1"/>
          <w:sz w:val="24"/>
          <w:szCs w:val="24"/>
        </w:rPr>
        <w:t>i</w:t>
      </w:r>
      <w:r>
        <w:rPr>
          <w:rFonts w:ascii="Arial" w:hAnsi="Arial" w:cs="Arial"/>
          <w:sz w:val="24"/>
          <w:szCs w:val="24"/>
        </w:rPr>
        <w:t>è</w:t>
      </w:r>
      <w:r>
        <w:rPr>
          <w:rFonts w:ascii="Arial" w:hAnsi="Arial" w:cs="Arial"/>
          <w:spacing w:val="-1"/>
          <w:sz w:val="24"/>
          <w:szCs w:val="24"/>
        </w:rPr>
        <w:t>r</w:t>
      </w:r>
      <w:r>
        <w:rPr>
          <w:rFonts w:ascii="Arial" w:hAnsi="Arial" w:cs="Arial"/>
          <w:sz w:val="24"/>
          <w:szCs w:val="24"/>
        </w:rPr>
        <w:t>es</w:t>
      </w:r>
      <w:r>
        <w:rPr>
          <w:rFonts w:ascii="Arial" w:hAnsi="Arial" w:cs="Arial"/>
          <w:spacing w:val="63"/>
          <w:sz w:val="24"/>
          <w:szCs w:val="24"/>
        </w:rPr>
        <w:t xml:space="preserve"> </w:t>
      </w:r>
      <w:r>
        <w:rPr>
          <w:rFonts w:ascii="Arial" w:hAnsi="Arial" w:cs="Arial"/>
          <w:sz w:val="24"/>
          <w:szCs w:val="24"/>
        </w:rPr>
        <w:t xml:space="preserve">non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onne</w:t>
      </w:r>
      <w:r>
        <w:rPr>
          <w:rFonts w:ascii="Arial" w:hAnsi="Arial" w:cs="Arial"/>
          <w:spacing w:val="1"/>
          <w:sz w:val="24"/>
          <w:szCs w:val="24"/>
        </w:rPr>
        <w:t>ll</w:t>
      </w:r>
      <w:r>
        <w:rPr>
          <w:rFonts w:ascii="Arial" w:hAnsi="Arial" w:cs="Arial"/>
          <w:sz w:val="24"/>
          <w:szCs w:val="24"/>
        </w:rPr>
        <w:t>es</w:t>
      </w:r>
      <w:r>
        <w:rPr>
          <w:rFonts w:ascii="Arial" w:hAnsi="Arial" w:cs="Arial"/>
          <w:spacing w:val="37"/>
          <w:sz w:val="24"/>
          <w:szCs w:val="24"/>
        </w:rPr>
        <w:t xml:space="preserve"> </w:t>
      </w:r>
      <w:r>
        <w:rPr>
          <w:rFonts w:ascii="Arial" w:hAnsi="Arial" w:cs="Arial"/>
          <w:sz w:val="24"/>
          <w:szCs w:val="24"/>
        </w:rPr>
        <w:t>ent</w:t>
      </w:r>
      <w:r>
        <w:rPr>
          <w:rFonts w:ascii="Arial" w:hAnsi="Arial" w:cs="Arial"/>
          <w:spacing w:val="-3"/>
          <w:sz w:val="24"/>
          <w:szCs w:val="24"/>
        </w:rPr>
        <w:t>r</w:t>
      </w:r>
      <w:r>
        <w:rPr>
          <w:rFonts w:ascii="Arial" w:hAnsi="Arial" w:cs="Arial"/>
          <w:sz w:val="24"/>
          <w:szCs w:val="24"/>
        </w:rPr>
        <w:t>e</w:t>
      </w:r>
      <w:r>
        <w:rPr>
          <w:rFonts w:ascii="Arial" w:hAnsi="Arial" w:cs="Arial"/>
          <w:spacing w:val="43"/>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4"/>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ff</w:t>
      </w:r>
      <w:r>
        <w:rPr>
          <w:rFonts w:ascii="Arial" w:hAnsi="Arial" w:cs="Arial"/>
          <w:sz w:val="24"/>
          <w:szCs w:val="24"/>
        </w:rPr>
        <w:t>é</w:t>
      </w:r>
      <w:r>
        <w:rPr>
          <w:rFonts w:ascii="Arial" w:hAnsi="Arial" w:cs="Arial"/>
          <w:spacing w:val="-1"/>
          <w:sz w:val="24"/>
          <w:szCs w:val="24"/>
        </w:rPr>
        <w:t>r</w:t>
      </w:r>
      <w:r>
        <w:rPr>
          <w:rFonts w:ascii="Arial" w:hAnsi="Arial" w:cs="Arial"/>
          <w:sz w:val="24"/>
          <w:szCs w:val="24"/>
        </w:rPr>
        <w:t>ents</w:t>
      </w:r>
      <w:r>
        <w:rPr>
          <w:rFonts w:ascii="Arial" w:hAnsi="Arial" w:cs="Arial"/>
          <w:spacing w:val="39"/>
          <w:sz w:val="24"/>
          <w:szCs w:val="24"/>
        </w:rPr>
        <w:t xml:space="preserve"> </w:t>
      </w:r>
      <w:r>
        <w:rPr>
          <w:rFonts w:ascii="Arial" w:hAnsi="Arial" w:cs="Arial"/>
          <w:spacing w:val="-1"/>
          <w:sz w:val="24"/>
          <w:szCs w:val="24"/>
        </w:rPr>
        <w:t>p</w:t>
      </w:r>
      <w:r>
        <w:rPr>
          <w:rFonts w:ascii="Arial" w:hAnsi="Arial" w:cs="Arial"/>
          <w:spacing w:val="1"/>
          <w:sz w:val="24"/>
          <w:szCs w:val="24"/>
        </w:rPr>
        <w:t>ay</w:t>
      </w:r>
      <w:r>
        <w:rPr>
          <w:rFonts w:ascii="Arial" w:hAnsi="Arial" w:cs="Arial"/>
          <w:sz w:val="24"/>
          <w:szCs w:val="24"/>
        </w:rPr>
        <w:t>s</w:t>
      </w:r>
      <w:r>
        <w:rPr>
          <w:rFonts w:ascii="Arial" w:hAnsi="Arial" w:cs="Arial"/>
          <w:spacing w:val="41"/>
          <w:sz w:val="24"/>
          <w:szCs w:val="24"/>
        </w:rPr>
        <w:t xml:space="preserve"> </w:t>
      </w:r>
      <w:r>
        <w:rPr>
          <w:rFonts w:ascii="Arial" w:hAnsi="Arial" w:cs="Arial"/>
          <w:spacing w:val="1"/>
          <w:sz w:val="24"/>
          <w:szCs w:val="24"/>
        </w:rPr>
        <w:t>a</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n</w:t>
      </w:r>
      <w:r>
        <w:rPr>
          <w:rFonts w:ascii="Arial" w:hAnsi="Arial" w:cs="Arial"/>
          <w:spacing w:val="4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43"/>
          <w:sz w:val="24"/>
          <w:szCs w:val="24"/>
        </w:rPr>
        <w:t xml:space="preserve"> </w:t>
      </w:r>
      <w:r>
        <w:rPr>
          <w:rFonts w:ascii="Arial" w:hAnsi="Arial" w:cs="Arial"/>
          <w:spacing w:val="-1"/>
          <w:sz w:val="24"/>
          <w:szCs w:val="24"/>
        </w:rPr>
        <w:t>f</w:t>
      </w:r>
      <w:r>
        <w:rPr>
          <w:rFonts w:ascii="Arial" w:hAnsi="Arial" w:cs="Arial"/>
          <w:spacing w:val="1"/>
          <w:sz w:val="24"/>
          <w:szCs w:val="24"/>
        </w:rPr>
        <w:t>l</w:t>
      </w:r>
      <w:r>
        <w:rPr>
          <w:rFonts w:ascii="Arial" w:hAnsi="Arial" w:cs="Arial"/>
          <w:sz w:val="24"/>
          <w:szCs w:val="24"/>
        </w:rPr>
        <w:t>u</w:t>
      </w:r>
      <w:r>
        <w:rPr>
          <w:rFonts w:ascii="Arial" w:hAnsi="Arial" w:cs="Arial"/>
          <w:spacing w:val="1"/>
          <w:sz w:val="24"/>
          <w:szCs w:val="24"/>
        </w:rPr>
        <w:t>i</w:t>
      </w:r>
      <w:r>
        <w:rPr>
          <w:rFonts w:ascii="Arial" w:hAnsi="Arial" w:cs="Arial"/>
          <w:spacing w:val="-3"/>
          <w:sz w:val="24"/>
          <w:szCs w:val="24"/>
        </w:rPr>
        <w:t>d</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z w:val="24"/>
          <w:szCs w:val="24"/>
        </w:rPr>
        <w:t>er</w:t>
      </w:r>
      <w:r>
        <w:rPr>
          <w:rFonts w:ascii="Arial" w:hAnsi="Arial" w:cs="Arial"/>
          <w:spacing w:val="41"/>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42"/>
          <w:sz w:val="24"/>
          <w:szCs w:val="24"/>
        </w:rPr>
        <w:t xml:space="preserve"> </w:t>
      </w:r>
      <w:r>
        <w:rPr>
          <w:rFonts w:ascii="Arial" w:hAnsi="Arial" w:cs="Arial"/>
          <w:sz w:val="24"/>
          <w:szCs w:val="24"/>
        </w:rPr>
        <w:t>é</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es</w:t>
      </w:r>
      <w:r>
        <w:rPr>
          <w:rFonts w:ascii="Arial" w:hAnsi="Arial" w:cs="Arial"/>
          <w:spacing w:val="40"/>
          <w:sz w:val="24"/>
          <w:szCs w:val="24"/>
        </w:rPr>
        <w:t xml:space="preserve"> </w:t>
      </w:r>
      <w:r>
        <w:rPr>
          <w:rFonts w:ascii="Arial" w:hAnsi="Arial" w:cs="Arial"/>
          <w:spacing w:val="1"/>
          <w:sz w:val="24"/>
          <w:szCs w:val="24"/>
        </w:rPr>
        <w:t>i</w:t>
      </w:r>
      <w:r>
        <w:rPr>
          <w:rFonts w:ascii="Arial" w:hAnsi="Arial" w:cs="Arial"/>
          <w:sz w:val="24"/>
          <w:szCs w:val="24"/>
        </w:rPr>
        <w:t>nt</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gi</w:t>
      </w:r>
      <w:r>
        <w:rPr>
          <w:rFonts w:ascii="Arial" w:hAnsi="Arial" w:cs="Arial"/>
          <w:sz w:val="24"/>
          <w:szCs w:val="24"/>
        </w:rPr>
        <w:t>on</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r</w:t>
      </w:r>
      <w:r>
        <w:rPr>
          <w:rFonts w:ascii="Arial" w:hAnsi="Arial" w:cs="Arial"/>
          <w:sz w:val="24"/>
          <w:szCs w:val="24"/>
        </w:rPr>
        <w:t>en</w:t>
      </w:r>
      <w:r>
        <w:rPr>
          <w:rFonts w:ascii="Arial" w:hAnsi="Arial" w:cs="Arial"/>
          <w:spacing w:val="-1"/>
          <w:sz w:val="24"/>
          <w:szCs w:val="24"/>
        </w:rPr>
        <w:t>f</w:t>
      </w:r>
      <w:r>
        <w:rPr>
          <w:rFonts w:ascii="Arial" w:hAnsi="Arial" w:cs="Arial"/>
          <w:spacing w:val="-2"/>
          <w:sz w:val="24"/>
          <w:szCs w:val="24"/>
        </w:rPr>
        <w:t>o</w:t>
      </w:r>
      <w:r>
        <w:rPr>
          <w:rFonts w:ascii="Arial" w:hAnsi="Arial" w:cs="Arial"/>
          <w:spacing w:val="-1"/>
          <w:sz w:val="24"/>
          <w:szCs w:val="24"/>
        </w:rPr>
        <w:t>rc</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es</w:t>
      </w:r>
      <w:r>
        <w:rPr>
          <w:rFonts w:ascii="Arial" w:hAnsi="Arial" w:cs="Arial"/>
          <w:spacing w:val="5"/>
          <w:sz w:val="24"/>
          <w:szCs w:val="24"/>
        </w:rPr>
        <w:t xml:space="preserve"> </w:t>
      </w:r>
      <w:r>
        <w:rPr>
          <w:rFonts w:ascii="Arial" w:hAnsi="Arial" w:cs="Arial"/>
          <w:sz w:val="24"/>
          <w:szCs w:val="24"/>
        </w:rPr>
        <w:t>m</w:t>
      </w:r>
      <w:r>
        <w:rPr>
          <w:rFonts w:ascii="Arial" w:hAnsi="Arial" w:cs="Arial"/>
          <w:spacing w:val="2"/>
          <w:sz w:val="24"/>
          <w:szCs w:val="24"/>
        </w:rPr>
        <w:t>é</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mes m</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i</w:t>
      </w:r>
      <w:r>
        <w:rPr>
          <w:rFonts w:ascii="Arial" w:hAnsi="Arial" w:cs="Arial"/>
          <w:sz w:val="24"/>
          <w:szCs w:val="24"/>
        </w:rPr>
        <w:t>m</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 xml:space="preserve">t </w:t>
      </w:r>
      <w:r>
        <w:rPr>
          <w:rFonts w:ascii="Arial" w:hAnsi="Arial" w:cs="Arial"/>
          <w:spacing w:val="1"/>
          <w:sz w:val="24"/>
          <w:szCs w:val="24"/>
        </w:rPr>
        <w:t>l</w:t>
      </w:r>
      <w:r>
        <w:rPr>
          <w:rFonts w:ascii="Arial" w:hAnsi="Arial" w:cs="Arial"/>
          <w:spacing w:val="-2"/>
          <w:sz w:val="24"/>
          <w:szCs w:val="24"/>
        </w:rPr>
        <w:t>e</w:t>
      </w:r>
      <w:r>
        <w:rPr>
          <w:rFonts w:ascii="Arial" w:hAnsi="Arial" w:cs="Arial"/>
          <w:sz w:val="24"/>
          <w:szCs w:val="24"/>
        </w:rPr>
        <w:t>s</w:t>
      </w:r>
      <w:r>
        <w:rPr>
          <w:rFonts w:ascii="Arial" w:hAnsi="Arial" w:cs="Arial"/>
          <w:spacing w:val="7"/>
          <w:sz w:val="24"/>
          <w:szCs w:val="24"/>
        </w:rPr>
        <w:t xml:space="preserve"> </w:t>
      </w:r>
      <w:r>
        <w:rPr>
          <w:rFonts w:ascii="Arial" w:hAnsi="Arial" w:cs="Arial"/>
          <w:spacing w:val="-1"/>
          <w:sz w:val="24"/>
          <w:szCs w:val="24"/>
        </w:rPr>
        <w:t>r</w:t>
      </w:r>
      <w:r>
        <w:rPr>
          <w:rFonts w:ascii="Arial" w:hAnsi="Arial" w:cs="Arial"/>
          <w:spacing w:val="1"/>
          <w:sz w:val="24"/>
          <w:szCs w:val="24"/>
        </w:rPr>
        <w:t>i</w:t>
      </w:r>
      <w:r>
        <w:rPr>
          <w:rFonts w:ascii="Arial" w:hAnsi="Arial" w:cs="Arial"/>
          <w:spacing w:val="-1"/>
          <w:sz w:val="24"/>
          <w:szCs w:val="24"/>
        </w:rPr>
        <w:t>s</w:t>
      </w:r>
      <w:r>
        <w:rPr>
          <w:rFonts w:ascii="Arial" w:hAnsi="Arial" w:cs="Arial"/>
          <w:spacing w:val="1"/>
          <w:sz w:val="24"/>
          <w:szCs w:val="24"/>
        </w:rPr>
        <w:t>q</w:t>
      </w:r>
      <w:r>
        <w:rPr>
          <w:rFonts w:ascii="Arial" w:hAnsi="Arial" w:cs="Arial"/>
          <w:sz w:val="24"/>
          <w:szCs w:val="24"/>
        </w:rPr>
        <w:t>ues</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iv</w:t>
      </w:r>
      <w:r>
        <w:rPr>
          <w:rFonts w:ascii="Arial" w:hAnsi="Arial" w:cs="Arial"/>
          <w:sz w:val="24"/>
          <w:szCs w:val="24"/>
        </w:rPr>
        <w:t>e</w:t>
      </w:r>
      <w:r>
        <w:rPr>
          <w:rFonts w:ascii="Arial" w:hAnsi="Arial" w:cs="Arial"/>
          <w:spacing w:val="-1"/>
          <w:sz w:val="24"/>
          <w:szCs w:val="24"/>
        </w:rPr>
        <w:t>r</w:t>
      </w:r>
      <w:r>
        <w:rPr>
          <w:rFonts w:ascii="Arial" w:hAnsi="Arial" w:cs="Arial"/>
          <w:sz w:val="24"/>
          <w:szCs w:val="24"/>
        </w:rPr>
        <w:t xml:space="preserve">s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xq</w:t>
      </w:r>
      <w:r>
        <w:rPr>
          <w:rFonts w:ascii="Arial" w:hAnsi="Arial" w:cs="Arial"/>
          <w:sz w:val="24"/>
          <w:szCs w:val="24"/>
        </w:rPr>
        <w:t>ue</w:t>
      </w:r>
      <w:r>
        <w:rPr>
          <w:rFonts w:ascii="Arial" w:hAnsi="Arial" w:cs="Arial"/>
          <w:spacing w:val="1"/>
          <w:sz w:val="24"/>
          <w:szCs w:val="24"/>
        </w:rPr>
        <w:t>l</w:t>
      </w:r>
      <w:r>
        <w:rPr>
          <w:rFonts w:ascii="Arial" w:hAnsi="Arial" w:cs="Arial"/>
          <w:sz w:val="24"/>
          <w:szCs w:val="24"/>
        </w:rPr>
        <w:t xml:space="preserve">s </w:t>
      </w:r>
      <w:r>
        <w:rPr>
          <w:rFonts w:ascii="Arial" w:hAnsi="Arial" w:cs="Arial"/>
          <w:spacing w:val="1"/>
          <w:sz w:val="24"/>
          <w:szCs w:val="24"/>
        </w:rPr>
        <w:t>l</w:t>
      </w:r>
      <w:r>
        <w:rPr>
          <w:rFonts w:ascii="Arial" w:hAnsi="Arial" w:cs="Arial"/>
          <w:sz w:val="24"/>
          <w:szCs w:val="24"/>
        </w:rPr>
        <w:t>es</w:t>
      </w:r>
      <w:r>
        <w:rPr>
          <w:rFonts w:ascii="Arial" w:hAnsi="Arial" w:cs="Arial"/>
          <w:spacing w:val="7"/>
          <w:sz w:val="24"/>
          <w:szCs w:val="24"/>
        </w:rPr>
        <w:t xml:space="preserv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pacing w:val="2"/>
          <w:sz w:val="24"/>
          <w:szCs w:val="24"/>
        </w:rPr>
        <w:t>u</w:t>
      </w:r>
      <w:r>
        <w:rPr>
          <w:rFonts w:ascii="Arial" w:hAnsi="Arial" w:cs="Arial"/>
          <w:spacing w:val="-1"/>
          <w:sz w:val="24"/>
          <w:szCs w:val="24"/>
        </w:rPr>
        <w:t>c</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s</w:t>
      </w:r>
      <w:r>
        <w:rPr>
          <w:rFonts w:ascii="Arial" w:hAnsi="Arial" w:cs="Arial"/>
          <w:sz w:val="24"/>
          <w:szCs w:val="24"/>
        </w:rPr>
        <w:t>ont</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fr</w:t>
      </w:r>
      <w:r>
        <w:rPr>
          <w:rFonts w:ascii="Arial" w:hAnsi="Arial" w:cs="Arial"/>
          <w:spacing w:val="2"/>
          <w:sz w:val="24"/>
          <w:szCs w:val="24"/>
        </w:rPr>
        <w:t>on</w:t>
      </w:r>
      <w:r>
        <w:rPr>
          <w:rFonts w:ascii="Arial" w:hAnsi="Arial" w:cs="Arial"/>
          <w:sz w:val="24"/>
          <w:szCs w:val="24"/>
        </w:rPr>
        <w:t>tés</w:t>
      </w:r>
      <w:r>
        <w:rPr>
          <w:rFonts w:ascii="Arial" w:hAnsi="Arial" w:cs="Arial"/>
          <w:spacing w:val="3"/>
          <w:sz w:val="24"/>
          <w:szCs w:val="24"/>
        </w:rPr>
        <w:t xml:space="preserve"> </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eur</w:t>
      </w:r>
      <w:r>
        <w:rPr>
          <w:rFonts w:ascii="Arial" w:hAnsi="Arial" w:cs="Arial"/>
          <w:spacing w:val="6"/>
          <w:sz w:val="24"/>
          <w:szCs w:val="24"/>
        </w:rPr>
        <w:t xml:space="preserve"> </w:t>
      </w:r>
      <w:r>
        <w:rPr>
          <w:rFonts w:ascii="Arial" w:hAnsi="Arial" w:cs="Arial"/>
          <w:spacing w:val="1"/>
          <w:sz w:val="24"/>
          <w:szCs w:val="24"/>
        </w:rPr>
        <w:t>g</w:t>
      </w:r>
      <w:r>
        <w:rPr>
          <w:rFonts w:ascii="Arial" w:hAnsi="Arial" w:cs="Arial"/>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nt</w:t>
      </w:r>
      <w:r>
        <w:rPr>
          <w:rFonts w:ascii="Arial" w:hAnsi="Arial" w:cs="Arial"/>
          <w:spacing w:val="-1"/>
          <w:sz w:val="24"/>
          <w:szCs w:val="24"/>
        </w:rPr>
        <w:t>iss</w:t>
      </w:r>
      <w:r>
        <w:rPr>
          <w:rFonts w:ascii="Arial" w:hAnsi="Arial" w:cs="Arial"/>
          <w:spacing w:val="1"/>
          <w:sz w:val="24"/>
          <w:szCs w:val="24"/>
        </w:rPr>
        <w:t>a</w:t>
      </w:r>
      <w:r>
        <w:rPr>
          <w:rFonts w:ascii="Arial" w:hAnsi="Arial" w:cs="Arial"/>
          <w:sz w:val="24"/>
          <w:szCs w:val="24"/>
        </w:rPr>
        <w:t>nt</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6"/>
          <w:sz w:val="24"/>
          <w:szCs w:val="24"/>
        </w:rPr>
        <w:t xml:space="preserve"> </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i</w:t>
      </w:r>
      <w:r>
        <w:rPr>
          <w:rFonts w:ascii="Arial" w:hAnsi="Arial" w:cs="Arial"/>
          <w:sz w:val="24"/>
          <w:szCs w:val="24"/>
        </w:rPr>
        <w:t xml:space="preserve">x </w:t>
      </w:r>
      <w:r>
        <w:rPr>
          <w:rFonts w:ascii="Arial" w:hAnsi="Arial" w:cs="Arial"/>
          <w:spacing w:val="-1"/>
          <w:sz w:val="24"/>
          <w:szCs w:val="24"/>
        </w:rPr>
        <w:t>r</w:t>
      </w:r>
      <w:r>
        <w:rPr>
          <w:rFonts w:ascii="Arial" w:hAnsi="Arial" w:cs="Arial"/>
          <w:sz w:val="24"/>
          <w:szCs w:val="24"/>
        </w:rPr>
        <w:t>émuné</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teu</w:t>
      </w:r>
      <w:r>
        <w:rPr>
          <w:rFonts w:ascii="Arial" w:hAnsi="Arial" w:cs="Arial"/>
          <w:spacing w:val="-1"/>
          <w:sz w:val="24"/>
          <w:szCs w:val="24"/>
        </w:rPr>
        <w:t>r</w:t>
      </w:r>
      <w:r>
        <w:rPr>
          <w:rFonts w:ascii="Arial" w:hAnsi="Arial" w:cs="Arial"/>
          <w:sz w:val="24"/>
          <w:szCs w:val="24"/>
        </w:rPr>
        <w:t>s</w:t>
      </w:r>
      <w:r>
        <w:rPr>
          <w:rFonts w:ascii="Arial" w:hAnsi="Arial" w:cs="Arial"/>
          <w:spacing w:val="-8"/>
          <w:sz w:val="24"/>
          <w:szCs w:val="24"/>
        </w:rPr>
        <w:t xml:space="preserve"> </w:t>
      </w:r>
      <w:r>
        <w:rPr>
          <w:rFonts w:ascii="Arial" w:hAnsi="Arial" w:cs="Arial"/>
          <w:sz w:val="24"/>
          <w:szCs w:val="24"/>
        </w:rPr>
        <w:t>à</w:t>
      </w:r>
      <w:r>
        <w:rPr>
          <w:rFonts w:ascii="Arial" w:hAnsi="Arial" w:cs="Arial"/>
          <w:spacing w:val="1"/>
          <w:sz w:val="24"/>
          <w:szCs w:val="24"/>
        </w:rPr>
        <w:t xml:space="preserve"> l</w:t>
      </w:r>
      <w:r>
        <w:rPr>
          <w:rFonts w:ascii="Arial" w:hAnsi="Arial" w:cs="Arial"/>
          <w:spacing w:val="-1"/>
          <w:sz w:val="24"/>
          <w:szCs w:val="24"/>
        </w:rPr>
        <w:t>’</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 xml:space="preserve"> </w:t>
      </w:r>
      <w:r>
        <w:rPr>
          <w:rFonts w:ascii="Arial" w:hAnsi="Arial" w:cs="Arial"/>
          <w:sz w:val="24"/>
          <w:szCs w:val="24"/>
        </w:rPr>
        <w:t xml:space="preserve">ne </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i</w:t>
      </w:r>
      <w:r>
        <w:rPr>
          <w:rFonts w:ascii="Arial" w:hAnsi="Arial" w:cs="Arial"/>
          <w:sz w:val="24"/>
          <w:szCs w:val="24"/>
        </w:rPr>
        <w:t>t</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 xml:space="preserve"> </w:t>
      </w:r>
      <w:r>
        <w:rPr>
          <w:rFonts w:ascii="Arial" w:hAnsi="Arial" w:cs="Arial"/>
          <w:sz w:val="24"/>
          <w:szCs w:val="24"/>
        </w:rPr>
        <w:t>êt</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rd</w:t>
      </w:r>
      <w:r>
        <w:rPr>
          <w:rFonts w:ascii="Arial" w:hAnsi="Arial" w:cs="Arial"/>
          <w:sz w:val="24"/>
          <w:szCs w:val="24"/>
        </w:rPr>
        <w:t>u</w:t>
      </w:r>
      <w:r>
        <w:rPr>
          <w:rFonts w:ascii="Arial" w:hAnsi="Arial" w:cs="Arial"/>
          <w:spacing w:val="-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v</w:t>
      </w:r>
      <w:r>
        <w:rPr>
          <w:rFonts w:ascii="Arial" w:hAnsi="Arial" w:cs="Arial"/>
          <w:sz w:val="24"/>
          <w:szCs w:val="24"/>
        </w:rPr>
        <w:t>ue.</w:t>
      </w:r>
    </w:p>
    <w:p w14:paraId="2DF91F82" w14:textId="77777777" w:rsidR="008862C7" w:rsidRDefault="008862C7" w:rsidP="008862C7">
      <w:pPr>
        <w:pStyle w:val="Titre4"/>
        <w:spacing w:line="360" w:lineRule="auto"/>
        <w:jc w:val="both"/>
        <w:rPr>
          <w:rFonts w:ascii="Arial" w:hAnsi="Arial" w:cs="Arial"/>
          <w:sz w:val="24"/>
          <w:szCs w:val="24"/>
        </w:rPr>
      </w:pPr>
      <w:bookmarkStart w:id="306" w:name="_Toc395107709"/>
      <w:r>
        <w:rPr>
          <w:rFonts w:ascii="Arial" w:hAnsi="Arial" w:cs="Arial"/>
          <w:sz w:val="24"/>
          <w:szCs w:val="24"/>
        </w:rPr>
        <w:t>CONCLUSION</w:t>
      </w:r>
      <w:bookmarkEnd w:id="306"/>
      <w:r>
        <w:rPr>
          <w:rFonts w:ascii="Arial" w:hAnsi="Arial" w:cs="Arial"/>
          <w:sz w:val="24"/>
          <w:szCs w:val="24"/>
        </w:rPr>
        <w:t xml:space="preserve"> </w:t>
      </w:r>
    </w:p>
    <w:p w14:paraId="493A9A3D" w14:textId="77777777" w:rsidR="008862C7" w:rsidRDefault="008862C7" w:rsidP="008862C7">
      <w:pPr>
        <w:widowControl w:val="0"/>
        <w:autoSpaceDE w:val="0"/>
        <w:autoSpaceDN w:val="0"/>
        <w:adjustRightInd w:val="0"/>
        <w:spacing w:after="0" w:line="360" w:lineRule="auto"/>
        <w:ind w:right="65"/>
        <w:jc w:val="both"/>
        <w:rPr>
          <w:rFonts w:ascii="Arial" w:hAnsi="Arial" w:cs="Arial"/>
          <w:sz w:val="24"/>
          <w:szCs w:val="24"/>
        </w:rPr>
      </w:pPr>
      <w:r>
        <w:rPr>
          <w:rFonts w:ascii="Arial" w:hAnsi="Arial" w:cs="Arial"/>
          <w:spacing w:val="1"/>
          <w:sz w:val="24"/>
          <w:szCs w:val="24"/>
        </w:rPr>
        <w:t>Da</w:t>
      </w:r>
      <w:r>
        <w:rPr>
          <w:rFonts w:ascii="Arial" w:hAnsi="Arial" w:cs="Arial"/>
          <w:sz w:val="24"/>
          <w:szCs w:val="24"/>
        </w:rPr>
        <w:t>ns</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pacing w:val="-1"/>
          <w:sz w:val="24"/>
          <w:szCs w:val="24"/>
        </w:rPr>
        <w:t>p</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r</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no</w:t>
      </w:r>
      <w:r>
        <w:rPr>
          <w:rFonts w:ascii="Arial" w:hAnsi="Arial" w:cs="Arial"/>
          <w:spacing w:val="-2"/>
          <w:sz w:val="24"/>
          <w:szCs w:val="24"/>
        </w:rPr>
        <w:t>u</w:t>
      </w:r>
      <w:r>
        <w:rPr>
          <w:rFonts w:ascii="Arial" w:hAnsi="Arial" w:cs="Arial"/>
          <w:sz w:val="24"/>
          <w:szCs w:val="24"/>
        </w:rPr>
        <w:t>s</w:t>
      </w:r>
      <w:r>
        <w:rPr>
          <w:rFonts w:ascii="Arial" w:hAnsi="Arial" w:cs="Arial"/>
          <w:spacing w:val="6"/>
          <w:sz w:val="24"/>
          <w:szCs w:val="24"/>
        </w:rPr>
        <w:t xml:space="preserve"> </w:t>
      </w:r>
      <w:r>
        <w:rPr>
          <w:rFonts w:ascii="Arial" w:hAnsi="Arial" w:cs="Arial"/>
          <w:spacing w:val="1"/>
          <w:sz w:val="24"/>
          <w:szCs w:val="24"/>
        </w:rPr>
        <w:t>av</w:t>
      </w:r>
      <w:r>
        <w:rPr>
          <w:rFonts w:ascii="Arial" w:hAnsi="Arial" w:cs="Arial"/>
          <w:sz w:val="24"/>
          <w:szCs w:val="24"/>
        </w:rPr>
        <w:t>ons</w:t>
      </w:r>
      <w:r>
        <w:rPr>
          <w:rFonts w:ascii="Arial" w:hAnsi="Arial" w:cs="Arial"/>
          <w:spacing w:val="3"/>
          <w:sz w:val="24"/>
          <w:szCs w:val="24"/>
        </w:rPr>
        <w:t xml:space="preserve"> </w:t>
      </w:r>
      <w:r>
        <w:rPr>
          <w:rFonts w:ascii="Arial" w:hAnsi="Arial" w:cs="Arial"/>
          <w:sz w:val="24"/>
          <w:szCs w:val="24"/>
        </w:rPr>
        <w:t>e</w:t>
      </w:r>
      <w:r>
        <w:rPr>
          <w:rFonts w:ascii="Arial" w:hAnsi="Arial" w:cs="Arial"/>
          <w:spacing w:val="-2"/>
          <w:sz w:val="24"/>
          <w:szCs w:val="24"/>
        </w:rPr>
        <w:t>x</w:t>
      </w:r>
      <w:r>
        <w:rPr>
          <w:rFonts w:ascii="Arial" w:hAnsi="Arial" w:cs="Arial"/>
          <w:spacing w:val="1"/>
          <w:sz w:val="24"/>
          <w:szCs w:val="24"/>
        </w:rPr>
        <w:t>a</w:t>
      </w:r>
      <w:r>
        <w:rPr>
          <w:rFonts w:ascii="Arial" w:hAnsi="Arial" w:cs="Arial"/>
          <w:sz w:val="24"/>
          <w:szCs w:val="24"/>
        </w:rPr>
        <w:t>m</w:t>
      </w:r>
      <w:r>
        <w:rPr>
          <w:rFonts w:ascii="Arial" w:hAnsi="Arial" w:cs="Arial"/>
          <w:spacing w:val="1"/>
          <w:sz w:val="24"/>
          <w:szCs w:val="24"/>
        </w:rPr>
        <w:t>i</w:t>
      </w:r>
      <w:r>
        <w:rPr>
          <w:rFonts w:ascii="Arial" w:hAnsi="Arial" w:cs="Arial"/>
          <w:sz w:val="24"/>
          <w:szCs w:val="24"/>
        </w:rPr>
        <w:t>né</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5"/>
          <w:sz w:val="24"/>
          <w:szCs w:val="24"/>
        </w:rPr>
        <w:t xml:space="preserve"> </w:t>
      </w:r>
      <w:r>
        <w:rPr>
          <w:rFonts w:ascii="Arial" w:hAnsi="Arial" w:cs="Arial"/>
          <w:spacing w:val="-2"/>
          <w:sz w:val="24"/>
          <w:szCs w:val="24"/>
        </w:rPr>
        <w:t>déterminants de la compétitivité du</w:t>
      </w:r>
      <w:r>
        <w:rPr>
          <w:rFonts w:ascii="Arial" w:hAnsi="Arial" w:cs="Arial"/>
          <w:spacing w:val="7"/>
          <w:sz w:val="24"/>
          <w:szCs w:val="24"/>
        </w:rPr>
        <w:t xml:space="preserve"> </w:t>
      </w:r>
      <w:r>
        <w:rPr>
          <w:rFonts w:ascii="Arial" w:hAnsi="Arial" w:cs="Arial"/>
          <w:spacing w:val="-1"/>
          <w:sz w:val="24"/>
          <w:szCs w:val="24"/>
        </w:rPr>
        <w:t>c</w:t>
      </w:r>
      <w:r>
        <w:rPr>
          <w:rFonts w:ascii="Arial" w:hAnsi="Arial" w:cs="Arial"/>
          <w:sz w:val="24"/>
          <w:szCs w:val="24"/>
        </w:rPr>
        <w:t>o</w:t>
      </w:r>
      <w:r>
        <w:rPr>
          <w:rFonts w:ascii="Arial" w:hAnsi="Arial" w:cs="Arial"/>
          <w:spacing w:val="-2"/>
          <w:sz w:val="24"/>
          <w:szCs w:val="24"/>
        </w:rPr>
        <w:t>t</w:t>
      </w:r>
      <w:r>
        <w:rPr>
          <w:rFonts w:ascii="Arial" w:hAnsi="Arial" w:cs="Arial"/>
          <w:sz w:val="24"/>
          <w:szCs w:val="24"/>
        </w:rPr>
        <w:t>on</w:t>
      </w:r>
      <w:r>
        <w:rPr>
          <w:rFonts w:ascii="Arial" w:hAnsi="Arial" w:cs="Arial"/>
          <w:spacing w:val="5"/>
          <w:sz w:val="24"/>
          <w:szCs w:val="24"/>
        </w:rPr>
        <w:t xml:space="preserve"> centrafricain.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aly</w:t>
      </w:r>
      <w:r>
        <w:rPr>
          <w:rFonts w:ascii="Arial" w:hAnsi="Arial" w:cs="Arial"/>
          <w:spacing w:val="-1"/>
          <w:sz w:val="24"/>
          <w:szCs w:val="24"/>
        </w:rPr>
        <w:t>s</w:t>
      </w:r>
      <w:r>
        <w:rPr>
          <w:rFonts w:ascii="Arial" w:hAnsi="Arial" w:cs="Arial"/>
          <w:sz w:val="24"/>
          <w:szCs w:val="24"/>
        </w:rPr>
        <w:t>e</w:t>
      </w:r>
      <w:r>
        <w:rPr>
          <w:rFonts w:ascii="Arial" w:hAnsi="Arial" w:cs="Arial"/>
          <w:spacing w:val="65"/>
          <w:sz w:val="24"/>
          <w:szCs w:val="24"/>
        </w:rPr>
        <w:t xml:space="preserve"> </w:t>
      </w:r>
      <w:r>
        <w:rPr>
          <w:rFonts w:ascii="Arial" w:hAnsi="Arial" w:cs="Arial"/>
          <w:sz w:val="24"/>
          <w:szCs w:val="24"/>
        </w:rPr>
        <w:t>e</w:t>
      </w:r>
      <w:r>
        <w:rPr>
          <w:rFonts w:ascii="Arial" w:hAnsi="Arial" w:cs="Arial"/>
          <w:spacing w:val="-1"/>
          <w:sz w:val="24"/>
          <w:szCs w:val="24"/>
        </w:rPr>
        <w:t>s</w:t>
      </w:r>
      <w:r>
        <w:rPr>
          <w:rFonts w:ascii="Arial" w:hAnsi="Arial" w:cs="Arial"/>
          <w:sz w:val="24"/>
          <w:szCs w:val="24"/>
        </w:rPr>
        <w:t xml:space="preserve">t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 xml:space="preserve">tée </w:t>
      </w:r>
      <w:r>
        <w:rPr>
          <w:rFonts w:ascii="Arial" w:hAnsi="Arial" w:cs="Arial"/>
          <w:spacing w:val="-1"/>
          <w:sz w:val="24"/>
          <w:szCs w:val="24"/>
        </w:rPr>
        <w:t>s</w:t>
      </w:r>
      <w:r>
        <w:rPr>
          <w:rFonts w:ascii="Arial" w:hAnsi="Arial" w:cs="Arial"/>
          <w:sz w:val="24"/>
          <w:szCs w:val="24"/>
        </w:rPr>
        <w:t xml:space="preserve">ur </w:t>
      </w:r>
      <w:r>
        <w:rPr>
          <w:rFonts w:ascii="Arial" w:hAnsi="Arial" w:cs="Arial"/>
          <w:spacing w:val="1"/>
          <w:sz w:val="24"/>
          <w:szCs w:val="24"/>
        </w:rPr>
        <w:t xml:space="preserve">le système </w:t>
      </w:r>
      <w:r>
        <w:rPr>
          <w:rFonts w:ascii="Arial" w:hAnsi="Arial" w:cs="Arial"/>
          <w:spacing w:val="-1"/>
          <w:sz w:val="24"/>
          <w:szCs w:val="24"/>
        </w:rPr>
        <w:t>pr</w:t>
      </w:r>
      <w:r>
        <w:rPr>
          <w:rFonts w:ascii="Arial" w:hAnsi="Arial" w:cs="Arial"/>
          <w:sz w:val="24"/>
          <w:szCs w:val="24"/>
        </w:rPr>
        <w:t>o</w:t>
      </w:r>
      <w:r>
        <w:rPr>
          <w:rFonts w:ascii="Arial" w:hAnsi="Arial" w:cs="Arial"/>
          <w:spacing w:val="-1"/>
          <w:sz w:val="24"/>
          <w:szCs w:val="24"/>
        </w:rPr>
        <w:t>d</w:t>
      </w:r>
      <w:r>
        <w:rPr>
          <w:rFonts w:ascii="Arial" w:hAnsi="Arial" w:cs="Arial"/>
          <w:sz w:val="24"/>
          <w:szCs w:val="24"/>
        </w:rPr>
        <w:t>u</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w:t>
      </w:r>
      <w:r>
        <w:rPr>
          <w:rFonts w:ascii="Arial" w:hAnsi="Arial" w:cs="Arial"/>
          <w:sz w:val="24"/>
          <w:szCs w:val="24"/>
        </w:rPr>
        <w:t>f national, le système de commercialisation interne et le marché 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 xml:space="preserve">. Il ressort des résultats que le coton centrafricain est souvent moins compétitif que celui de ces voisins à cause des coûts qui sont en général supérieurs à celui de ces concurrents potentiels ou réels. La RCA bénéficie cependant d’un avantage en termes de qualité, car le coton centrafricain est réputé être de bonne qualité et est souvent source de surcote sur le marché mondial. Toute la répartition des exportations en termes de compétitivité prix et de compétitivité hors prix révèle que la RCA présente par rapport aux pays de la ZFA une faible compétitivité prix. </w:t>
      </w:r>
    </w:p>
    <w:p w14:paraId="683BF218" w14:textId="77777777" w:rsidR="008862C7" w:rsidRDefault="008862C7" w:rsidP="008862C7">
      <w:pPr>
        <w:widowControl w:val="0"/>
        <w:autoSpaceDE w:val="0"/>
        <w:autoSpaceDN w:val="0"/>
        <w:adjustRightInd w:val="0"/>
        <w:spacing w:before="120" w:after="0" w:line="360" w:lineRule="auto"/>
        <w:ind w:right="65"/>
        <w:jc w:val="both"/>
        <w:rPr>
          <w:rFonts w:ascii="Arial" w:hAnsi="Arial" w:cs="Arial"/>
          <w:sz w:val="24"/>
          <w:szCs w:val="24"/>
        </w:rPr>
      </w:pPr>
      <w:r>
        <w:rPr>
          <w:rFonts w:ascii="Arial" w:hAnsi="Arial" w:cs="Arial"/>
          <w:sz w:val="24"/>
          <w:szCs w:val="24"/>
        </w:rPr>
        <w:t xml:space="preserve">Avec une part de marché inférieure à la moyenne de la zone les de l’échange de la RCA nettement supérieur à celui de la zone. Ces résultats viennent donc confirmer les résultats du modèle économétrique. </w:t>
      </w:r>
    </w:p>
    <w:p w14:paraId="5EC37E0D" w14:textId="77777777" w:rsidR="008862C7" w:rsidRDefault="008862C7" w:rsidP="008862C7">
      <w:pPr>
        <w:rPr>
          <w:rFonts w:ascii="Calibri" w:hAnsi="Calibri" w:cs="Times New Roman"/>
        </w:rPr>
      </w:pPr>
    </w:p>
    <w:p w14:paraId="0CC791D1" w14:textId="77777777" w:rsidR="008862C7" w:rsidRDefault="008862C7" w:rsidP="008862C7"/>
    <w:p w14:paraId="5F31B147" w14:textId="77777777" w:rsidR="008862C7" w:rsidRDefault="008862C7" w:rsidP="008862C7"/>
    <w:p w14:paraId="106ACD08" w14:textId="77777777" w:rsidR="008862C7" w:rsidRDefault="008862C7" w:rsidP="008862C7"/>
    <w:p w14:paraId="6C487662" w14:textId="77777777" w:rsidR="008862C7" w:rsidRDefault="008862C7" w:rsidP="008862C7"/>
    <w:p w14:paraId="32F27C92" w14:textId="77777777" w:rsidR="008862C7" w:rsidRDefault="008862C7" w:rsidP="008862C7"/>
    <w:p w14:paraId="1BA1C755" w14:textId="77777777" w:rsidR="008862C7" w:rsidRDefault="008862C7" w:rsidP="008862C7"/>
    <w:p w14:paraId="2868B6A3" w14:textId="77777777" w:rsidR="008862C7" w:rsidRDefault="008862C7" w:rsidP="008862C7"/>
    <w:p w14:paraId="54334BE1" w14:textId="77777777" w:rsidR="008862C7" w:rsidRDefault="008862C7" w:rsidP="008862C7"/>
    <w:p w14:paraId="4EF2C736" w14:textId="77777777" w:rsidR="008862C7" w:rsidRDefault="008862C7" w:rsidP="008862C7"/>
    <w:p w14:paraId="52D13F9A" w14:textId="77777777" w:rsidR="008862C7" w:rsidRDefault="008862C7" w:rsidP="008862C7"/>
    <w:p w14:paraId="4081E0BF" w14:textId="77777777" w:rsidR="008862C7" w:rsidRDefault="008862C7" w:rsidP="008862C7"/>
    <w:p w14:paraId="5197C525" w14:textId="77777777" w:rsidR="008862C7" w:rsidRDefault="008862C7" w:rsidP="008862C7"/>
    <w:p w14:paraId="4672FA67" w14:textId="77777777" w:rsidR="008862C7" w:rsidRDefault="008862C7" w:rsidP="008862C7"/>
    <w:p w14:paraId="43FD12B7" w14:textId="77777777" w:rsidR="008862C7" w:rsidRDefault="008862C7" w:rsidP="008862C7"/>
    <w:p w14:paraId="5EC3D364" w14:textId="77777777" w:rsidR="008862C7" w:rsidRDefault="008862C7" w:rsidP="008862C7">
      <w:pPr>
        <w:spacing w:before="120" w:after="0" w:line="360" w:lineRule="auto"/>
        <w:jc w:val="both"/>
        <w:rPr>
          <w:rFonts w:ascii="Arial" w:hAnsi="Arial" w:cs="Arial"/>
          <w:sz w:val="24"/>
          <w:szCs w:val="24"/>
        </w:rPr>
      </w:pPr>
    </w:p>
    <w:p w14:paraId="19918629" w14:textId="77777777" w:rsidR="008862C7" w:rsidRDefault="008862C7" w:rsidP="008862C7">
      <w:pPr>
        <w:spacing w:before="120" w:after="0" w:line="360" w:lineRule="auto"/>
        <w:jc w:val="both"/>
        <w:rPr>
          <w:rFonts w:ascii="Arial" w:hAnsi="Arial" w:cs="Arial"/>
          <w:sz w:val="24"/>
          <w:szCs w:val="24"/>
        </w:rPr>
      </w:pPr>
    </w:p>
    <w:p w14:paraId="7ED49CC5" w14:textId="77777777" w:rsidR="008862C7" w:rsidRDefault="008862C7" w:rsidP="008862C7">
      <w:pPr>
        <w:spacing w:before="120" w:after="0" w:line="360" w:lineRule="auto"/>
        <w:jc w:val="both"/>
        <w:rPr>
          <w:rFonts w:ascii="Arial" w:hAnsi="Arial" w:cs="Arial"/>
          <w:sz w:val="24"/>
          <w:szCs w:val="24"/>
        </w:rPr>
      </w:pPr>
    </w:p>
    <w:p w14:paraId="3D8F3584" w14:textId="77777777" w:rsidR="008862C7" w:rsidRDefault="008862C7" w:rsidP="008862C7">
      <w:pPr>
        <w:spacing w:before="120" w:after="0" w:line="360" w:lineRule="auto"/>
        <w:jc w:val="both"/>
        <w:rPr>
          <w:rFonts w:ascii="Arial" w:hAnsi="Arial" w:cs="Arial"/>
          <w:sz w:val="24"/>
          <w:szCs w:val="24"/>
        </w:rPr>
      </w:pPr>
    </w:p>
    <w:p w14:paraId="3A04DDD9" w14:textId="77777777" w:rsidR="008862C7" w:rsidRDefault="008862C7" w:rsidP="008862C7">
      <w:pPr>
        <w:spacing w:before="120" w:after="0" w:line="360" w:lineRule="auto"/>
        <w:jc w:val="both"/>
        <w:rPr>
          <w:rFonts w:ascii="Arial" w:hAnsi="Arial" w:cs="Arial"/>
          <w:sz w:val="24"/>
          <w:szCs w:val="24"/>
        </w:rPr>
      </w:pPr>
    </w:p>
    <w:p w14:paraId="67BF9FF4" w14:textId="77777777" w:rsidR="008862C7" w:rsidRDefault="008862C7" w:rsidP="008862C7">
      <w:pPr>
        <w:spacing w:before="120" w:after="0" w:line="360" w:lineRule="auto"/>
        <w:jc w:val="both"/>
        <w:rPr>
          <w:rFonts w:ascii="Arial" w:hAnsi="Arial" w:cs="Arial"/>
          <w:sz w:val="24"/>
          <w:szCs w:val="24"/>
        </w:rPr>
      </w:pPr>
    </w:p>
    <w:p w14:paraId="3D68307A" w14:textId="77777777" w:rsidR="008862C7" w:rsidRDefault="008862C7" w:rsidP="008862C7">
      <w:pPr>
        <w:spacing w:before="120" w:after="0" w:line="360" w:lineRule="auto"/>
        <w:jc w:val="both"/>
        <w:rPr>
          <w:rFonts w:ascii="Arial" w:hAnsi="Arial" w:cs="Arial"/>
          <w:sz w:val="24"/>
          <w:szCs w:val="24"/>
        </w:rPr>
      </w:pPr>
    </w:p>
    <w:p w14:paraId="6118942E" w14:textId="77777777" w:rsidR="008862C7" w:rsidRDefault="008862C7" w:rsidP="008862C7">
      <w:pPr>
        <w:spacing w:before="120" w:after="0" w:line="360" w:lineRule="auto"/>
        <w:jc w:val="both"/>
        <w:rPr>
          <w:rFonts w:ascii="Arial" w:hAnsi="Arial" w:cs="Arial"/>
          <w:sz w:val="24"/>
          <w:szCs w:val="24"/>
        </w:rPr>
      </w:pPr>
    </w:p>
    <w:p w14:paraId="06F99D14" w14:textId="77777777" w:rsidR="008862C7" w:rsidRDefault="008862C7" w:rsidP="008862C7">
      <w:pPr>
        <w:spacing w:before="120" w:after="0" w:line="360" w:lineRule="auto"/>
        <w:jc w:val="both"/>
        <w:rPr>
          <w:rFonts w:ascii="Arial" w:hAnsi="Arial" w:cs="Arial"/>
          <w:sz w:val="24"/>
          <w:szCs w:val="24"/>
        </w:rPr>
      </w:pPr>
    </w:p>
    <w:p w14:paraId="310BBF1D" w14:textId="77777777" w:rsidR="008862C7" w:rsidRDefault="008862C7" w:rsidP="008862C7">
      <w:pPr>
        <w:spacing w:before="120" w:after="0" w:line="360" w:lineRule="auto"/>
        <w:jc w:val="both"/>
        <w:rPr>
          <w:rFonts w:ascii="Arial" w:hAnsi="Arial" w:cs="Arial"/>
          <w:sz w:val="24"/>
          <w:szCs w:val="24"/>
        </w:rPr>
      </w:pPr>
    </w:p>
    <w:p w14:paraId="2AAF93E1" w14:textId="77777777" w:rsidR="008862C7" w:rsidRDefault="008862C7" w:rsidP="008862C7">
      <w:pPr>
        <w:spacing w:before="120" w:after="0" w:line="360" w:lineRule="auto"/>
        <w:jc w:val="both"/>
        <w:rPr>
          <w:rFonts w:ascii="Arial" w:hAnsi="Arial" w:cs="Arial"/>
          <w:sz w:val="24"/>
          <w:szCs w:val="24"/>
        </w:rPr>
      </w:pPr>
    </w:p>
    <w:p w14:paraId="2CC8D823" w14:textId="77777777" w:rsidR="008862C7" w:rsidRDefault="008862C7" w:rsidP="008862C7">
      <w:pPr>
        <w:spacing w:before="120" w:after="0" w:line="360" w:lineRule="auto"/>
        <w:jc w:val="both"/>
        <w:rPr>
          <w:rFonts w:ascii="Arial" w:hAnsi="Arial" w:cs="Arial"/>
          <w:sz w:val="24"/>
          <w:szCs w:val="24"/>
        </w:rPr>
      </w:pPr>
    </w:p>
    <w:p w14:paraId="30186F70" w14:textId="77777777" w:rsidR="008862C7" w:rsidRDefault="008862C7" w:rsidP="008862C7">
      <w:pPr>
        <w:spacing w:before="120" w:after="0" w:line="360" w:lineRule="auto"/>
        <w:jc w:val="both"/>
        <w:rPr>
          <w:rFonts w:ascii="Arial" w:hAnsi="Arial" w:cs="Arial"/>
          <w:sz w:val="24"/>
          <w:szCs w:val="24"/>
        </w:rPr>
      </w:pPr>
    </w:p>
    <w:p w14:paraId="3477E26C" w14:textId="77777777" w:rsidR="008862C7" w:rsidRDefault="008862C7" w:rsidP="008862C7">
      <w:pPr>
        <w:spacing w:before="120" w:after="0" w:line="360" w:lineRule="auto"/>
        <w:jc w:val="both"/>
        <w:rPr>
          <w:rFonts w:ascii="Arial" w:hAnsi="Arial" w:cs="Arial"/>
          <w:sz w:val="24"/>
          <w:szCs w:val="24"/>
        </w:rPr>
      </w:pPr>
    </w:p>
    <w:p w14:paraId="76360EB1" w14:textId="77777777" w:rsidR="008862C7" w:rsidRDefault="008862C7" w:rsidP="008862C7">
      <w:pPr>
        <w:spacing w:before="120" w:after="0" w:line="360" w:lineRule="auto"/>
        <w:jc w:val="both"/>
        <w:rPr>
          <w:rFonts w:ascii="Arial" w:hAnsi="Arial" w:cs="Arial"/>
          <w:sz w:val="24"/>
          <w:szCs w:val="24"/>
        </w:rPr>
      </w:pPr>
    </w:p>
    <w:p w14:paraId="12DE84C1" w14:textId="77777777" w:rsidR="008862C7" w:rsidRDefault="008862C7" w:rsidP="008862C7">
      <w:pPr>
        <w:spacing w:before="120" w:after="0" w:line="360" w:lineRule="auto"/>
        <w:jc w:val="both"/>
        <w:rPr>
          <w:rFonts w:ascii="Arial" w:hAnsi="Arial" w:cs="Arial"/>
          <w:sz w:val="24"/>
          <w:szCs w:val="24"/>
        </w:rPr>
      </w:pPr>
    </w:p>
    <w:p w14:paraId="7D979BAE" w14:textId="77777777" w:rsidR="008862C7" w:rsidRDefault="008862C7" w:rsidP="008862C7">
      <w:pPr>
        <w:spacing w:before="120" w:after="0" w:line="360" w:lineRule="auto"/>
        <w:jc w:val="both"/>
        <w:rPr>
          <w:rFonts w:ascii="Arial" w:hAnsi="Arial" w:cs="Arial"/>
          <w:sz w:val="24"/>
          <w:szCs w:val="24"/>
        </w:rPr>
      </w:pPr>
    </w:p>
    <w:p w14:paraId="3C3C4B90" w14:textId="77777777" w:rsidR="008862C7" w:rsidRDefault="008862C7" w:rsidP="008862C7">
      <w:pPr>
        <w:pStyle w:val="Titre1"/>
        <w:jc w:val="center"/>
        <w:rPr>
          <w:sz w:val="24"/>
          <w:szCs w:val="24"/>
        </w:rPr>
      </w:pPr>
      <w:bookmarkStart w:id="307" w:name="_Toc395107710"/>
      <w:r>
        <w:rPr>
          <w:sz w:val="24"/>
          <w:szCs w:val="24"/>
        </w:rPr>
        <w:t>CONCLUSION GENERALE</w:t>
      </w:r>
      <w:bookmarkEnd w:id="307"/>
    </w:p>
    <w:p w14:paraId="702B95C5" w14:textId="77777777" w:rsidR="008862C7" w:rsidRDefault="008862C7" w:rsidP="008862C7">
      <w:pPr>
        <w:spacing w:before="120" w:after="0" w:line="360" w:lineRule="auto"/>
        <w:jc w:val="both"/>
        <w:rPr>
          <w:rFonts w:ascii="Arial" w:hAnsi="Arial" w:cs="Arial"/>
          <w:sz w:val="24"/>
          <w:szCs w:val="24"/>
        </w:rPr>
      </w:pPr>
    </w:p>
    <w:p w14:paraId="531DAB30" w14:textId="77777777" w:rsidR="008862C7" w:rsidRDefault="008862C7" w:rsidP="008862C7">
      <w:pPr>
        <w:spacing w:before="120" w:after="0" w:line="360" w:lineRule="auto"/>
        <w:jc w:val="both"/>
        <w:rPr>
          <w:rFonts w:ascii="Arial" w:hAnsi="Arial" w:cs="Arial"/>
          <w:sz w:val="24"/>
          <w:szCs w:val="24"/>
        </w:rPr>
      </w:pPr>
    </w:p>
    <w:p w14:paraId="343D3DC2" w14:textId="77777777" w:rsidR="008862C7" w:rsidRDefault="008862C7" w:rsidP="008862C7">
      <w:pPr>
        <w:spacing w:before="120" w:after="0" w:line="360" w:lineRule="auto"/>
        <w:jc w:val="both"/>
        <w:rPr>
          <w:rFonts w:ascii="Arial" w:hAnsi="Arial" w:cs="Arial"/>
          <w:sz w:val="24"/>
          <w:szCs w:val="24"/>
        </w:rPr>
      </w:pPr>
    </w:p>
    <w:p w14:paraId="2C7715D7" w14:textId="77777777" w:rsidR="008862C7" w:rsidRDefault="008862C7" w:rsidP="008862C7">
      <w:pPr>
        <w:spacing w:before="120" w:after="0" w:line="360" w:lineRule="auto"/>
        <w:jc w:val="both"/>
        <w:rPr>
          <w:rFonts w:ascii="Arial" w:hAnsi="Arial" w:cs="Arial"/>
          <w:sz w:val="24"/>
          <w:szCs w:val="24"/>
        </w:rPr>
      </w:pPr>
    </w:p>
    <w:p w14:paraId="6F8DB531" w14:textId="77777777" w:rsidR="008862C7" w:rsidRDefault="008862C7" w:rsidP="008862C7">
      <w:pPr>
        <w:spacing w:before="120" w:after="0" w:line="360" w:lineRule="auto"/>
        <w:jc w:val="both"/>
        <w:rPr>
          <w:rFonts w:ascii="Arial" w:hAnsi="Arial" w:cs="Arial"/>
          <w:sz w:val="24"/>
          <w:szCs w:val="24"/>
        </w:rPr>
      </w:pPr>
    </w:p>
    <w:p w14:paraId="2A6CFBB5" w14:textId="77777777" w:rsidR="008862C7" w:rsidRDefault="008862C7" w:rsidP="008862C7">
      <w:pPr>
        <w:spacing w:before="120" w:after="0" w:line="360" w:lineRule="auto"/>
        <w:jc w:val="both"/>
        <w:rPr>
          <w:rFonts w:ascii="Arial" w:hAnsi="Arial" w:cs="Arial"/>
          <w:sz w:val="24"/>
          <w:szCs w:val="24"/>
        </w:rPr>
      </w:pPr>
    </w:p>
    <w:p w14:paraId="32011F9A" w14:textId="77777777" w:rsidR="008862C7" w:rsidRDefault="008862C7" w:rsidP="008862C7">
      <w:pPr>
        <w:spacing w:before="120" w:after="0" w:line="360" w:lineRule="auto"/>
        <w:jc w:val="both"/>
        <w:rPr>
          <w:rFonts w:ascii="Arial" w:hAnsi="Arial" w:cs="Arial"/>
          <w:sz w:val="24"/>
          <w:szCs w:val="24"/>
        </w:rPr>
      </w:pPr>
    </w:p>
    <w:p w14:paraId="70263068" w14:textId="77777777" w:rsidR="008862C7" w:rsidRDefault="008862C7" w:rsidP="008862C7">
      <w:pPr>
        <w:spacing w:before="120" w:after="0" w:line="360" w:lineRule="auto"/>
        <w:jc w:val="both"/>
        <w:rPr>
          <w:rFonts w:ascii="Arial" w:hAnsi="Arial" w:cs="Arial"/>
          <w:sz w:val="24"/>
          <w:szCs w:val="24"/>
        </w:rPr>
      </w:pPr>
    </w:p>
    <w:p w14:paraId="041C0158" w14:textId="77777777" w:rsidR="008862C7" w:rsidRDefault="008862C7" w:rsidP="008862C7">
      <w:pPr>
        <w:spacing w:before="120" w:after="0" w:line="360" w:lineRule="auto"/>
        <w:jc w:val="both"/>
        <w:rPr>
          <w:rFonts w:ascii="Arial" w:hAnsi="Arial" w:cs="Arial"/>
          <w:sz w:val="24"/>
          <w:szCs w:val="24"/>
        </w:rPr>
      </w:pPr>
    </w:p>
    <w:p w14:paraId="416C2E50" w14:textId="77777777" w:rsidR="008862C7" w:rsidRDefault="008862C7" w:rsidP="008862C7">
      <w:pPr>
        <w:spacing w:before="120" w:after="0" w:line="360" w:lineRule="auto"/>
        <w:jc w:val="both"/>
        <w:rPr>
          <w:rFonts w:ascii="Arial" w:hAnsi="Arial" w:cs="Arial"/>
          <w:sz w:val="24"/>
          <w:szCs w:val="24"/>
        </w:rPr>
      </w:pPr>
    </w:p>
    <w:p w14:paraId="6E398661" w14:textId="77777777" w:rsidR="008862C7" w:rsidRDefault="008862C7" w:rsidP="008862C7">
      <w:pPr>
        <w:spacing w:before="120" w:after="0" w:line="360" w:lineRule="auto"/>
        <w:jc w:val="both"/>
        <w:rPr>
          <w:rFonts w:ascii="Arial" w:hAnsi="Arial" w:cs="Arial"/>
          <w:sz w:val="24"/>
          <w:szCs w:val="24"/>
        </w:rPr>
      </w:pPr>
    </w:p>
    <w:p w14:paraId="2FE536D8" w14:textId="77777777" w:rsidR="008862C7" w:rsidRDefault="008862C7" w:rsidP="008862C7">
      <w:pPr>
        <w:spacing w:before="120" w:after="0" w:line="360" w:lineRule="auto"/>
        <w:jc w:val="both"/>
        <w:rPr>
          <w:rFonts w:ascii="Arial" w:hAnsi="Arial" w:cs="Arial"/>
          <w:sz w:val="24"/>
          <w:szCs w:val="24"/>
        </w:rPr>
      </w:pPr>
    </w:p>
    <w:p w14:paraId="0775BCD6"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L’analyse de la compétitivité économique d’un produit renvoie à la capacité de ce produit à supporter la concurrence sur un marché donné et cela dans le temps. Elle englobe les notions de la comparabilité, de la productivité, du dynamisme, et de la concurrence. Elle peut être appréhendée à différent niveau d’agrégation de la vie économique. On peut alors parler de la compétitivité d’une économie nationale, d’un secteur industriel, d’une filière-produit ou d’une entreprise quelconque. Ainsi elle est un concept flou dont les définitions et les modes d’analyse varient en fonction du niveau d’agrégation retenu. Toutefois, la compétitivité de la filière cotonnière centrafricaine peut être vue comme </w:t>
      </w:r>
      <w:r>
        <w:rPr>
          <w:rFonts w:ascii="Arial" w:hAnsi="Arial" w:cs="Arial"/>
          <w:sz w:val="24"/>
        </w:rPr>
        <w:t>étant la capacité de ce produit à faire face à la concurrence internationale et à accroître ses parts de marché tout en maintenant et en augmentant ses gains comparativement aux autres</w:t>
      </w:r>
      <w:r>
        <w:rPr>
          <w:rFonts w:ascii="Arial" w:hAnsi="Arial" w:cs="Arial"/>
          <w:sz w:val="24"/>
          <w:szCs w:val="24"/>
        </w:rPr>
        <w:t xml:space="preserve">. Analyser les déterminants de la compétitivité du coton centrafricain, revient donc à identifier dans quelles mesures et avec quels facteurs ses performances à l’exportation peuvent s’améliorer durablement. </w:t>
      </w:r>
    </w:p>
    <w:p w14:paraId="4ADA1257" w14:textId="77777777" w:rsidR="008862C7" w:rsidRDefault="008862C7" w:rsidP="008862C7">
      <w:pPr>
        <w:spacing w:before="120" w:after="0"/>
        <w:jc w:val="both"/>
        <w:rPr>
          <w:rFonts w:ascii="Arial" w:hAnsi="Arial" w:cs="Arial"/>
          <w:b/>
          <w:sz w:val="24"/>
          <w:szCs w:val="24"/>
        </w:rPr>
      </w:pPr>
      <w:r>
        <w:rPr>
          <w:rFonts w:ascii="Arial" w:hAnsi="Arial" w:cs="Arial"/>
          <w:b/>
          <w:sz w:val="24"/>
          <w:szCs w:val="24"/>
        </w:rPr>
        <w:t>1. Synthèse des principaux résultats</w:t>
      </w:r>
    </w:p>
    <w:p w14:paraId="2AFE8114"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Les résultats de nos travaux permettent de confirmer nos hypothèses selon lesquelles : les coûts des intrants agricoles et de la commercialisation interne constitueraient les principaux postes de dépenses dans la production et la commercialisation du coton centrafricain ; la compétitivité prix du coton centrafricain serait une fonction décroissante du coût des intrants et du transport tandis que la compétitivité structurelle serait une fonction croissante du respect des pratiques culturales, donc de la qualité du coton fibre et des politiques agricoles du gouvernement au sein de la filière.</w:t>
      </w:r>
    </w:p>
    <w:p w14:paraId="00AA9E35"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L’évolution de la situation sur le marché mondiale du coton et plus spécifiquement la situation des pays d’Afrique de l’ouest et du centre, révèle une évolution cyclique  de la production mondiale couplée avec des prix anormalement bas. Ce constat alarmant est pour beaucoup dans la perte des performances à l’exportation du coton centrafricain. Il ressort de cette étude que la filière cotonnière est organisée au tour de deux systèmes étroitement liés et dépendants l’un de l’autre : le système productif et le système de commercialisation. Au cœur du système productif se trouve l’exploitation agricole alors que la société cotonnière détient le système commercial. Ceci fait de ces deux, les principaux acteurs de la filière et tous les autres acteurs gravitent au tour d’eux. Toute fois, si la société cotonnière est tributaires des productions des exploitations cotonnières, ces dernières sont à l’inverse entièrement dépendantes de la société cotonnière en ce qui concerne la fourniture en semence, et en intrant chimique. </w:t>
      </w:r>
    </w:p>
    <w:p w14:paraId="2C8404BD"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L’analyse du système de gestion des moyens de  production des exploitations cotonnières centrafricaines révèle que des facteurs sociaux et des facteurs économiques influencent le mode </w:t>
      </w:r>
      <w:r>
        <w:rPr>
          <w:rFonts w:ascii="Arial" w:hAnsi="Arial" w:cs="Arial"/>
          <w:sz w:val="24"/>
          <w:szCs w:val="24"/>
        </w:rPr>
        <w:lastRenderedPageBreak/>
        <w:t>de gestion des moyens de production des exploitations cotonnières. La part relative de la superficie consacrée à la culture du coton représente 78% de la superficie totale des exploitants de 18 à 25 ans, 53% de ceux de 26 à 35 ans et 49% puis 58% respectivement pour ceux de 36 à 45 ans et de 46 ans et plus. De ces résultats, l’évolution de sa superficie cotonnière dans le total de superficies cultivées est fonction décroissante de l’âge de l’exploitant. L’étude du système de production montre la faiblesse de la main d’œuvre familiale (58% du temps de travail demandé) oblige les exploitations à recourir à la main d’œuvre extérieur (42%), sous différentes forme dont 30% pour la convocation (invitation), 7% pour salariat et 5% pour l’entraide. Les mains d’œuvres extérieurs convoqués sont reparties comme suit : 51% sont destinée au sarclage (sarclage et fumure), 29% à la préparation du sol (défrichage, endainage, brulis et labour), 15% aux récoltes et 5% aux semis.</w:t>
      </w:r>
    </w:p>
    <w:p w14:paraId="5FB683F3"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système de commercialisation est composé du système interne et du système externe. Le système interne est caractérisé par la faiblesse du revenu cotonnier des producteurs du coton dû au faible rendement  de la production et à la hausse des coûts de production. Le coût de transport demeure la principale contrainte à l’efficacité du système de commercialisation interne du coton centrafricain. En effet la société cotonnière octroie les intrants à crédit aux producteurs, achète toute la production et assure le transport et l’égrenage du coton graine. Les résultats montrent que ’éloignement des zones de production des usines, le mauvais état des infrastructures routières, l’absence des véhicules adaptés au transport et le prix des carburants sont à l’origine du coût élevé de transport du coton graine en République Centrafricaine. Ces révèlent donc que le coût de transport est le poste de dépense le plus élevé après le coût d’achat du coton graine dans le système interne.</w:t>
      </w:r>
    </w:p>
    <w:p w14:paraId="77F0FCF2"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Le système externe par sa structure présente une organisation relativement simple mais, trop dépondant des fluctuations du dollar et des cours du coton sur le marché mondial. En effet les résultats montrent que le coton qui était considéré comme "l'or blanc" de l'économie centrafricaine représentant un peu plus de 7 % des recettes à l'exportation en 2000 est aujourd’hui en chute libre avec moins de 1% des recettes d’exportation en 2005 et 0% en 2012. Les exportations cotonnières de la RCA ne cesse donc de décroitre conséquence de la crise cotonnière mondiale, du désengagement progressif de l’Etat de la filière et surtout des crises militaro-politique à répétitions que cannaient le pays. Mais, la reprise des activités depuis 2012 par la SDIC devrait permettre de redonner un nouveau souffle à la filière. Seulement la situation sécuritaire très dégradante dans le pays n’a pas permis la tenue de véritables compagnes pouvant permettre de vérifier les effets de ces investissements.</w:t>
      </w:r>
    </w:p>
    <w:p w14:paraId="7324B537"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lastRenderedPageBreak/>
        <w:t>L’analyse de la structure des coûts dans le système de commercialisation montre que le système interne représente 68% des coûts de commercialisation alors que le système externe ne représente que 17% des coûts. Les 15% restant sont attribués aux activités d’intermédiation entre les deux systèmes. D’autre part les résultats de l’analyse en terme de poste de dépense montrent que sur environ 740 F CFA/Kg de coût moyen de commercialisation en 2005/06, le prix d’achat du coton graine représente 27% des coûts, le transport  24% et 11% pour la main d’œuvre saisonnier et temporaire. Comparés à ces concurrents d’Afrique centrale notamment le Tchad et dans une certaine mesure le Cameroun, le coût de commercialisation en RCA est nettement supérieur. En effet, pendant la décennie, le prix aux producteurs en RCA a toujours été inferieur celui de ces concurrents. Néanmoins, n’empêche que ces derniers disposent  sur la période d’un prix de revient Fob inferieur à celui de la RCA.</w:t>
      </w:r>
    </w:p>
    <w:p w14:paraId="6248EEFF" w14:textId="77777777" w:rsidR="008862C7" w:rsidRDefault="008862C7" w:rsidP="008862C7">
      <w:pPr>
        <w:widowControl w:val="0"/>
        <w:autoSpaceDE w:val="0"/>
        <w:autoSpaceDN w:val="0"/>
        <w:adjustRightInd w:val="0"/>
        <w:spacing w:before="240" w:after="0" w:line="360" w:lineRule="auto"/>
        <w:ind w:right="86"/>
        <w:jc w:val="both"/>
        <w:rPr>
          <w:rFonts w:ascii="Arial" w:hAnsi="Arial" w:cs="Arial"/>
          <w:sz w:val="24"/>
          <w:szCs w:val="24"/>
        </w:rPr>
      </w:pPr>
      <w:r>
        <w:rPr>
          <w:rFonts w:ascii="Arial" w:hAnsi="Arial" w:cs="Arial"/>
          <w:sz w:val="24"/>
          <w:szCs w:val="24"/>
        </w:rPr>
        <w:t xml:space="preserve">L’étude des déterminants de la compétitivité du coton centrafricain, révèle que la Centrafrique est beaucoup plus défavorisée par les facteurs externes de la compétitivité que les facteurs internes. Le taux de change Euro/$ US, les coûts de transport à l’international et les conditions du marché international impactent négativement les performances à l’exportation du coton de la Centrafricain. </w:t>
      </w:r>
      <w:r>
        <w:rPr>
          <w:rFonts w:ascii="Arial" w:hAnsi="Arial" w:cs="Arial"/>
          <w:spacing w:val="1"/>
          <w:sz w:val="24"/>
          <w:szCs w:val="24"/>
        </w:rPr>
        <w:t>Les résultats du modèle économétrique montrent q</w:t>
      </w:r>
      <w:r>
        <w:rPr>
          <w:rFonts w:ascii="Arial" w:hAnsi="Arial" w:cs="Arial"/>
          <w:sz w:val="24"/>
          <w:szCs w:val="24"/>
        </w:rPr>
        <w:t>ue</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c</w:t>
      </w:r>
      <w:r>
        <w:rPr>
          <w:rFonts w:ascii="Arial" w:hAnsi="Arial" w:cs="Arial"/>
          <w:sz w:val="24"/>
          <w:szCs w:val="24"/>
        </w:rPr>
        <w:t>oe</w:t>
      </w:r>
      <w:r>
        <w:rPr>
          <w:rFonts w:ascii="Arial" w:hAnsi="Arial" w:cs="Arial"/>
          <w:spacing w:val="-1"/>
          <w:sz w:val="24"/>
          <w:szCs w:val="24"/>
        </w:rPr>
        <w:t>ff</w:t>
      </w:r>
      <w:r>
        <w:rPr>
          <w:rFonts w:ascii="Arial" w:hAnsi="Arial" w:cs="Arial"/>
          <w:spacing w:val="1"/>
          <w:sz w:val="24"/>
          <w:szCs w:val="24"/>
        </w:rPr>
        <w:t>i</w:t>
      </w:r>
      <w:r>
        <w:rPr>
          <w:rFonts w:ascii="Arial" w:hAnsi="Arial" w:cs="Arial"/>
          <w:spacing w:val="-1"/>
          <w:sz w:val="24"/>
          <w:szCs w:val="24"/>
        </w:rPr>
        <w:t>c</w:t>
      </w:r>
      <w:r>
        <w:rPr>
          <w:rFonts w:ascii="Arial" w:hAnsi="Arial" w:cs="Arial"/>
          <w:spacing w:val="4"/>
          <w:sz w:val="24"/>
          <w:szCs w:val="24"/>
        </w:rPr>
        <w:t>i</w:t>
      </w:r>
      <w:r>
        <w:rPr>
          <w:rFonts w:ascii="Arial" w:hAnsi="Arial" w:cs="Arial"/>
          <w:sz w:val="24"/>
          <w:szCs w:val="24"/>
        </w:rPr>
        <w:t>ents</w:t>
      </w:r>
      <w:r>
        <w:rPr>
          <w:rFonts w:ascii="Arial" w:hAnsi="Arial" w:cs="Arial"/>
          <w:spacing w:val="-6"/>
          <w:sz w:val="24"/>
          <w:szCs w:val="24"/>
        </w:rPr>
        <w:t xml:space="preserve"> </w:t>
      </w:r>
      <w:r>
        <w:rPr>
          <w:rFonts w:ascii="Arial" w:hAnsi="Arial" w:cs="Arial"/>
          <w:sz w:val="24"/>
          <w:szCs w:val="24"/>
        </w:rPr>
        <w:t>ont</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1"/>
          <w:sz w:val="24"/>
          <w:szCs w:val="24"/>
        </w:rPr>
        <w:t xml:space="preserve"> s</w:t>
      </w:r>
      <w:r>
        <w:rPr>
          <w:rFonts w:ascii="Arial" w:hAnsi="Arial" w:cs="Arial"/>
          <w:spacing w:val="1"/>
          <w:sz w:val="24"/>
          <w:szCs w:val="24"/>
        </w:rPr>
        <w:t>ig</w:t>
      </w:r>
      <w:r>
        <w:rPr>
          <w:rFonts w:ascii="Arial" w:hAnsi="Arial" w:cs="Arial"/>
          <w:sz w:val="24"/>
          <w:szCs w:val="24"/>
        </w:rPr>
        <w:t>nes</w:t>
      </w:r>
      <w:r>
        <w:rPr>
          <w:rFonts w:ascii="Arial" w:hAnsi="Arial" w:cs="Arial"/>
          <w:spacing w:val="-2"/>
          <w:sz w:val="24"/>
          <w:szCs w:val="24"/>
        </w:rPr>
        <w:t xml:space="preserve"> </w:t>
      </w:r>
      <w:r>
        <w:rPr>
          <w:rFonts w:ascii="Arial" w:hAnsi="Arial" w:cs="Arial"/>
          <w:spacing w:val="1"/>
          <w:sz w:val="24"/>
          <w:szCs w:val="24"/>
        </w:rPr>
        <w:t>attendus à l’</w:t>
      </w:r>
      <w:r>
        <w:rPr>
          <w:rFonts w:ascii="Arial" w:hAnsi="Arial" w:cs="Arial"/>
          <w:spacing w:val="-1"/>
          <w:sz w:val="24"/>
          <w:szCs w:val="24"/>
        </w:rPr>
        <w:t>exception de variable log</w:t>
      </w:r>
      <w:r>
        <w:rPr>
          <w:rFonts w:ascii="Arial" w:hAnsi="Arial" w:cs="Arial"/>
          <w:spacing w:val="1"/>
          <w:sz w:val="24"/>
          <w:szCs w:val="24"/>
        </w:rPr>
        <w:t>ID</w:t>
      </w:r>
      <w:r>
        <w:rPr>
          <w:rFonts w:ascii="Arial" w:hAnsi="Arial" w:cs="Arial"/>
          <w:sz w:val="24"/>
          <w:szCs w:val="24"/>
        </w:rPr>
        <w:t>E</w:t>
      </w:r>
      <w:r>
        <w:rPr>
          <w:rFonts w:ascii="Arial" w:hAnsi="Arial" w:cs="Arial"/>
          <w:spacing w:val="6"/>
          <w:sz w:val="24"/>
          <w:szCs w:val="24"/>
        </w:rPr>
        <w:t xml:space="preserve"> qui a le signe attendu mais </w:t>
      </w:r>
      <w:r>
        <w:rPr>
          <w:rFonts w:ascii="Arial" w:hAnsi="Arial" w:cs="Arial"/>
          <w:spacing w:val="1"/>
          <w:sz w:val="24"/>
          <w:szCs w:val="24"/>
        </w:rPr>
        <w:t xml:space="preserve">dont la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ivité</w:t>
      </w:r>
      <w:r>
        <w:rPr>
          <w:rFonts w:ascii="Arial" w:hAnsi="Arial" w:cs="Arial"/>
          <w:sz w:val="24"/>
          <w:szCs w:val="24"/>
        </w:rPr>
        <w:t xml:space="preserve"> e</w:t>
      </w:r>
      <w:r>
        <w:rPr>
          <w:rFonts w:ascii="Arial" w:hAnsi="Arial" w:cs="Arial"/>
          <w:spacing w:val="-1"/>
          <w:sz w:val="24"/>
          <w:szCs w:val="24"/>
        </w:rPr>
        <w:t>s</w:t>
      </w:r>
      <w:r>
        <w:rPr>
          <w:rFonts w:ascii="Arial" w:hAnsi="Arial" w:cs="Arial"/>
          <w:sz w:val="24"/>
          <w:szCs w:val="24"/>
        </w:rPr>
        <w:t>t</w:t>
      </w:r>
      <w:r>
        <w:rPr>
          <w:rFonts w:ascii="Arial" w:hAnsi="Arial" w:cs="Arial"/>
          <w:spacing w:val="8"/>
          <w:sz w:val="24"/>
          <w:szCs w:val="24"/>
        </w:rPr>
        <w:t xml:space="preserve"> négligeable</w:t>
      </w:r>
      <w:r>
        <w:rPr>
          <w:rFonts w:ascii="Arial" w:hAnsi="Arial" w:cs="Arial"/>
          <w:sz w:val="24"/>
          <w:szCs w:val="24"/>
        </w:rPr>
        <w:t>.</w:t>
      </w:r>
    </w:p>
    <w:p w14:paraId="23059BC2" w14:textId="77777777" w:rsidR="008862C7" w:rsidRDefault="008862C7" w:rsidP="008862C7">
      <w:pPr>
        <w:widowControl w:val="0"/>
        <w:autoSpaceDE w:val="0"/>
        <w:autoSpaceDN w:val="0"/>
        <w:adjustRightInd w:val="0"/>
        <w:spacing w:before="240" w:after="0" w:line="360" w:lineRule="auto"/>
        <w:ind w:right="86"/>
        <w:jc w:val="both"/>
        <w:rPr>
          <w:rFonts w:ascii="Arial" w:hAnsi="Arial" w:cs="Arial"/>
          <w:sz w:val="24"/>
          <w:szCs w:val="24"/>
        </w:rPr>
      </w:pPr>
      <w:r>
        <w:rPr>
          <w:rFonts w:ascii="Arial" w:hAnsi="Arial" w:cs="Arial"/>
          <w:sz w:val="24"/>
          <w:szCs w:val="24"/>
        </w:rPr>
        <w:t>En effet selon la théorie économique, l’accroissement de l’IDE est source de compétitivité structurelle par le transfert de technologie qu’elle apporte. Ainsi cette apparente contradiction dans les résultats empirique peut se justifier par le fait que sur les trente dernières années il n’y a pas eu de véritables accroissements de flux d’IDE dans la filière. Le flux des IDE sur la période n’est pas stable et continu, ainsi la  discontinuité des investissements ce qui empêche les quelques flux d’IDE dirigé vers le pays de produire les effets prévus par la théorie.</w:t>
      </w:r>
    </w:p>
    <w:p w14:paraId="29352344" w14:textId="77777777" w:rsidR="008862C7" w:rsidRDefault="008862C7" w:rsidP="008862C7">
      <w:pPr>
        <w:widowControl w:val="0"/>
        <w:autoSpaceDE w:val="0"/>
        <w:autoSpaceDN w:val="0"/>
        <w:adjustRightInd w:val="0"/>
        <w:spacing w:before="240" w:after="0" w:line="360" w:lineRule="auto"/>
        <w:ind w:right="86"/>
        <w:jc w:val="both"/>
        <w:rPr>
          <w:rFonts w:ascii="Arial" w:hAnsi="Arial" w:cs="Arial"/>
          <w:sz w:val="24"/>
          <w:szCs w:val="24"/>
        </w:rPr>
      </w:pPr>
      <w:r>
        <w:rPr>
          <w:rFonts w:ascii="Arial" w:hAnsi="Arial" w:cs="Arial"/>
          <w:spacing w:val="1"/>
          <w:sz w:val="24"/>
          <w:szCs w:val="24"/>
        </w:rPr>
        <w:t>L</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7"/>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6"/>
          <w:sz w:val="24"/>
          <w:szCs w:val="24"/>
        </w:rPr>
        <w:t xml:space="preserve"> </w:t>
      </w:r>
      <w:r>
        <w:rPr>
          <w:rFonts w:ascii="Arial" w:hAnsi="Arial" w:cs="Arial"/>
          <w:spacing w:val="-1"/>
          <w:sz w:val="24"/>
          <w:szCs w:val="24"/>
        </w:rPr>
        <w:t>c</w:t>
      </w:r>
      <w:r>
        <w:rPr>
          <w:rFonts w:ascii="Arial" w:hAnsi="Arial" w:cs="Arial"/>
          <w:sz w:val="24"/>
          <w:szCs w:val="24"/>
        </w:rPr>
        <w:t>oton (PMC),</w:t>
      </w:r>
      <w:r>
        <w:rPr>
          <w:rFonts w:ascii="Arial" w:hAnsi="Arial" w:cs="Arial"/>
          <w:spacing w:val="7"/>
          <w:sz w:val="24"/>
          <w:szCs w:val="24"/>
        </w:rPr>
        <w:t xml:space="preserve"> la qualité de coton fibre (QUA),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w:t>
      </w:r>
      <w:r>
        <w:rPr>
          <w:rFonts w:ascii="Arial" w:hAnsi="Arial" w:cs="Arial"/>
          <w:spacing w:val="-2"/>
          <w:sz w:val="24"/>
          <w:szCs w:val="24"/>
        </w:rPr>
        <w:t>t</w:t>
      </w:r>
      <w:r>
        <w:rPr>
          <w:rFonts w:ascii="Arial" w:hAnsi="Arial" w:cs="Arial"/>
          <w:spacing w:val="1"/>
          <w:sz w:val="24"/>
          <w:szCs w:val="24"/>
        </w:rPr>
        <w:t>ag</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 (ACR)</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a</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 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w:t>
      </w:r>
      <w:r>
        <w:rPr>
          <w:rFonts w:ascii="Arial" w:hAnsi="Arial" w:cs="Arial"/>
          <w:spacing w:val="3"/>
          <w:sz w:val="24"/>
          <w:szCs w:val="24"/>
        </w:rPr>
        <w:t xml:space="preserve"> (CON) </w:t>
      </w:r>
      <w:r>
        <w:rPr>
          <w:rFonts w:ascii="Arial" w:hAnsi="Arial" w:cs="Arial"/>
          <w:sz w:val="24"/>
          <w:szCs w:val="24"/>
        </w:rPr>
        <w:t>et</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es su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ons (SUBV)</w:t>
      </w:r>
      <w:r>
        <w:rPr>
          <w:rFonts w:ascii="Arial" w:hAnsi="Arial" w:cs="Arial"/>
          <w:spacing w:val="-3"/>
          <w:sz w:val="24"/>
          <w:szCs w:val="24"/>
        </w:rPr>
        <w:t xml:space="preserve"> se </w:t>
      </w:r>
      <w:r>
        <w:rPr>
          <w:rFonts w:ascii="Arial" w:hAnsi="Arial" w:cs="Arial"/>
          <w:spacing w:val="-1"/>
          <w:sz w:val="24"/>
          <w:szCs w:val="24"/>
        </w:rPr>
        <w:t>s</w:t>
      </w:r>
      <w:r>
        <w:rPr>
          <w:rFonts w:ascii="Arial" w:hAnsi="Arial" w:cs="Arial"/>
          <w:sz w:val="24"/>
          <w:szCs w:val="24"/>
        </w:rPr>
        <w:t>ont révélés</w:t>
      </w:r>
      <w:r>
        <w:rPr>
          <w:rFonts w:ascii="Arial" w:hAnsi="Arial" w:cs="Arial"/>
          <w:spacing w:val="5"/>
          <w:sz w:val="24"/>
          <w:szCs w:val="24"/>
        </w:rPr>
        <w:t xml:space="preserve"> </w:t>
      </w:r>
      <w:r>
        <w:rPr>
          <w:rFonts w:ascii="Arial" w:hAnsi="Arial" w:cs="Arial"/>
          <w:spacing w:val="-1"/>
          <w:sz w:val="24"/>
          <w:szCs w:val="24"/>
        </w:rPr>
        <w:t>s</w:t>
      </w:r>
      <w:r>
        <w:rPr>
          <w:rFonts w:ascii="Arial" w:hAnsi="Arial" w:cs="Arial"/>
          <w:spacing w:val="1"/>
          <w:sz w:val="24"/>
          <w:szCs w:val="24"/>
        </w:rPr>
        <w:t>ig</w:t>
      </w:r>
      <w:r>
        <w:rPr>
          <w:rFonts w:ascii="Arial" w:hAnsi="Arial" w:cs="Arial"/>
          <w:sz w:val="24"/>
          <w:szCs w:val="24"/>
        </w:rPr>
        <w:t>n</w:t>
      </w:r>
      <w:r>
        <w:rPr>
          <w:rFonts w:ascii="Arial" w:hAnsi="Arial" w:cs="Arial"/>
          <w:spacing w:val="1"/>
          <w:sz w:val="24"/>
          <w:szCs w:val="24"/>
        </w:rPr>
        <w:t>i</w:t>
      </w:r>
      <w:r>
        <w:rPr>
          <w:rFonts w:ascii="Arial" w:hAnsi="Arial" w:cs="Arial"/>
          <w:spacing w:val="-1"/>
          <w:sz w:val="24"/>
          <w:szCs w:val="24"/>
        </w:rPr>
        <w:t>f</w:t>
      </w:r>
      <w:r>
        <w:rPr>
          <w:rFonts w:ascii="Arial" w:hAnsi="Arial" w:cs="Arial"/>
          <w:spacing w:val="1"/>
          <w:sz w:val="24"/>
          <w:szCs w:val="24"/>
        </w:rPr>
        <w:t>i</w:t>
      </w:r>
      <w:r>
        <w:rPr>
          <w:rFonts w:ascii="Arial" w:hAnsi="Arial" w:cs="Arial"/>
          <w:spacing w:val="-1"/>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fs</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A l’opposé l</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s</w:t>
      </w:r>
      <w:r>
        <w:rPr>
          <w:rFonts w:ascii="Arial" w:hAnsi="Arial" w:cs="Arial"/>
          <w:spacing w:val="1"/>
          <w:sz w:val="24"/>
          <w:szCs w:val="24"/>
        </w:rPr>
        <w:t>y</w:t>
      </w:r>
      <w:r>
        <w:rPr>
          <w:rFonts w:ascii="Arial" w:hAnsi="Arial" w:cs="Arial"/>
          <w:sz w:val="24"/>
          <w:szCs w:val="24"/>
        </w:rPr>
        <w:t>nthét</w:t>
      </w:r>
      <w:r>
        <w:rPr>
          <w:rFonts w:ascii="Arial" w:hAnsi="Arial" w:cs="Arial"/>
          <w:spacing w:val="1"/>
          <w:sz w:val="24"/>
          <w:szCs w:val="24"/>
        </w:rPr>
        <w:t>iq</w:t>
      </w:r>
      <w:r>
        <w:rPr>
          <w:rFonts w:ascii="Arial" w:hAnsi="Arial" w:cs="Arial"/>
          <w:sz w:val="24"/>
          <w:szCs w:val="24"/>
        </w:rPr>
        <w:t>ue</w:t>
      </w:r>
      <w:r>
        <w:rPr>
          <w:rFonts w:ascii="Arial" w:hAnsi="Arial" w:cs="Arial"/>
          <w:spacing w:val="-1"/>
          <w:sz w:val="24"/>
          <w:szCs w:val="24"/>
        </w:rPr>
        <w:t>s (PFS)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 xml:space="preserve">e effectif </w:t>
      </w:r>
      <w:r>
        <w:rPr>
          <w:rFonts w:ascii="Arial" w:hAnsi="Arial" w:cs="Arial"/>
          <w:spacing w:val="-1"/>
          <w:sz w:val="24"/>
          <w:szCs w:val="24"/>
        </w:rPr>
        <w:t>r</w:t>
      </w:r>
      <w:r>
        <w:rPr>
          <w:rFonts w:ascii="Arial" w:hAnsi="Arial" w:cs="Arial"/>
          <w:sz w:val="24"/>
          <w:szCs w:val="24"/>
        </w:rPr>
        <w:t xml:space="preserve">éel (TCER), </w:t>
      </w:r>
      <w:r>
        <w:rPr>
          <w:rFonts w:ascii="Arial" w:hAnsi="Arial" w:cs="Arial"/>
          <w:spacing w:val="1"/>
          <w:sz w:val="24"/>
          <w:szCs w:val="24"/>
        </w:rPr>
        <w:t>l</w:t>
      </w:r>
      <w:r>
        <w:rPr>
          <w:rFonts w:ascii="Arial" w:hAnsi="Arial" w:cs="Arial"/>
          <w:sz w:val="24"/>
          <w:szCs w:val="24"/>
        </w:rPr>
        <w:t>a</w:t>
      </w:r>
      <w:r>
        <w:rPr>
          <w:rFonts w:ascii="Arial" w:hAnsi="Arial" w:cs="Arial"/>
          <w:spacing w:val="11"/>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 (DIST) et le tarif douanier (TAR)</w:t>
      </w:r>
      <w:r>
        <w:rPr>
          <w:rFonts w:ascii="Arial" w:hAnsi="Arial" w:cs="Arial"/>
          <w:spacing w:val="6"/>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ont</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s</w:t>
      </w:r>
      <w:r>
        <w:rPr>
          <w:rFonts w:ascii="Arial" w:hAnsi="Arial" w:cs="Arial"/>
          <w:spacing w:val="8"/>
          <w:sz w:val="24"/>
          <w:szCs w:val="24"/>
        </w:rPr>
        <w:t xml:space="preserve"> une grande </w:t>
      </w:r>
      <w:r>
        <w:rPr>
          <w:rFonts w:ascii="Arial" w:hAnsi="Arial" w:cs="Arial"/>
          <w:spacing w:val="-1"/>
          <w:sz w:val="24"/>
          <w:szCs w:val="24"/>
        </w:rPr>
        <w:t>s</w:t>
      </w:r>
      <w:r>
        <w:rPr>
          <w:rFonts w:ascii="Arial" w:hAnsi="Arial" w:cs="Arial"/>
          <w:spacing w:val="1"/>
          <w:sz w:val="24"/>
          <w:szCs w:val="24"/>
        </w:rPr>
        <w:t>ig</w:t>
      </w:r>
      <w:r>
        <w:rPr>
          <w:rFonts w:ascii="Arial" w:hAnsi="Arial" w:cs="Arial"/>
          <w:spacing w:val="-2"/>
          <w:sz w:val="24"/>
          <w:szCs w:val="24"/>
        </w:rPr>
        <w:t>n</w:t>
      </w:r>
      <w:r>
        <w:rPr>
          <w:rFonts w:ascii="Arial" w:hAnsi="Arial" w:cs="Arial"/>
          <w:spacing w:val="1"/>
          <w:sz w:val="24"/>
          <w:szCs w:val="24"/>
        </w:rPr>
        <w:t>i</w:t>
      </w:r>
      <w:r>
        <w:rPr>
          <w:rFonts w:ascii="Arial" w:hAnsi="Arial" w:cs="Arial"/>
          <w:spacing w:val="-1"/>
          <w:sz w:val="24"/>
          <w:szCs w:val="24"/>
        </w:rPr>
        <w:t>fic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ivité dans l</w:t>
      </w:r>
      <w:r>
        <w:rPr>
          <w:rFonts w:ascii="Arial" w:hAnsi="Arial" w:cs="Arial"/>
          <w:spacing w:val="-1"/>
          <w:sz w:val="24"/>
          <w:szCs w:val="24"/>
        </w:rPr>
        <w:t>’</w:t>
      </w:r>
      <w:r>
        <w:rPr>
          <w:rFonts w:ascii="Arial" w:hAnsi="Arial" w:cs="Arial"/>
          <w:sz w:val="24"/>
          <w:szCs w:val="24"/>
        </w:rPr>
        <w:t>e</w:t>
      </w:r>
      <w:r>
        <w:rPr>
          <w:rFonts w:ascii="Arial" w:hAnsi="Arial" w:cs="Arial"/>
          <w:spacing w:val="-1"/>
          <w:sz w:val="24"/>
          <w:szCs w:val="24"/>
        </w:rPr>
        <w:t>ff</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6"/>
          <w:sz w:val="24"/>
          <w:szCs w:val="24"/>
        </w:rPr>
        <w:t xml:space="preserve"> </w:t>
      </w:r>
      <w:r>
        <w:rPr>
          <w:rFonts w:ascii="Arial" w:hAnsi="Arial" w:cs="Arial"/>
          <w:sz w:val="24"/>
          <w:szCs w:val="24"/>
        </w:rPr>
        <w:t>à</w:t>
      </w:r>
      <w:r>
        <w:rPr>
          <w:rFonts w:ascii="Arial" w:hAnsi="Arial" w:cs="Arial"/>
          <w:spacing w:val="11"/>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 du coton centrafricain.</w:t>
      </w:r>
      <w:r>
        <w:rPr>
          <w:rFonts w:ascii="Arial" w:hAnsi="Arial" w:cs="Arial"/>
          <w:spacing w:val="2"/>
          <w:sz w:val="24"/>
          <w:szCs w:val="24"/>
        </w:rPr>
        <w:t xml:space="preserve"> Nous avons alors obtenu qu</w:t>
      </w:r>
      <w:r>
        <w:rPr>
          <w:rFonts w:ascii="Arial" w:hAnsi="Arial" w:cs="Arial"/>
          <w:sz w:val="24"/>
          <w:szCs w:val="24"/>
        </w:rPr>
        <w:t>’une</w:t>
      </w:r>
      <w:r>
        <w:rPr>
          <w:rFonts w:ascii="Arial" w:hAnsi="Arial" w:cs="Arial"/>
          <w:spacing w:val="9"/>
          <w:sz w:val="24"/>
          <w:szCs w:val="24"/>
        </w:rPr>
        <w:t xml:space="preserve"> </w:t>
      </w:r>
      <w:r>
        <w:rPr>
          <w:rFonts w:ascii="Arial" w:hAnsi="Arial" w:cs="Arial"/>
          <w:spacing w:val="1"/>
          <w:sz w:val="24"/>
          <w:szCs w:val="24"/>
        </w:rPr>
        <w:t>a</w:t>
      </w:r>
      <w:r>
        <w:rPr>
          <w:rFonts w:ascii="Arial" w:hAnsi="Arial" w:cs="Arial"/>
          <w:sz w:val="24"/>
          <w:szCs w:val="24"/>
        </w:rPr>
        <w:t>u</w:t>
      </w:r>
      <w:r>
        <w:rPr>
          <w:rFonts w:ascii="Arial" w:hAnsi="Arial" w:cs="Arial"/>
          <w:spacing w:val="1"/>
          <w:sz w:val="24"/>
          <w:szCs w:val="24"/>
        </w:rPr>
        <w:t>g</w:t>
      </w:r>
      <w:r>
        <w:rPr>
          <w:rFonts w:ascii="Arial" w:hAnsi="Arial" w:cs="Arial"/>
          <w:sz w:val="24"/>
          <w:szCs w:val="24"/>
        </w:rPr>
        <w:t>ment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 xml:space="preserve">on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l’ordre de </w:t>
      </w:r>
      <w:r>
        <w:rPr>
          <w:rFonts w:ascii="Arial" w:hAnsi="Arial" w:cs="Arial"/>
          <w:spacing w:val="1"/>
          <w:sz w:val="24"/>
          <w:szCs w:val="24"/>
        </w:rPr>
        <w:t>10</w:t>
      </w:r>
      <w:r>
        <w:rPr>
          <w:rFonts w:ascii="Arial" w:hAnsi="Arial" w:cs="Arial"/>
          <w:sz w:val="24"/>
          <w:szCs w:val="24"/>
        </w:rPr>
        <w:t>%</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pr</w:t>
      </w:r>
      <w:r>
        <w:rPr>
          <w:rFonts w:ascii="Arial" w:hAnsi="Arial" w:cs="Arial"/>
          <w:spacing w:val="4"/>
          <w:sz w:val="24"/>
          <w:szCs w:val="24"/>
        </w:rPr>
        <w:t>i</w:t>
      </w:r>
      <w:r>
        <w:rPr>
          <w:rFonts w:ascii="Arial" w:hAnsi="Arial" w:cs="Arial"/>
          <w:sz w:val="24"/>
          <w:szCs w:val="24"/>
        </w:rPr>
        <w:t>x</w:t>
      </w:r>
      <w:r>
        <w:rPr>
          <w:rFonts w:ascii="Arial" w:hAnsi="Arial" w:cs="Arial"/>
          <w:spacing w:val="9"/>
          <w:sz w:val="24"/>
          <w:szCs w:val="24"/>
        </w:rPr>
        <w:t xml:space="preserve"> </w:t>
      </w:r>
      <w:r>
        <w:rPr>
          <w:rFonts w:ascii="Arial" w:hAnsi="Arial" w:cs="Arial"/>
          <w:sz w:val="24"/>
          <w:szCs w:val="24"/>
        </w:rPr>
        <w:t>mon</w:t>
      </w:r>
      <w:r>
        <w:rPr>
          <w:rFonts w:ascii="Arial" w:hAnsi="Arial" w:cs="Arial"/>
          <w:spacing w:val="-1"/>
          <w:sz w:val="24"/>
          <w:szCs w:val="24"/>
        </w:rPr>
        <w:t>d</w:t>
      </w:r>
      <w:r>
        <w:rPr>
          <w:rFonts w:ascii="Arial" w:hAnsi="Arial" w:cs="Arial"/>
          <w:spacing w:val="1"/>
          <w:sz w:val="24"/>
          <w:szCs w:val="24"/>
        </w:rPr>
        <w:t>ia</w:t>
      </w:r>
      <w:r>
        <w:rPr>
          <w:rFonts w:ascii="Arial" w:hAnsi="Arial" w:cs="Arial"/>
          <w:sz w:val="24"/>
          <w:szCs w:val="24"/>
        </w:rPr>
        <w:t>l</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u</w:t>
      </w:r>
      <w:r>
        <w:rPr>
          <w:rFonts w:ascii="Arial" w:hAnsi="Arial" w:cs="Arial"/>
          <w:spacing w:val="9"/>
          <w:sz w:val="24"/>
          <w:szCs w:val="24"/>
        </w:rPr>
        <w:t xml:space="preserve"> </w:t>
      </w:r>
      <w:r>
        <w:rPr>
          <w:rFonts w:ascii="Arial" w:hAnsi="Arial" w:cs="Arial"/>
          <w:spacing w:val="-1"/>
          <w:sz w:val="24"/>
          <w:szCs w:val="24"/>
        </w:rPr>
        <w:t>c</w:t>
      </w:r>
      <w:r>
        <w:rPr>
          <w:rFonts w:ascii="Arial" w:hAnsi="Arial" w:cs="Arial"/>
          <w:sz w:val="24"/>
          <w:szCs w:val="24"/>
        </w:rPr>
        <w:t>oton</w:t>
      </w:r>
      <w:r>
        <w:rPr>
          <w:rFonts w:ascii="Arial" w:hAnsi="Arial" w:cs="Arial"/>
          <w:spacing w:val="7"/>
          <w:sz w:val="24"/>
          <w:szCs w:val="24"/>
        </w:rPr>
        <w:t xml:space="preserve"> </w:t>
      </w:r>
      <w:r>
        <w:rPr>
          <w:rFonts w:ascii="Arial" w:hAnsi="Arial" w:cs="Arial"/>
          <w:sz w:val="24"/>
          <w:szCs w:val="24"/>
        </w:rPr>
        <w:t xml:space="preserve">ou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nt</w:t>
      </w:r>
      <w:r>
        <w:rPr>
          <w:rFonts w:ascii="Arial" w:hAnsi="Arial" w:cs="Arial"/>
          <w:spacing w:val="1"/>
          <w:sz w:val="24"/>
          <w:szCs w:val="24"/>
        </w:rPr>
        <w:t>ag</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w:t>
      </w:r>
      <w:r>
        <w:rPr>
          <w:rFonts w:ascii="Arial" w:hAnsi="Arial" w:cs="Arial"/>
          <w:spacing w:val="7"/>
          <w:sz w:val="24"/>
          <w:szCs w:val="24"/>
        </w:rPr>
        <w:t xml:space="preserve"> </w:t>
      </w:r>
      <w:r>
        <w:rPr>
          <w:rFonts w:ascii="Arial" w:hAnsi="Arial" w:cs="Arial"/>
          <w:spacing w:val="1"/>
          <w:sz w:val="24"/>
          <w:szCs w:val="24"/>
        </w:rPr>
        <w:t>i</w:t>
      </w:r>
      <w:r>
        <w:rPr>
          <w:rFonts w:ascii="Arial" w:hAnsi="Arial" w:cs="Arial"/>
          <w:spacing w:val="-2"/>
          <w:sz w:val="24"/>
          <w:szCs w:val="24"/>
        </w:rPr>
        <w:t>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c</w:t>
      </w:r>
      <w:r>
        <w:rPr>
          <w:rFonts w:ascii="Arial" w:hAnsi="Arial" w:cs="Arial"/>
          <w:sz w:val="24"/>
          <w:szCs w:val="24"/>
        </w:rPr>
        <w:t>t</w:t>
      </w:r>
      <w:r>
        <w:rPr>
          <w:rFonts w:ascii="Arial" w:hAnsi="Arial" w:cs="Arial"/>
          <w:spacing w:val="6"/>
          <w:sz w:val="24"/>
          <w:szCs w:val="24"/>
        </w:rPr>
        <w:t xml:space="preserve"> </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s</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iv</w:t>
      </w:r>
      <w:r>
        <w:rPr>
          <w:rFonts w:ascii="Arial" w:hAnsi="Arial" w:cs="Arial"/>
          <w:sz w:val="24"/>
          <w:szCs w:val="24"/>
        </w:rPr>
        <w:t>ement</w:t>
      </w:r>
      <w:r>
        <w:rPr>
          <w:rFonts w:ascii="Arial" w:hAnsi="Arial" w:cs="Arial"/>
          <w:spacing w:val="1"/>
          <w:sz w:val="24"/>
          <w:szCs w:val="24"/>
        </w:rPr>
        <w:t xml:space="preserve"> l</w:t>
      </w:r>
      <w:r>
        <w:rPr>
          <w:rFonts w:ascii="Arial" w:hAnsi="Arial" w:cs="Arial"/>
          <w:sz w:val="24"/>
          <w:szCs w:val="24"/>
        </w:rPr>
        <w:t>es</w:t>
      </w:r>
      <w:r>
        <w:rPr>
          <w:rFonts w:ascii="Arial" w:hAnsi="Arial" w:cs="Arial"/>
          <w:spacing w:val="9"/>
          <w:sz w:val="24"/>
          <w:szCs w:val="24"/>
        </w:rPr>
        <w:t xml:space="preserve"> </w:t>
      </w:r>
      <w:r>
        <w:rPr>
          <w:rFonts w:ascii="Arial" w:hAnsi="Arial" w:cs="Arial"/>
          <w:sz w:val="24"/>
          <w:szCs w:val="24"/>
        </w:rPr>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sp</w:t>
      </w:r>
      <w:r>
        <w:rPr>
          <w:rFonts w:ascii="Arial" w:hAnsi="Arial" w:cs="Arial"/>
          <w:spacing w:val="2"/>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9"/>
          <w:sz w:val="24"/>
          <w:szCs w:val="24"/>
        </w:rPr>
        <w:t xml:space="preserve"> </w:t>
      </w:r>
      <w:r>
        <w:rPr>
          <w:rFonts w:ascii="Arial" w:hAnsi="Arial" w:cs="Arial"/>
          <w:spacing w:val="1"/>
          <w:sz w:val="24"/>
          <w:szCs w:val="24"/>
        </w:rPr>
        <w:t>6.14</w:t>
      </w:r>
      <w:r>
        <w:rPr>
          <w:rFonts w:ascii="Arial" w:hAnsi="Arial" w:cs="Arial"/>
          <w:sz w:val="24"/>
          <w:szCs w:val="24"/>
        </w:rPr>
        <w:t>% et</w:t>
      </w:r>
      <w:r>
        <w:rPr>
          <w:rFonts w:ascii="Arial" w:hAnsi="Arial" w:cs="Arial"/>
          <w:spacing w:val="6"/>
          <w:sz w:val="24"/>
          <w:szCs w:val="24"/>
        </w:rPr>
        <w:t xml:space="preserve"> </w:t>
      </w:r>
      <w:r>
        <w:rPr>
          <w:rFonts w:ascii="Arial" w:hAnsi="Arial" w:cs="Arial"/>
          <w:spacing w:val="1"/>
          <w:sz w:val="24"/>
          <w:szCs w:val="24"/>
        </w:rPr>
        <w:t>5.</w:t>
      </w:r>
      <w:r>
        <w:rPr>
          <w:rFonts w:ascii="Arial" w:hAnsi="Arial" w:cs="Arial"/>
          <w:spacing w:val="-1"/>
          <w:sz w:val="24"/>
          <w:szCs w:val="24"/>
        </w:rPr>
        <w:t>6</w:t>
      </w:r>
      <w:r>
        <w:rPr>
          <w:rFonts w:ascii="Arial" w:hAnsi="Arial" w:cs="Arial"/>
          <w:spacing w:val="1"/>
          <w:sz w:val="24"/>
          <w:szCs w:val="24"/>
        </w:rPr>
        <w:t>1</w:t>
      </w:r>
      <w:r>
        <w:rPr>
          <w:rFonts w:ascii="Arial" w:hAnsi="Arial" w:cs="Arial"/>
          <w:spacing w:val="-1"/>
          <w:sz w:val="24"/>
          <w:szCs w:val="24"/>
        </w:rPr>
        <w:t>%</w:t>
      </w:r>
      <w:r>
        <w:rPr>
          <w:rFonts w:ascii="Arial" w:hAnsi="Arial" w:cs="Arial"/>
          <w:sz w:val="24"/>
          <w:szCs w:val="24"/>
        </w:rPr>
        <w:t>.</w:t>
      </w:r>
      <w:r>
        <w:rPr>
          <w:rFonts w:ascii="Arial" w:hAnsi="Arial" w:cs="Arial"/>
          <w:spacing w:val="3"/>
          <w:sz w:val="24"/>
          <w:szCs w:val="24"/>
        </w:rPr>
        <w:t xml:space="preserve"> </w:t>
      </w:r>
      <w:r>
        <w:rPr>
          <w:rFonts w:ascii="Arial" w:hAnsi="Arial" w:cs="Arial"/>
          <w:sz w:val="24"/>
          <w:szCs w:val="24"/>
        </w:rPr>
        <w:t>Par ailleurs,</w:t>
      </w:r>
      <w:r>
        <w:rPr>
          <w:rFonts w:ascii="Arial" w:hAnsi="Arial" w:cs="Arial"/>
          <w:spacing w:val="3"/>
          <w:sz w:val="24"/>
          <w:szCs w:val="24"/>
        </w:rPr>
        <w:t xml:space="preserve"> </w:t>
      </w:r>
      <w:r>
        <w:rPr>
          <w:rFonts w:ascii="Arial" w:hAnsi="Arial" w:cs="Arial"/>
          <w:sz w:val="24"/>
          <w:szCs w:val="24"/>
        </w:rPr>
        <w:t>un</w:t>
      </w:r>
      <w:r>
        <w:rPr>
          <w:rFonts w:ascii="Arial" w:hAnsi="Arial" w:cs="Arial"/>
          <w:spacing w:val="8"/>
          <w:sz w:val="24"/>
          <w:szCs w:val="24"/>
        </w:rPr>
        <w:t xml:space="preserve"> </w:t>
      </w:r>
      <w:r>
        <w:rPr>
          <w:rFonts w:ascii="Arial" w:hAnsi="Arial" w:cs="Arial"/>
          <w:spacing w:val="1"/>
          <w:sz w:val="24"/>
          <w:szCs w:val="24"/>
        </w:rPr>
        <w:t>a</w:t>
      </w:r>
      <w:r>
        <w:rPr>
          <w:rFonts w:ascii="Arial" w:hAnsi="Arial" w:cs="Arial"/>
          <w:spacing w:val="-1"/>
          <w:sz w:val="24"/>
          <w:szCs w:val="24"/>
        </w:rPr>
        <w:t>ccr</w:t>
      </w:r>
      <w:r>
        <w:rPr>
          <w:rFonts w:ascii="Arial" w:hAnsi="Arial" w:cs="Arial"/>
          <w:sz w:val="24"/>
          <w:szCs w:val="24"/>
        </w:rPr>
        <w:t>o</w:t>
      </w:r>
      <w:r>
        <w:rPr>
          <w:rFonts w:ascii="Arial" w:hAnsi="Arial" w:cs="Arial"/>
          <w:spacing w:val="1"/>
          <w:sz w:val="24"/>
          <w:szCs w:val="24"/>
        </w:rPr>
        <w:t>i</w:t>
      </w:r>
      <w:r>
        <w:rPr>
          <w:rFonts w:ascii="Arial" w:hAnsi="Arial" w:cs="Arial"/>
          <w:spacing w:val="-1"/>
          <w:sz w:val="24"/>
          <w:szCs w:val="24"/>
        </w:rPr>
        <w:t>ss</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10</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es</w:t>
      </w:r>
      <w:r>
        <w:rPr>
          <w:rFonts w:ascii="Arial" w:hAnsi="Arial" w:cs="Arial"/>
          <w:spacing w:val="4"/>
          <w:sz w:val="24"/>
          <w:szCs w:val="24"/>
        </w:rPr>
        <w:t xml:space="preserve"> </w:t>
      </w:r>
      <w:r>
        <w:rPr>
          <w:rFonts w:ascii="Arial" w:hAnsi="Arial" w:cs="Arial"/>
          <w:spacing w:val="-1"/>
          <w:sz w:val="24"/>
          <w:szCs w:val="24"/>
        </w:rPr>
        <w:t>s</w:t>
      </w:r>
      <w:r>
        <w:rPr>
          <w:rFonts w:ascii="Arial" w:hAnsi="Arial" w:cs="Arial"/>
          <w:sz w:val="24"/>
          <w:szCs w:val="24"/>
        </w:rPr>
        <w:t>u</w:t>
      </w:r>
      <w:r>
        <w:rPr>
          <w:rFonts w:ascii="Arial" w:hAnsi="Arial" w:cs="Arial"/>
          <w:spacing w:val="1"/>
          <w:sz w:val="24"/>
          <w:szCs w:val="24"/>
        </w:rPr>
        <w:t>b</w:t>
      </w:r>
      <w:r>
        <w:rPr>
          <w:rFonts w:ascii="Arial" w:hAnsi="Arial" w:cs="Arial"/>
          <w:sz w:val="24"/>
          <w:szCs w:val="24"/>
        </w:rPr>
        <w:t>ven</w:t>
      </w:r>
      <w:r>
        <w:rPr>
          <w:rFonts w:ascii="Arial" w:hAnsi="Arial" w:cs="Arial"/>
          <w:spacing w:val="-2"/>
          <w:sz w:val="24"/>
          <w:szCs w:val="24"/>
        </w:rPr>
        <w:t>t</w:t>
      </w:r>
      <w:r>
        <w:rPr>
          <w:rFonts w:ascii="Arial" w:hAnsi="Arial" w:cs="Arial"/>
          <w:spacing w:val="1"/>
          <w:sz w:val="24"/>
          <w:szCs w:val="24"/>
        </w:rPr>
        <w:t>i</w:t>
      </w:r>
      <w:r>
        <w:rPr>
          <w:rFonts w:ascii="Arial" w:hAnsi="Arial" w:cs="Arial"/>
          <w:spacing w:val="-2"/>
          <w:sz w:val="24"/>
          <w:szCs w:val="24"/>
        </w:rPr>
        <w:t>o</w:t>
      </w:r>
      <w:r>
        <w:rPr>
          <w:rFonts w:ascii="Arial" w:hAnsi="Arial" w:cs="Arial"/>
          <w:sz w:val="24"/>
          <w:szCs w:val="24"/>
        </w:rPr>
        <w:t>ns</w:t>
      </w:r>
      <w:r>
        <w:rPr>
          <w:rFonts w:ascii="Arial" w:hAnsi="Arial" w:cs="Arial"/>
          <w:spacing w:val="1"/>
          <w:sz w:val="24"/>
          <w:szCs w:val="24"/>
        </w:rPr>
        <w:t xml:space="preserve"> </w:t>
      </w:r>
      <w:r>
        <w:rPr>
          <w:rFonts w:ascii="Arial" w:hAnsi="Arial" w:cs="Arial"/>
          <w:sz w:val="24"/>
          <w:szCs w:val="24"/>
        </w:rPr>
        <w:t>et</w:t>
      </w:r>
      <w:r>
        <w:rPr>
          <w:rFonts w:ascii="Arial" w:hAnsi="Arial" w:cs="Arial"/>
          <w:spacing w:val="6"/>
          <w:sz w:val="24"/>
          <w:szCs w:val="24"/>
        </w:rPr>
        <w:t xml:space="preserve"> </w:t>
      </w:r>
      <w:r>
        <w:rPr>
          <w:rFonts w:ascii="Arial" w:hAnsi="Arial" w:cs="Arial"/>
          <w:spacing w:val="-1"/>
          <w:sz w:val="24"/>
          <w:szCs w:val="24"/>
        </w:rPr>
        <w:t>de la qualité du fibre</w:t>
      </w:r>
      <w:r>
        <w:rPr>
          <w:rFonts w:ascii="Arial" w:hAnsi="Arial" w:cs="Arial"/>
          <w:sz w:val="24"/>
          <w:szCs w:val="24"/>
        </w:rPr>
        <w:t xml:space="preserve"> </w:t>
      </w:r>
      <w:r>
        <w:rPr>
          <w:rFonts w:ascii="Arial" w:hAnsi="Arial" w:cs="Arial"/>
          <w:spacing w:val="1"/>
          <w:sz w:val="24"/>
          <w:szCs w:val="24"/>
        </w:rPr>
        <w:t>i</w:t>
      </w:r>
      <w:r>
        <w:rPr>
          <w:rFonts w:ascii="Arial" w:hAnsi="Arial" w:cs="Arial"/>
          <w:sz w:val="24"/>
          <w:szCs w:val="24"/>
        </w:rPr>
        <w:t>n</w:t>
      </w:r>
      <w:r>
        <w:rPr>
          <w:rFonts w:ascii="Arial" w:hAnsi="Arial" w:cs="Arial"/>
          <w:spacing w:val="-1"/>
          <w:sz w:val="24"/>
          <w:szCs w:val="24"/>
        </w:rPr>
        <w:t>f</w:t>
      </w:r>
      <w:r>
        <w:rPr>
          <w:rFonts w:ascii="Arial" w:hAnsi="Arial" w:cs="Arial"/>
          <w:spacing w:val="1"/>
          <w:sz w:val="24"/>
          <w:szCs w:val="24"/>
        </w:rPr>
        <w:t>l</w:t>
      </w:r>
      <w:r>
        <w:rPr>
          <w:rFonts w:ascii="Arial" w:hAnsi="Arial" w:cs="Arial"/>
          <w:sz w:val="24"/>
          <w:szCs w:val="24"/>
        </w:rPr>
        <w:t>uen</w:t>
      </w:r>
      <w:r>
        <w:rPr>
          <w:rFonts w:ascii="Arial" w:hAnsi="Arial" w:cs="Arial"/>
          <w:spacing w:val="-1"/>
          <w:sz w:val="24"/>
          <w:szCs w:val="24"/>
        </w:rPr>
        <w:t>c</w:t>
      </w:r>
      <w:r>
        <w:rPr>
          <w:rFonts w:ascii="Arial" w:hAnsi="Arial" w:cs="Arial"/>
          <w:sz w:val="24"/>
          <w:szCs w:val="24"/>
        </w:rPr>
        <w:t>ent</w:t>
      </w:r>
      <w:r>
        <w:rPr>
          <w:rFonts w:ascii="Arial" w:hAnsi="Arial" w:cs="Arial"/>
          <w:spacing w:val="7"/>
          <w:sz w:val="24"/>
          <w:szCs w:val="24"/>
        </w:rPr>
        <w:t xml:space="preserve"> </w:t>
      </w:r>
      <w:r>
        <w:rPr>
          <w:rFonts w:ascii="Arial" w:hAnsi="Arial" w:cs="Arial"/>
          <w:sz w:val="24"/>
          <w:szCs w:val="24"/>
        </w:rPr>
        <w:t>né</w:t>
      </w:r>
      <w:r>
        <w:rPr>
          <w:rFonts w:ascii="Arial" w:hAnsi="Arial" w:cs="Arial"/>
          <w:spacing w:val="1"/>
          <w:sz w:val="24"/>
          <w:szCs w:val="24"/>
        </w:rPr>
        <w:t>ga</w:t>
      </w:r>
      <w:r>
        <w:rPr>
          <w:rFonts w:ascii="Arial" w:hAnsi="Arial" w:cs="Arial"/>
          <w:sz w:val="24"/>
          <w:szCs w:val="24"/>
        </w:rPr>
        <w:t>t</w:t>
      </w:r>
      <w:r>
        <w:rPr>
          <w:rFonts w:ascii="Arial" w:hAnsi="Arial" w:cs="Arial"/>
          <w:spacing w:val="1"/>
          <w:sz w:val="24"/>
          <w:szCs w:val="24"/>
        </w:rPr>
        <w:t>iv</w:t>
      </w:r>
      <w:r>
        <w:rPr>
          <w:rFonts w:ascii="Arial" w:hAnsi="Arial" w:cs="Arial"/>
          <w:spacing w:val="-2"/>
          <w:sz w:val="24"/>
          <w:szCs w:val="24"/>
        </w:rPr>
        <w:t>e</w:t>
      </w:r>
      <w:r>
        <w:rPr>
          <w:rFonts w:ascii="Arial" w:hAnsi="Arial" w:cs="Arial"/>
          <w:sz w:val="24"/>
          <w:szCs w:val="24"/>
        </w:rPr>
        <w:t xml:space="preserve">ment </w:t>
      </w:r>
      <w:r>
        <w:rPr>
          <w:rFonts w:ascii="Arial" w:hAnsi="Arial" w:cs="Arial"/>
          <w:spacing w:val="1"/>
          <w:sz w:val="24"/>
          <w:szCs w:val="24"/>
        </w:rPr>
        <w:t>l</w:t>
      </w:r>
      <w:r>
        <w:rPr>
          <w:rFonts w:ascii="Arial" w:hAnsi="Arial" w:cs="Arial"/>
          <w:sz w:val="24"/>
          <w:szCs w:val="24"/>
        </w:rPr>
        <w:t>es</w:t>
      </w:r>
      <w:r>
        <w:rPr>
          <w:rFonts w:ascii="Arial" w:hAnsi="Arial" w:cs="Arial"/>
          <w:spacing w:val="9"/>
          <w:sz w:val="24"/>
          <w:szCs w:val="24"/>
        </w:rPr>
        <w:t xml:space="preserve"> </w:t>
      </w:r>
      <w:r>
        <w:rPr>
          <w:rFonts w:ascii="Arial" w:hAnsi="Arial" w:cs="Arial"/>
          <w:sz w:val="24"/>
          <w:szCs w:val="24"/>
        </w:rPr>
        <w:lastRenderedPageBreak/>
        <w:t>e</w:t>
      </w:r>
      <w:r>
        <w:rPr>
          <w:rFonts w:ascii="Arial" w:hAnsi="Arial" w:cs="Arial"/>
          <w:spacing w:val="1"/>
          <w:sz w:val="24"/>
          <w:szCs w:val="24"/>
        </w:rPr>
        <w:t>x</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r</w:t>
      </w:r>
      <w:r>
        <w:rPr>
          <w:rFonts w:ascii="Arial" w:hAnsi="Arial" w:cs="Arial"/>
          <w:sz w:val="24"/>
          <w:szCs w:val="24"/>
        </w:rPr>
        <w:t>e</w:t>
      </w:r>
      <w:r>
        <w:rPr>
          <w:rFonts w:ascii="Arial" w:hAnsi="Arial" w:cs="Arial"/>
          <w:spacing w:val="2"/>
          <w:sz w:val="24"/>
          <w:szCs w:val="24"/>
        </w:rPr>
        <w:t>s</w:t>
      </w:r>
      <w:r>
        <w:rPr>
          <w:rFonts w:ascii="Arial" w:hAnsi="Arial" w:cs="Arial"/>
          <w:spacing w:val="-1"/>
          <w:sz w:val="24"/>
          <w:szCs w:val="24"/>
        </w:rPr>
        <w:t>p</w:t>
      </w:r>
      <w:r>
        <w:rPr>
          <w:rFonts w:ascii="Arial" w:hAnsi="Arial" w:cs="Arial"/>
          <w:sz w:val="24"/>
          <w:szCs w:val="24"/>
        </w:rPr>
        <w:t>e</w:t>
      </w:r>
      <w:r>
        <w:rPr>
          <w:rFonts w:ascii="Arial" w:hAnsi="Arial" w:cs="Arial"/>
          <w:spacing w:val="-1"/>
          <w:sz w:val="24"/>
          <w:szCs w:val="24"/>
        </w:rPr>
        <w:t>c</w:t>
      </w:r>
      <w:r>
        <w:rPr>
          <w:rFonts w:ascii="Arial" w:hAnsi="Arial" w:cs="Arial"/>
          <w:sz w:val="24"/>
          <w:szCs w:val="24"/>
        </w:rPr>
        <w:t>t</w:t>
      </w:r>
      <w:r>
        <w:rPr>
          <w:rFonts w:ascii="Arial" w:hAnsi="Arial" w:cs="Arial"/>
          <w:spacing w:val="1"/>
          <w:sz w:val="24"/>
          <w:szCs w:val="24"/>
        </w:rPr>
        <w:t>iv</w:t>
      </w:r>
      <w:r>
        <w:rPr>
          <w:rFonts w:ascii="Arial" w:hAnsi="Arial" w:cs="Arial"/>
          <w:sz w:val="24"/>
          <w:szCs w:val="24"/>
        </w:rPr>
        <w:t xml:space="preserve">ement </w:t>
      </w:r>
      <w:r>
        <w:rPr>
          <w:rFonts w:ascii="Arial" w:hAnsi="Arial" w:cs="Arial"/>
          <w:spacing w:val="-1"/>
          <w:sz w:val="24"/>
          <w:szCs w:val="24"/>
        </w:rPr>
        <w:t>d</w:t>
      </w:r>
      <w:r>
        <w:rPr>
          <w:rFonts w:ascii="Arial" w:hAnsi="Arial" w:cs="Arial"/>
          <w:sz w:val="24"/>
          <w:szCs w:val="24"/>
        </w:rPr>
        <w:t>e</w:t>
      </w:r>
      <w:r>
        <w:rPr>
          <w:rFonts w:ascii="Arial" w:hAnsi="Arial" w:cs="Arial"/>
          <w:spacing w:val="12"/>
          <w:sz w:val="24"/>
          <w:szCs w:val="24"/>
        </w:rPr>
        <w:t xml:space="preserve"> </w:t>
      </w:r>
      <w:r>
        <w:rPr>
          <w:rFonts w:ascii="Arial" w:hAnsi="Arial" w:cs="Arial"/>
          <w:spacing w:val="1"/>
          <w:sz w:val="24"/>
          <w:szCs w:val="24"/>
        </w:rPr>
        <w:t>8.77</w:t>
      </w:r>
      <w:r>
        <w:rPr>
          <w:rFonts w:ascii="Arial" w:hAnsi="Arial" w:cs="Arial"/>
          <w:sz w:val="24"/>
          <w:szCs w:val="24"/>
        </w:rPr>
        <w:t>%</w:t>
      </w:r>
      <w:r>
        <w:rPr>
          <w:rFonts w:ascii="Arial" w:hAnsi="Arial" w:cs="Arial"/>
          <w:spacing w:val="5"/>
          <w:sz w:val="24"/>
          <w:szCs w:val="24"/>
        </w:rPr>
        <w:t xml:space="preserve"> </w:t>
      </w:r>
      <w:r>
        <w:rPr>
          <w:rFonts w:ascii="Arial" w:hAnsi="Arial" w:cs="Arial"/>
          <w:sz w:val="24"/>
          <w:szCs w:val="24"/>
        </w:rPr>
        <w:t>et</w:t>
      </w:r>
      <w:r>
        <w:rPr>
          <w:rFonts w:ascii="Arial" w:hAnsi="Arial" w:cs="Arial"/>
          <w:spacing w:val="9"/>
          <w:sz w:val="24"/>
          <w:szCs w:val="24"/>
        </w:rPr>
        <w:t xml:space="preserve"> </w:t>
      </w:r>
      <w:r>
        <w:rPr>
          <w:rFonts w:ascii="Arial" w:hAnsi="Arial" w:cs="Arial"/>
          <w:spacing w:val="1"/>
          <w:sz w:val="24"/>
          <w:szCs w:val="24"/>
        </w:rPr>
        <w:t>2.33</w:t>
      </w:r>
      <w:r>
        <w:rPr>
          <w:rFonts w:ascii="Arial" w:hAnsi="Arial" w:cs="Arial"/>
          <w:spacing w:val="-1"/>
          <w:sz w:val="24"/>
          <w:szCs w:val="24"/>
        </w:rPr>
        <w:t>%</w:t>
      </w:r>
      <w:r>
        <w:rPr>
          <w:rFonts w:ascii="Arial" w:hAnsi="Arial" w:cs="Arial"/>
          <w:sz w:val="24"/>
          <w:szCs w:val="24"/>
        </w:rPr>
        <w:t xml:space="preserve">. </w:t>
      </w:r>
    </w:p>
    <w:p w14:paraId="7696AD9C" w14:textId="77777777" w:rsidR="008862C7" w:rsidRDefault="008862C7" w:rsidP="008862C7">
      <w:pPr>
        <w:numPr>
          <w:ilvl w:val="0"/>
          <w:numId w:val="34"/>
        </w:numPr>
        <w:tabs>
          <w:tab w:val="left" w:pos="708"/>
        </w:tabs>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Apports de la recherche</w:t>
      </w:r>
    </w:p>
    <w:p w14:paraId="0D8F2592" w14:textId="77777777" w:rsidR="008862C7" w:rsidRDefault="008862C7" w:rsidP="008862C7">
      <w:pPr>
        <w:autoSpaceDE w:val="0"/>
        <w:autoSpaceDN w:val="0"/>
        <w:adjustRightInd w:val="0"/>
        <w:spacing w:before="120" w:after="0" w:line="360" w:lineRule="auto"/>
        <w:jc w:val="both"/>
        <w:rPr>
          <w:rFonts w:ascii="Arial" w:hAnsi="Arial" w:cs="Arial"/>
          <w:b/>
          <w:sz w:val="24"/>
          <w:szCs w:val="24"/>
        </w:rPr>
      </w:pPr>
      <w:r>
        <w:rPr>
          <w:rFonts w:ascii="Arial" w:hAnsi="Arial" w:cs="Arial"/>
          <w:sz w:val="24"/>
          <w:szCs w:val="24"/>
        </w:rPr>
        <w:t>L’étude menée sur les déterminants de la compétitivité du coton Centrafricain nous a permis de mieux comprendre d’une part l’organisation et le fonctionnement de la filière et d’autre les facteurs qui président à la construction de la compétitivité prix et structurelle du coton centrafricain. En effet, la filière cotonnière est largement en retard quant il s’agit de la compétitivité prix. Ce résultat s’expliques par les coûts de production tant au niveau des producteurs que de la société cotonnière qui sont trop élevés. En outre, il a été constaté que les exploitations cotonnières utilisent en grande partie des outils rudimentaires. Le niveau de la fertilisation de la culture est faible comparé à la normal ne favorisant pas l’intensification de la culture et conduisant à un faible rendement de la production via un faible niveau de revenu.</w:t>
      </w:r>
    </w:p>
    <w:p w14:paraId="47A11B18"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Par ailleurs, en termes de compétitivité structurelle, l’étude à montré que le coton centrafricain dispose d’énormes atout en terme de qualité, malheureusement ces avantages ne sont pas valorisés voir négligés.</w:t>
      </w:r>
    </w:p>
    <w:p w14:paraId="0A994562"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La présente étude a également permis de mettre en exergue que l’IDE reçu par la filière est encore trop faible pour impacter positivement la qualité du coton centrafricain. En outre le prix mondial du coton </w:t>
      </w:r>
      <w:r>
        <w:rPr>
          <w:rFonts w:ascii="Arial" w:hAnsi="Arial" w:cs="Arial"/>
          <w:spacing w:val="7"/>
          <w:sz w:val="24"/>
          <w:szCs w:val="24"/>
        </w:rPr>
        <w:t xml:space="preserve">la qualité du coton fibre exporté, </w:t>
      </w:r>
      <w:r>
        <w:rPr>
          <w:rFonts w:ascii="Arial" w:hAnsi="Arial" w:cs="Arial"/>
          <w:spacing w:val="1"/>
          <w:sz w:val="24"/>
          <w:szCs w:val="24"/>
        </w:rPr>
        <w:t>l</w:t>
      </w:r>
      <w:r>
        <w:rPr>
          <w:rFonts w:ascii="Arial" w:hAnsi="Arial" w:cs="Arial"/>
          <w:spacing w:val="-1"/>
          <w:sz w:val="24"/>
          <w:szCs w:val="24"/>
        </w:rPr>
        <w:t>’</w:t>
      </w:r>
      <w:r>
        <w:rPr>
          <w:rFonts w:ascii="Arial" w:hAnsi="Arial" w:cs="Arial"/>
          <w:spacing w:val="1"/>
          <w:sz w:val="24"/>
          <w:szCs w:val="24"/>
        </w:rPr>
        <w:t>ava</w:t>
      </w:r>
      <w:r>
        <w:rPr>
          <w:rFonts w:ascii="Arial" w:hAnsi="Arial" w:cs="Arial"/>
          <w:sz w:val="24"/>
          <w:szCs w:val="24"/>
        </w:rPr>
        <w:t>n</w:t>
      </w:r>
      <w:r>
        <w:rPr>
          <w:rFonts w:ascii="Arial" w:hAnsi="Arial" w:cs="Arial"/>
          <w:spacing w:val="-2"/>
          <w:sz w:val="24"/>
          <w:szCs w:val="24"/>
        </w:rPr>
        <w:t>t</w:t>
      </w:r>
      <w:r>
        <w:rPr>
          <w:rFonts w:ascii="Arial" w:hAnsi="Arial" w:cs="Arial"/>
          <w:spacing w:val="1"/>
          <w:sz w:val="24"/>
          <w:szCs w:val="24"/>
        </w:rPr>
        <w:t>ag</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om</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f</w:t>
      </w:r>
      <w:r>
        <w:rPr>
          <w:rFonts w:ascii="Arial" w:hAnsi="Arial" w:cs="Arial"/>
          <w:spacing w:val="1"/>
          <w:sz w:val="24"/>
          <w:szCs w:val="24"/>
        </w:rPr>
        <w:t xml:space="preserve"> </w:t>
      </w:r>
      <w:r>
        <w:rPr>
          <w:rFonts w:ascii="Arial" w:hAnsi="Arial" w:cs="Arial"/>
          <w:spacing w:val="-1"/>
          <w:sz w:val="24"/>
          <w:szCs w:val="24"/>
        </w:rPr>
        <w:t>r</w:t>
      </w:r>
      <w:r>
        <w:rPr>
          <w:rFonts w:ascii="Arial" w:hAnsi="Arial" w:cs="Arial"/>
          <w:sz w:val="24"/>
          <w:szCs w:val="24"/>
        </w:rPr>
        <w:t>é</w:t>
      </w:r>
      <w:r>
        <w:rPr>
          <w:rFonts w:ascii="Arial" w:hAnsi="Arial" w:cs="Arial"/>
          <w:spacing w:val="1"/>
          <w:sz w:val="24"/>
          <w:szCs w:val="24"/>
        </w:rPr>
        <w:t>v</w:t>
      </w:r>
      <w:r>
        <w:rPr>
          <w:rFonts w:ascii="Arial" w:hAnsi="Arial" w:cs="Arial"/>
          <w:sz w:val="24"/>
          <w:szCs w:val="24"/>
        </w:rPr>
        <w:t>é</w:t>
      </w:r>
      <w:r>
        <w:rPr>
          <w:rFonts w:ascii="Arial" w:hAnsi="Arial" w:cs="Arial"/>
          <w:spacing w:val="1"/>
          <w:sz w:val="24"/>
          <w:szCs w:val="24"/>
        </w:rPr>
        <w:t>l</w:t>
      </w:r>
      <w:r>
        <w:rPr>
          <w:rFonts w:ascii="Arial" w:hAnsi="Arial" w:cs="Arial"/>
          <w:sz w:val="24"/>
          <w:szCs w:val="24"/>
        </w:rPr>
        <w:t>é,</w:t>
      </w:r>
      <w:r>
        <w:rPr>
          <w:rFonts w:ascii="Arial" w:hAnsi="Arial" w:cs="Arial"/>
          <w:spacing w:val="6"/>
          <w:sz w:val="24"/>
          <w:szCs w:val="24"/>
        </w:rPr>
        <w:t xml:space="preserve"> </w:t>
      </w:r>
      <w:r>
        <w:rPr>
          <w:rFonts w:ascii="Arial" w:hAnsi="Arial" w:cs="Arial"/>
          <w:spacing w:val="1"/>
          <w:sz w:val="24"/>
          <w:szCs w:val="24"/>
        </w:rPr>
        <w:t>l</w:t>
      </w:r>
      <w:r>
        <w:rPr>
          <w:rFonts w:ascii="Arial" w:hAnsi="Arial" w:cs="Arial"/>
          <w:sz w:val="24"/>
          <w:szCs w:val="24"/>
        </w:rPr>
        <w:t>es</w:t>
      </w:r>
      <w:r>
        <w:rPr>
          <w:rFonts w:ascii="Arial" w:hAnsi="Arial" w:cs="Arial"/>
          <w:spacing w:val="8"/>
          <w:sz w:val="24"/>
          <w:szCs w:val="24"/>
        </w:rPr>
        <w:t xml:space="preserve"> </w:t>
      </w:r>
      <w:r>
        <w:rPr>
          <w:rFonts w:ascii="Arial" w:hAnsi="Arial" w:cs="Arial"/>
          <w:spacing w:val="-1"/>
          <w:sz w:val="24"/>
          <w:szCs w:val="24"/>
        </w:rPr>
        <w:t>c</w:t>
      </w:r>
      <w:r>
        <w:rPr>
          <w:rFonts w:ascii="Arial" w:hAnsi="Arial" w:cs="Arial"/>
          <w:sz w:val="24"/>
          <w:szCs w:val="24"/>
        </w:rPr>
        <w:t>on</w:t>
      </w:r>
      <w:r>
        <w:rPr>
          <w:rFonts w:ascii="Arial" w:hAnsi="Arial" w:cs="Arial"/>
          <w:spacing w:val="-1"/>
          <w:sz w:val="24"/>
          <w:szCs w:val="24"/>
        </w:rPr>
        <w:t>s</w:t>
      </w:r>
      <w:r>
        <w:rPr>
          <w:rFonts w:ascii="Arial" w:hAnsi="Arial" w:cs="Arial"/>
          <w:sz w:val="24"/>
          <w:szCs w:val="24"/>
        </w:rPr>
        <w:t>omm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i</w:t>
      </w:r>
      <w:r>
        <w:rPr>
          <w:rFonts w:ascii="Arial" w:hAnsi="Arial" w:cs="Arial"/>
          <w:sz w:val="24"/>
          <w:szCs w:val="24"/>
        </w:rPr>
        <w:t>ons mon</w:t>
      </w:r>
      <w:r>
        <w:rPr>
          <w:rFonts w:ascii="Arial" w:hAnsi="Arial" w:cs="Arial"/>
          <w:spacing w:val="-1"/>
          <w:sz w:val="24"/>
          <w:szCs w:val="24"/>
        </w:rPr>
        <w:t>d</w:t>
      </w:r>
      <w:r>
        <w:rPr>
          <w:rFonts w:ascii="Arial" w:hAnsi="Arial" w:cs="Arial"/>
          <w:spacing w:val="1"/>
          <w:sz w:val="24"/>
          <w:szCs w:val="24"/>
        </w:rPr>
        <w:t>ial</w:t>
      </w:r>
      <w:r>
        <w:rPr>
          <w:rFonts w:ascii="Arial" w:hAnsi="Arial" w:cs="Arial"/>
          <w:sz w:val="24"/>
          <w:szCs w:val="24"/>
        </w:rPr>
        <w:t>es</w:t>
      </w:r>
      <w:r>
        <w:rPr>
          <w:rFonts w:ascii="Arial" w:hAnsi="Arial" w:cs="Arial"/>
          <w:spacing w:val="3"/>
          <w:sz w:val="24"/>
          <w:szCs w:val="24"/>
        </w:rPr>
        <w:t xml:space="preserve"> </w:t>
      </w:r>
      <w:r>
        <w:rPr>
          <w:rFonts w:ascii="Arial" w:hAnsi="Arial" w:cs="Arial"/>
          <w:sz w:val="24"/>
          <w:szCs w:val="24"/>
        </w:rPr>
        <w:t>et</w:t>
      </w:r>
      <w:r>
        <w:rPr>
          <w:rFonts w:ascii="Arial" w:hAnsi="Arial" w:cs="Arial"/>
          <w:spacing w:val="9"/>
          <w:sz w:val="24"/>
          <w:szCs w:val="24"/>
        </w:rPr>
        <w:t xml:space="preserve"> </w:t>
      </w:r>
      <w:r>
        <w:rPr>
          <w:rFonts w:ascii="Arial" w:hAnsi="Arial" w:cs="Arial"/>
          <w:spacing w:val="1"/>
          <w:sz w:val="24"/>
          <w:szCs w:val="24"/>
        </w:rPr>
        <w:t>l</w:t>
      </w:r>
      <w:r>
        <w:rPr>
          <w:rFonts w:ascii="Arial" w:hAnsi="Arial" w:cs="Arial"/>
          <w:sz w:val="24"/>
          <w:szCs w:val="24"/>
        </w:rPr>
        <w:t>es su</w:t>
      </w:r>
      <w:r>
        <w:rPr>
          <w:rFonts w:ascii="Arial" w:hAnsi="Arial" w:cs="Arial"/>
          <w:spacing w:val="1"/>
          <w:sz w:val="24"/>
          <w:szCs w:val="24"/>
        </w:rPr>
        <w:t>bv</w:t>
      </w:r>
      <w:r>
        <w:rPr>
          <w:rFonts w:ascii="Arial" w:hAnsi="Arial" w:cs="Arial"/>
          <w:sz w:val="24"/>
          <w:szCs w:val="24"/>
        </w:rPr>
        <w:t>ent</w:t>
      </w:r>
      <w:r>
        <w:rPr>
          <w:rFonts w:ascii="Arial" w:hAnsi="Arial" w:cs="Arial"/>
          <w:spacing w:val="1"/>
          <w:sz w:val="24"/>
          <w:szCs w:val="24"/>
        </w:rPr>
        <w:t>i</w:t>
      </w:r>
      <w:r>
        <w:rPr>
          <w:rFonts w:ascii="Arial" w:hAnsi="Arial" w:cs="Arial"/>
          <w:sz w:val="24"/>
          <w:szCs w:val="24"/>
        </w:rPr>
        <w:t xml:space="preserve">ons </w:t>
      </w:r>
      <w:r>
        <w:rPr>
          <w:rFonts w:ascii="Arial" w:hAnsi="Arial" w:cs="Arial"/>
          <w:spacing w:val="-1"/>
          <w:sz w:val="24"/>
          <w:szCs w:val="24"/>
        </w:rPr>
        <w:t>s</w:t>
      </w:r>
      <w:r>
        <w:rPr>
          <w:rFonts w:ascii="Arial" w:hAnsi="Arial" w:cs="Arial"/>
          <w:sz w:val="24"/>
          <w:szCs w:val="24"/>
        </w:rPr>
        <w:t xml:space="preserve">ont </w:t>
      </w:r>
      <w:r>
        <w:rPr>
          <w:rFonts w:ascii="Arial" w:hAnsi="Arial" w:cs="Arial"/>
          <w:spacing w:val="5"/>
          <w:sz w:val="24"/>
          <w:szCs w:val="24"/>
        </w:rPr>
        <w:t xml:space="preserve"> </w:t>
      </w:r>
      <w:r>
        <w:rPr>
          <w:rFonts w:ascii="Arial" w:hAnsi="Arial" w:cs="Arial"/>
          <w:spacing w:val="-1"/>
          <w:sz w:val="24"/>
          <w:szCs w:val="24"/>
        </w:rPr>
        <w:t>les principaux déterminants de la compétitivité du coton. C</w:t>
      </w:r>
      <w:r>
        <w:rPr>
          <w:rFonts w:ascii="Arial" w:hAnsi="Arial" w:cs="Arial"/>
          <w:sz w:val="24"/>
          <w:szCs w:val="24"/>
        </w:rPr>
        <w:t>ependant</w:t>
      </w:r>
      <w:r>
        <w:rPr>
          <w:rFonts w:ascii="Arial" w:hAnsi="Arial" w:cs="Arial"/>
          <w:spacing w:val="1"/>
          <w:sz w:val="24"/>
          <w:szCs w:val="24"/>
        </w:rPr>
        <w:t xml:space="preserve"> l</w:t>
      </w:r>
      <w:r>
        <w:rPr>
          <w:rFonts w:ascii="Arial" w:hAnsi="Arial" w:cs="Arial"/>
          <w:sz w:val="24"/>
          <w:szCs w:val="24"/>
        </w:rPr>
        <w:t>es</w:t>
      </w:r>
      <w:r>
        <w:rPr>
          <w:rFonts w:ascii="Arial" w:hAnsi="Arial" w:cs="Arial"/>
          <w:spacing w:val="2"/>
          <w:sz w:val="24"/>
          <w:szCs w:val="24"/>
        </w:rPr>
        <w:t xml:space="preserve"> </w:t>
      </w:r>
      <w:r>
        <w:rPr>
          <w:rFonts w:ascii="Arial" w:hAnsi="Arial" w:cs="Arial"/>
          <w:spacing w:val="-1"/>
          <w:sz w:val="24"/>
          <w:szCs w:val="24"/>
        </w:rPr>
        <w:t>pr</w:t>
      </w:r>
      <w:r>
        <w:rPr>
          <w:rFonts w:ascii="Arial" w:hAnsi="Arial" w:cs="Arial"/>
          <w:spacing w:val="1"/>
          <w:sz w:val="24"/>
          <w:szCs w:val="24"/>
        </w:rPr>
        <w:t>i</w:t>
      </w:r>
      <w:r>
        <w:rPr>
          <w:rFonts w:ascii="Arial" w:hAnsi="Arial" w:cs="Arial"/>
          <w:sz w:val="24"/>
          <w:szCs w:val="24"/>
        </w:rPr>
        <w:t>x</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 xml:space="preserve">es </w:t>
      </w:r>
      <w:r>
        <w:rPr>
          <w:rFonts w:ascii="Arial" w:hAnsi="Arial" w:cs="Arial"/>
          <w:spacing w:val="-1"/>
          <w:sz w:val="24"/>
          <w:szCs w:val="24"/>
        </w:rPr>
        <w:t>f</w:t>
      </w:r>
      <w:r>
        <w:rPr>
          <w:rFonts w:ascii="Arial" w:hAnsi="Arial" w:cs="Arial"/>
          <w:spacing w:val="1"/>
          <w:sz w:val="24"/>
          <w:szCs w:val="24"/>
        </w:rPr>
        <w:t>ib</w:t>
      </w:r>
      <w:r>
        <w:rPr>
          <w:rFonts w:ascii="Arial" w:hAnsi="Arial" w:cs="Arial"/>
          <w:spacing w:val="-1"/>
          <w:sz w:val="24"/>
          <w:szCs w:val="24"/>
        </w:rPr>
        <w:t>r</w:t>
      </w:r>
      <w:r>
        <w:rPr>
          <w:rFonts w:ascii="Arial" w:hAnsi="Arial" w:cs="Arial"/>
          <w:sz w:val="24"/>
          <w:szCs w:val="24"/>
        </w:rPr>
        <w:t xml:space="preserve">es </w:t>
      </w:r>
      <w:r>
        <w:rPr>
          <w:rFonts w:ascii="Arial" w:hAnsi="Arial" w:cs="Arial"/>
          <w:spacing w:val="-1"/>
          <w:sz w:val="24"/>
          <w:szCs w:val="24"/>
        </w:rPr>
        <w:t>s</w:t>
      </w:r>
      <w:r>
        <w:rPr>
          <w:rFonts w:ascii="Arial" w:hAnsi="Arial" w:cs="Arial"/>
          <w:spacing w:val="1"/>
          <w:sz w:val="24"/>
          <w:szCs w:val="24"/>
        </w:rPr>
        <w:t>y</w:t>
      </w:r>
      <w:r>
        <w:rPr>
          <w:rFonts w:ascii="Arial" w:hAnsi="Arial" w:cs="Arial"/>
          <w:sz w:val="24"/>
          <w:szCs w:val="24"/>
        </w:rPr>
        <w:t>nthét</w:t>
      </w:r>
      <w:r>
        <w:rPr>
          <w:rFonts w:ascii="Arial" w:hAnsi="Arial" w:cs="Arial"/>
          <w:spacing w:val="1"/>
          <w:sz w:val="24"/>
          <w:szCs w:val="24"/>
        </w:rPr>
        <w:t>iq</w:t>
      </w:r>
      <w:r>
        <w:rPr>
          <w:rFonts w:ascii="Arial" w:hAnsi="Arial" w:cs="Arial"/>
          <w:sz w:val="24"/>
          <w:szCs w:val="24"/>
        </w:rPr>
        <w:t>ue</w:t>
      </w:r>
      <w:r>
        <w:rPr>
          <w:rFonts w:ascii="Arial" w:hAnsi="Arial" w:cs="Arial"/>
          <w:spacing w:val="-1"/>
          <w:sz w:val="24"/>
          <w:szCs w:val="24"/>
        </w:rPr>
        <w:t>s</w:t>
      </w:r>
      <w:r>
        <w:rPr>
          <w:rFonts w:ascii="Arial" w:hAnsi="Arial" w:cs="Arial"/>
          <w:sz w:val="24"/>
          <w:szCs w:val="24"/>
        </w:rPr>
        <w:t>,</w:t>
      </w:r>
      <w:r>
        <w:rPr>
          <w:rFonts w:ascii="Arial" w:hAnsi="Arial" w:cs="Arial"/>
          <w:spacing w:val="-3"/>
          <w:sz w:val="24"/>
          <w:szCs w:val="24"/>
        </w:rPr>
        <w:t xml:space="preserve"> </w:t>
      </w:r>
      <w:r>
        <w:rPr>
          <w:rFonts w:ascii="Arial" w:hAnsi="Arial" w:cs="Arial"/>
          <w:spacing w:val="1"/>
          <w:sz w:val="24"/>
          <w:szCs w:val="24"/>
        </w:rPr>
        <w:t>l</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z w:val="24"/>
          <w:szCs w:val="24"/>
        </w:rPr>
        <w:t xml:space="preserve">ux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c</w:t>
      </w:r>
      <w:r>
        <w:rPr>
          <w:rFonts w:ascii="Arial" w:hAnsi="Arial" w:cs="Arial"/>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g</w:t>
      </w:r>
      <w:r>
        <w:rPr>
          <w:rFonts w:ascii="Arial" w:hAnsi="Arial" w:cs="Arial"/>
          <w:sz w:val="24"/>
          <w:szCs w:val="24"/>
        </w:rPr>
        <w:t xml:space="preserve">e effectif </w:t>
      </w:r>
      <w:r>
        <w:rPr>
          <w:rFonts w:ascii="Arial" w:hAnsi="Arial" w:cs="Arial"/>
          <w:spacing w:val="-1"/>
          <w:sz w:val="24"/>
          <w:szCs w:val="24"/>
        </w:rPr>
        <w:t>r</w:t>
      </w:r>
      <w:r>
        <w:rPr>
          <w:rFonts w:ascii="Arial" w:hAnsi="Arial" w:cs="Arial"/>
          <w:sz w:val="24"/>
          <w:szCs w:val="24"/>
        </w:rPr>
        <w:t xml:space="preserve">éel, </w:t>
      </w:r>
      <w:r>
        <w:rPr>
          <w:rFonts w:ascii="Arial" w:hAnsi="Arial" w:cs="Arial"/>
          <w:spacing w:val="1"/>
          <w:sz w:val="24"/>
          <w:szCs w:val="24"/>
        </w:rPr>
        <w:t>l</w:t>
      </w:r>
      <w:r>
        <w:rPr>
          <w:rFonts w:ascii="Arial" w:hAnsi="Arial" w:cs="Arial"/>
          <w:sz w:val="24"/>
          <w:szCs w:val="24"/>
        </w:rPr>
        <w:t>a</w:t>
      </w:r>
      <w:r>
        <w:rPr>
          <w:rFonts w:ascii="Arial" w:hAnsi="Arial" w:cs="Arial"/>
          <w:spacing w:val="11"/>
          <w:sz w:val="24"/>
          <w:szCs w:val="24"/>
        </w:rPr>
        <w:t xml:space="preserve"> </w:t>
      </w:r>
      <w:r>
        <w:rPr>
          <w:rFonts w:ascii="Arial" w:hAnsi="Arial" w:cs="Arial"/>
          <w:spacing w:val="-1"/>
          <w:sz w:val="24"/>
          <w:szCs w:val="24"/>
        </w:rPr>
        <w:t>d</w:t>
      </w:r>
      <w:r>
        <w:rPr>
          <w:rFonts w:ascii="Arial" w:hAnsi="Arial" w:cs="Arial"/>
          <w:spacing w:val="1"/>
          <w:sz w:val="24"/>
          <w:szCs w:val="24"/>
        </w:rPr>
        <w:t>i</w:t>
      </w:r>
      <w:r>
        <w:rPr>
          <w:rFonts w:ascii="Arial" w:hAnsi="Arial" w:cs="Arial"/>
          <w:spacing w:val="-1"/>
          <w:sz w:val="24"/>
          <w:szCs w:val="24"/>
        </w:rPr>
        <w:t>s</w:t>
      </w:r>
      <w:r>
        <w:rPr>
          <w:rFonts w:ascii="Arial" w:hAnsi="Arial" w:cs="Arial"/>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c</w:t>
      </w:r>
      <w:r>
        <w:rPr>
          <w:rFonts w:ascii="Arial" w:hAnsi="Arial" w:cs="Arial"/>
          <w:sz w:val="24"/>
          <w:szCs w:val="24"/>
        </w:rPr>
        <w:t>e et le tarif douanier à l’exportation</w:t>
      </w:r>
      <w:r>
        <w:rPr>
          <w:rFonts w:ascii="Arial" w:hAnsi="Arial" w:cs="Arial"/>
          <w:spacing w:val="6"/>
          <w:sz w:val="24"/>
          <w:szCs w:val="24"/>
        </w:rPr>
        <w:t xml:space="preserve"> </w:t>
      </w:r>
      <w:r>
        <w:rPr>
          <w:rFonts w:ascii="Arial" w:hAnsi="Arial" w:cs="Arial"/>
          <w:sz w:val="24"/>
          <w:szCs w:val="24"/>
        </w:rPr>
        <w:t>n</w:t>
      </w:r>
      <w:r>
        <w:rPr>
          <w:rFonts w:ascii="Arial" w:hAnsi="Arial" w:cs="Arial"/>
          <w:spacing w:val="-1"/>
          <w:sz w:val="24"/>
          <w:szCs w:val="24"/>
        </w:rPr>
        <w:t>’</w:t>
      </w:r>
      <w:r>
        <w:rPr>
          <w:rFonts w:ascii="Arial" w:hAnsi="Arial" w:cs="Arial"/>
          <w:sz w:val="24"/>
          <w:szCs w:val="24"/>
        </w:rPr>
        <w:t xml:space="preserve">affectent pas </w:t>
      </w:r>
      <w:r>
        <w:rPr>
          <w:rFonts w:ascii="Arial" w:hAnsi="Arial" w:cs="Arial"/>
          <w:spacing w:val="1"/>
          <w:sz w:val="24"/>
          <w:szCs w:val="24"/>
        </w:rPr>
        <w:t>significativement la compétitivité du coton centrafricain</w:t>
      </w:r>
      <w:r>
        <w:rPr>
          <w:rFonts w:ascii="Arial" w:hAnsi="Arial" w:cs="Arial"/>
          <w:sz w:val="24"/>
          <w:szCs w:val="24"/>
        </w:rPr>
        <w:t>.</w:t>
      </w:r>
      <w:r>
        <w:rPr>
          <w:rFonts w:ascii="Arial" w:hAnsi="Arial" w:cs="Arial"/>
          <w:spacing w:val="2"/>
          <w:sz w:val="24"/>
          <w:szCs w:val="24"/>
        </w:rPr>
        <w:t xml:space="preserve"> </w:t>
      </w:r>
    </w:p>
    <w:p w14:paraId="35077607" w14:textId="77777777" w:rsidR="008862C7" w:rsidRDefault="008862C7" w:rsidP="008862C7">
      <w:pPr>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3. Recommandations de politique agricole</w:t>
      </w:r>
    </w:p>
    <w:p w14:paraId="7A47B192" w14:textId="77777777" w:rsidR="008862C7" w:rsidRDefault="008862C7" w:rsidP="008862C7">
      <w:pPr>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3.1. Recommandations particulières</w:t>
      </w:r>
    </w:p>
    <w:p w14:paraId="2B7435BC" w14:textId="77777777" w:rsidR="008862C7" w:rsidRDefault="008862C7" w:rsidP="008862C7">
      <w:pPr>
        <w:numPr>
          <w:ilvl w:val="0"/>
          <w:numId w:val="48"/>
        </w:numPr>
        <w:tabs>
          <w:tab w:val="left" w:pos="708"/>
        </w:tabs>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Production</w:t>
      </w:r>
    </w:p>
    <w:p w14:paraId="243E4557"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Les soutiens à l’agriculture peuvent passer par des subventions et des octrois de crédit. Dans le cadre des subventions, l’apport de l’Etat est déterminant. Le faible niveau des revenus coton décourage généralement les agriculteurs à intensifier l’utilisation d’engrais, d’insecticide, d’herbicides, et la culture attelée. L’Etat doit intervenir indirectement par des subventions à la production en réduisant les coûts de productions par la fourniture des inputs à des prix bas que les prix du marché, ou gratuitement. Ceci permettra aux producteurs d’accroître leur production. L’augmentation du rendement à l’hectare induit par les subventions gouvernementales entraînera </w:t>
      </w:r>
      <w:r>
        <w:rPr>
          <w:rFonts w:ascii="Arial" w:hAnsi="Arial" w:cs="Arial"/>
          <w:sz w:val="24"/>
          <w:szCs w:val="24"/>
        </w:rPr>
        <w:lastRenderedPageBreak/>
        <w:t xml:space="preserve">la baisse des coûts de production. Ainsi le produit sera alors rentable et la filière viable et par voie de conséquence compétitive. En procédant de cette manière le gouvernement augmente la production, améliore </w:t>
      </w:r>
      <w:commentRangeStart w:id="308"/>
      <w:r>
        <w:rPr>
          <w:rFonts w:ascii="Arial" w:hAnsi="Arial" w:cs="Arial"/>
          <w:sz w:val="24"/>
          <w:szCs w:val="24"/>
        </w:rPr>
        <w:t xml:space="preserve">la qualité du fibre </w:t>
      </w:r>
      <w:commentRangeEnd w:id="308"/>
      <w:r>
        <w:rPr>
          <w:rStyle w:val="Marquedecommentaire"/>
          <w:rFonts w:eastAsia="Times New Roman" w:cs="Times New Roman"/>
        </w:rPr>
        <w:commentReference w:id="308"/>
      </w:r>
      <w:r>
        <w:rPr>
          <w:rFonts w:ascii="Arial" w:hAnsi="Arial" w:cs="Arial"/>
          <w:sz w:val="24"/>
          <w:szCs w:val="24"/>
        </w:rPr>
        <w:t>et accroît ainsi la part du marché à l’exportation du coton centrafricain.</w:t>
      </w:r>
    </w:p>
    <w:p w14:paraId="03F6DE7F"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Le développement agricole est indispensable pour assurer la compétitivité structurelle de la filière. Des actions concrètes doivent y être menées. L’Union Européenne au travers de la Politique Agricole Commune (PAC) le gouvernement fédéral américain et la Chine protègent aujourd’hui leur producteur de coton en leur versant des subventions colossales, une part significative de leur budget est allouée à l’agriculture. L’amélioration de la production cotonnière passe par la mise en marché des semences de bonne qualité, par une meilleure accessibilité et utilisation des intrants chimiques et des matériels agricoles. Toutefois, l’amélioration de la production cotonnière ne passe pas que par des subventions mais aussi par l’octroi des crédits aux producteurs de coton, car le coton est une culture très exigeante en main d’œuvre alors que l’actif familial dans les zones de production est en constante baisse conséquence de la transition démographique.</w:t>
      </w:r>
    </w:p>
    <w:p w14:paraId="30C250F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L’étude a noté que non seulement le matériel végétal et les techniques culturales ne sont plus adaptés, mais le niveau d’équipement agricole est resté rudimentaire couplé à un faible niveau d’utilisation d’engrais et de pesticides. Pour cela, le développement en intrants chimiques et l’intensification de l’encadrement sont nécessaires pour appuyer les producteurs de coton dans l’utilisation des intrants et de nouveaux matériels en vue d’accroître leur production et leur revenu tout en visant l’atteinte d’une compétitivité.</w:t>
      </w:r>
    </w:p>
    <w:p w14:paraId="29A9726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 gouvernement doit aussi travailler en collaboration avec le programme d’appui à la microfinance mis en place afin de </w:t>
      </w:r>
      <w:commentRangeStart w:id="309"/>
      <w:r>
        <w:rPr>
          <w:rFonts w:ascii="Arial" w:hAnsi="Arial" w:cs="Arial"/>
          <w:sz w:val="24"/>
          <w:szCs w:val="24"/>
        </w:rPr>
        <w:t xml:space="preserve">faciliter l’accès </w:t>
      </w:r>
      <w:commentRangeEnd w:id="309"/>
      <w:r>
        <w:rPr>
          <w:rStyle w:val="Marquedecommentaire"/>
          <w:rFonts w:eastAsia="Times New Roman" w:cs="Times New Roman"/>
        </w:rPr>
        <w:commentReference w:id="309"/>
      </w:r>
      <w:r>
        <w:rPr>
          <w:rFonts w:ascii="Arial" w:hAnsi="Arial" w:cs="Arial"/>
          <w:sz w:val="24"/>
          <w:szCs w:val="24"/>
        </w:rPr>
        <w:t xml:space="preserve">des producteurs de coton au crédit, notamment à travers la mise en œuvre des mesures propices à susciter et à accompagner le développement des systèmes de financement adaptés aux caractéristiques socio-économiques des pauvres. La mise en place des approches décentralisées d’épargne et de crédit à travers la promotion de la microfinance devrait élargir les opportunités de financement et d’augmentation de revenus pour les exploitations cotonnières. Les subventions et les prêts sont sans nul doute des stratégies efficaces d’accroissement de la productivité mais des actions dans certains domaines doivent également être menées. D’abord, des actions doivent être menées afin que les GIR deviennent un véritable mouvement syndical capable de défendre efficacement les intérêts des producteurs de coton, mais aussi d’être actionnaires dans le capital de la société cotonnière. Aussi, des structures doivent être  mises en place pour leur encadrement par des formations, conseils pour </w:t>
      </w:r>
      <w:r>
        <w:rPr>
          <w:rFonts w:ascii="Arial" w:hAnsi="Arial" w:cs="Arial"/>
          <w:sz w:val="24"/>
          <w:szCs w:val="24"/>
        </w:rPr>
        <w:lastRenderedPageBreak/>
        <w:t>l’acceptation d’utilisation de nouvelles techniques agricoles. Pour cela, l’Etat doit investir dans la recherche agricole. Il doit appuyer les recherches en matière de semences, et de techniques culturales. De plus il est aussi souhaitable que la recherche prend en compte les systèmes (système 2) de polycultures développés par certains producteurs de coton dans leur stratégie d’accroissement de revenu.</w:t>
      </w:r>
    </w:p>
    <w:p w14:paraId="6497466A"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Les efforts d’intensification doivent être portés essentiellement sur l’apport de fertilisation, sur l’extension des superficies à emblaver avec des techniques culturales innovatrices telles que la culture attelée, l’irrigation, et l’utilisation des herbicides. Ces efforts d’intensification contribueront certainement à améliorer le niveau de productivité et corrélativement le volume global de production disponible. </w:t>
      </w:r>
    </w:p>
    <w:p w14:paraId="1A753EA8" w14:textId="77777777" w:rsidR="008862C7" w:rsidRDefault="008862C7" w:rsidP="008862C7">
      <w:pPr>
        <w:numPr>
          <w:ilvl w:val="0"/>
          <w:numId w:val="48"/>
        </w:numPr>
        <w:tabs>
          <w:tab w:val="left" w:pos="708"/>
        </w:tabs>
        <w:autoSpaceDE w:val="0"/>
        <w:autoSpaceDN w:val="0"/>
        <w:adjustRightInd w:val="0"/>
        <w:spacing w:before="120" w:after="0" w:line="360" w:lineRule="auto"/>
        <w:jc w:val="both"/>
        <w:rPr>
          <w:rFonts w:ascii="Arial" w:hAnsi="Arial" w:cs="Arial"/>
          <w:b/>
          <w:sz w:val="24"/>
          <w:szCs w:val="24"/>
        </w:rPr>
      </w:pPr>
      <w:r>
        <w:rPr>
          <w:rFonts w:ascii="Arial" w:hAnsi="Arial" w:cs="Arial"/>
          <w:b/>
          <w:sz w:val="24"/>
          <w:szCs w:val="24"/>
        </w:rPr>
        <w:t>Production de coton fibre</w:t>
      </w:r>
    </w:p>
    <w:p w14:paraId="1EF166F5"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Les variétés de semences utilisées jusqu’à ce jour en RCA, date de la période coloniale, avec un faible rendement, des graines relativement petits, moins résistant et des fibres de longueur moyenne. Toutes ces qualités ne permettent pas d’accroître le rendement des fibres pendant l’égrenage. Des recherches menées au Cameroun montrent que les graines de petites tailles se cassent et salissent facilement la fibre pendant l’égrenage. De plus la longueur des fibres est une des qualités prises en compte dans la cotation du coton fibre sur le marché mondial. De plus des études menées par l’Institut Centrafricain de la Recherche Agronomique montre que les producteurs de coton utilisent en général </w:t>
      </w:r>
      <w:commentRangeStart w:id="310"/>
      <w:r>
        <w:rPr>
          <w:rFonts w:ascii="Arial" w:hAnsi="Arial" w:cs="Arial"/>
          <w:sz w:val="24"/>
          <w:szCs w:val="24"/>
        </w:rPr>
        <w:t xml:space="preserve">un jour sur trois pour lutter contre les insectes ravageur du cotonnier </w:t>
      </w:r>
      <w:commentRangeEnd w:id="310"/>
      <w:r>
        <w:rPr>
          <w:rStyle w:val="Marquedecommentaire"/>
          <w:rFonts w:eastAsia="Times New Roman" w:cs="Times New Roman"/>
        </w:rPr>
        <w:commentReference w:id="310"/>
      </w:r>
      <w:r>
        <w:rPr>
          <w:rFonts w:ascii="Arial" w:hAnsi="Arial" w:cs="Arial"/>
          <w:sz w:val="24"/>
          <w:szCs w:val="24"/>
        </w:rPr>
        <w:t xml:space="preserve">qui détruisent la qualité des fibres et donc son rendement. </w:t>
      </w:r>
    </w:p>
    <w:p w14:paraId="2E079A20"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Outre les problèmes des variétés, les usines d’égrenages sont toutes vétustes et dépassées, exceptée celle de Bossangoa entièrement rénovée. Aussi la production cotonnière ne subit qu’une faible transformation avant d’être commercialisée. Les ventes des fibres ne permettent pas d’accroître considérablement les gains en devise de l’économie nationale. Pour éliminer les problèmes liés aux coûts de transport et au faible revenu des exportations, la transformation locale des fibres est nécessaire. Ainsi, le gouvernement peut intervenir par différentes politiques pour favoriser la création des usines du textile au niveau national en levant les obstacles légaux, créant un cadre propice aux investisseurs étrangers et en facilitant le climat des affaires en Centrafrique.</w:t>
      </w:r>
    </w:p>
    <w:p w14:paraId="74B07E49" w14:textId="77777777" w:rsidR="008862C7" w:rsidRDefault="008862C7" w:rsidP="008862C7">
      <w:pPr>
        <w:numPr>
          <w:ilvl w:val="0"/>
          <w:numId w:val="48"/>
        </w:numPr>
        <w:tabs>
          <w:tab w:val="left" w:pos="708"/>
        </w:tabs>
        <w:spacing w:before="120" w:after="0" w:line="360" w:lineRule="auto"/>
        <w:jc w:val="both"/>
        <w:rPr>
          <w:rFonts w:ascii="Arial" w:hAnsi="Arial" w:cs="Arial"/>
          <w:b/>
          <w:sz w:val="24"/>
          <w:szCs w:val="24"/>
        </w:rPr>
      </w:pPr>
      <w:r>
        <w:rPr>
          <w:rFonts w:ascii="Arial" w:hAnsi="Arial" w:cs="Arial"/>
          <w:b/>
          <w:sz w:val="24"/>
          <w:szCs w:val="24"/>
        </w:rPr>
        <w:t>Commercialisation</w:t>
      </w:r>
    </w:p>
    <w:p w14:paraId="31E9AD5B"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effet, la production agricole présente quelques caractéristiques bien particulières qui la séparent nettement des autres secteurs d’activité économique. L’agriculture est l’un des rares </w:t>
      </w:r>
      <w:r>
        <w:rPr>
          <w:rFonts w:ascii="Arial" w:hAnsi="Arial" w:cs="Arial"/>
          <w:sz w:val="24"/>
          <w:szCs w:val="24"/>
        </w:rPr>
        <w:lastRenderedPageBreak/>
        <w:t xml:space="preserve">secteurs à utiliser la terre en plus du capital et de la main-d’œuvre. A la différence de ces deux inputs, la terre est un input fixe. Ainsi, la production agricole, ne peut donc être déplacée de la même manière qu’une usine ; une autre conséquence de l’utilisation de la terre comme input est la dispersion de la production dans l’espace (Mbétid-Bessane, 2010). Pour cela, la mise en place d’un réseau de commercialisation est donc nécessaire pour rassembler les productions et les acheminer vers les centres de consommation. </w:t>
      </w:r>
    </w:p>
    <w:p w14:paraId="6CAC593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ce qui concerne la commercialisation interne, il conviendrait de mettre en place un véritable cadre de concertation et de dialogue entre les différents acteurs, notamment les organisations des producteurs qui doivent être réunies en fédération nationale pour plus de pouvoir et la société cotonnière. L’Etat doit organiser l’équilibre entre les intérêts divergents afin d’assurer le bien être collectif d’une part, et, d’autre part garantir la cohésion au niveau de la commercialisation. Il doit veiller à mettre en place des cadres juridiques et réglementaires équitables, efficaces, stables, et régissant à la fois les activités publiques et privées. </w:t>
      </w:r>
    </w:p>
    <w:p w14:paraId="2AE6A48A"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Pour la commercialisation externe, des actions doivent être menées au niveau sous régional afin que la place du coton africain dans la cotation de l’indice A de cotlook soit valoriser, car il ne faut perdre de vue que l’Afrique est aujourd’hui le deuxième exportateur mondial de coton fibre. Dans les programmes de développement de la filière cotonnière en Centrafrique, l'accent est généralement plus mis sur la production que sur la commercialisation, oubliant en fait que la production ne se dissocie pas de la commercialisation. Ainsi, le manque d’une véritable stratégie de markéting commercial, de labellisation du coton centrafricain réputé pour sa bonne qualité et d’un agent africain de négoce joue énormément sur la compétitivité du coton centrafricain. Aussi l’absence d’un agent commercial qualifié et d’une politique commerciale volontariste de la part de la société cotonnière réduit à néant les efforts consentis pour accroître la compétitivité du coton centrafricain sur le marché. </w:t>
      </w:r>
    </w:p>
    <w:p w14:paraId="6D42FFCC"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revanche, le mauvais état des routes, la faiblesse des moyens de transport et les tracasseries routières (forces de défense et de sécurité, douanes, postes phytosanitaires ...) constituent des freins à la commercialisation. </w:t>
      </w:r>
    </w:p>
    <w:p w14:paraId="3E5C21C1" w14:textId="77777777" w:rsidR="008862C7" w:rsidRDefault="008862C7" w:rsidP="008862C7">
      <w:pPr>
        <w:numPr>
          <w:ilvl w:val="0"/>
          <w:numId w:val="48"/>
        </w:numPr>
        <w:tabs>
          <w:tab w:val="left" w:pos="708"/>
        </w:tabs>
        <w:spacing w:before="120" w:after="0" w:line="360" w:lineRule="auto"/>
        <w:jc w:val="both"/>
        <w:rPr>
          <w:rFonts w:ascii="Arial" w:hAnsi="Arial" w:cs="Arial"/>
          <w:b/>
          <w:sz w:val="24"/>
          <w:szCs w:val="24"/>
        </w:rPr>
      </w:pPr>
      <w:r>
        <w:rPr>
          <w:rFonts w:ascii="Arial" w:hAnsi="Arial" w:cs="Arial"/>
          <w:b/>
          <w:sz w:val="24"/>
          <w:szCs w:val="24"/>
        </w:rPr>
        <w:t>Transport</w:t>
      </w:r>
    </w:p>
    <w:p w14:paraId="6F87D1A3"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 xml:space="preserve">En Centrafrique, on note une faiblesse ou une inexistence de voies de desserte entre les zones de production et les usines d’égrenages. Il faut réduire ces obstacles au commerce du coton pour rendre plus efficaces les systèmes d’approvisionnement en intrants et de commercialisation interne. Le gouvernement peut fournir des services qui réduisent les coûts de commercialisation </w:t>
      </w:r>
      <w:r>
        <w:rPr>
          <w:rFonts w:ascii="Arial" w:hAnsi="Arial" w:cs="Arial"/>
          <w:sz w:val="24"/>
          <w:szCs w:val="24"/>
        </w:rPr>
        <w:lastRenderedPageBreak/>
        <w:t xml:space="preserve">en améliorant les infrastructures routières. Les routes nationales et les pistes rurales doivent être régulièrement entretenues afin de faciliter l’acheminement du coton graine vers les usines. L’inadaptation des moyens de transport entraîne des pertes financières pour la société cotonnière. </w:t>
      </w:r>
    </w:p>
    <w:p w14:paraId="488242F7" w14:textId="77777777" w:rsidR="008862C7" w:rsidRDefault="008862C7" w:rsidP="008862C7">
      <w:pPr>
        <w:spacing w:before="120" w:after="0" w:line="360" w:lineRule="auto"/>
        <w:jc w:val="both"/>
        <w:rPr>
          <w:rFonts w:ascii="Arial" w:eastAsia="Arial Unicode MS" w:hAnsi="Arial" w:cs="Arial"/>
          <w:b/>
          <w:sz w:val="24"/>
          <w:szCs w:val="24"/>
        </w:rPr>
      </w:pPr>
      <w:r>
        <w:rPr>
          <w:rFonts w:ascii="Arial" w:eastAsia="Arial Unicode MS" w:hAnsi="Arial" w:cs="Arial"/>
          <w:b/>
          <w:sz w:val="24"/>
          <w:szCs w:val="24"/>
        </w:rPr>
        <w:t>4. Limites et perspectives</w:t>
      </w:r>
    </w:p>
    <w:p w14:paraId="484FD52C" w14:textId="77777777" w:rsidR="008862C7" w:rsidRDefault="008862C7" w:rsidP="008862C7">
      <w:pPr>
        <w:autoSpaceDE w:val="0"/>
        <w:autoSpaceDN w:val="0"/>
        <w:adjustRightInd w:val="0"/>
        <w:spacing w:before="120" w:after="0" w:line="360" w:lineRule="auto"/>
        <w:jc w:val="both"/>
        <w:rPr>
          <w:rFonts w:ascii="Arial" w:eastAsia="Times New Roman" w:hAnsi="Arial" w:cs="Arial"/>
          <w:sz w:val="24"/>
          <w:szCs w:val="24"/>
        </w:rPr>
      </w:pPr>
      <w:r>
        <w:rPr>
          <w:rFonts w:ascii="Arial" w:hAnsi="Arial" w:cs="Arial"/>
          <w:sz w:val="24"/>
          <w:szCs w:val="24"/>
        </w:rPr>
        <w:t>Les résultats des enquêtes auprès des producteurs souffrent de différents problèmes liés à la méthode de l'enquête en elle même. Bien qu'ayant couvert tout le champ de la production cotonnière, de sa vente, et de l'organisation entre les producteurs, le fait de poser des questions d'une certaine manière induit des réponses. Le fait d'être enquêté est parfois perçu par les producteurs de coton comme une reconnaissance, un intérêt que le monde porte sur lui. Certaines personnes viennent ainsi se mettre en avant. Or il est impossible de vérifier les déclarations des producteurs.</w:t>
      </w:r>
    </w:p>
    <w:p w14:paraId="39B1D1DA"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 xml:space="preserve">Bien que relativement court, le mode de fonctionnement du questionnaire fatigue les producteurs de coton qui ont tendance à vouloir écourter l'entretien. Aussi, la dispersion des villages au tour des centres urbains rend difficile l’accès à certains GIR. Cependant l'enquête semi dirigée ou libre n'aurait pas pu apporter suffisamment de réponses et il était nécessaire d'orienter les enquêtes sur les sujets mis en avant. Aussi, cette méthode a permis d'écouter des producteurs parmi les plus analphabètes auprès desquels un entretien libre aurait été très difficile. Les données ainsi produites ont la prétention de représenter le mieux possible la réalité et non pas seulement les perceptions des élites rurales des zones d’enquêtes. </w:t>
      </w:r>
    </w:p>
    <w:p w14:paraId="75CC5C01"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En effet, lors de nos enquêtes, certains acteurs ont été retissant à fournir certaines informations notamment les membres du bureau de la FPCO. Quant aux délégués techniques, ils étaient parfois incapables de fournir certaines informations concernant leur GIR.</w:t>
      </w:r>
    </w:p>
    <w:p w14:paraId="3BF27AF7" w14:textId="77777777" w:rsidR="008862C7" w:rsidRDefault="008862C7" w:rsidP="008862C7">
      <w:pPr>
        <w:autoSpaceDE w:val="0"/>
        <w:autoSpaceDN w:val="0"/>
        <w:adjustRightInd w:val="0"/>
        <w:spacing w:before="120" w:after="0" w:line="360" w:lineRule="auto"/>
        <w:jc w:val="both"/>
        <w:rPr>
          <w:rFonts w:ascii="Arial" w:hAnsi="Arial" w:cs="Arial"/>
          <w:sz w:val="24"/>
          <w:szCs w:val="24"/>
        </w:rPr>
      </w:pPr>
      <w:r>
        <w:rPr>
          <w:rFonts w:ascii="Arial" w:hAnsi="Arial" w:cs="Arial"/>
          <w:sz w:val="24"/>
          <w:szCs w:val="24"/>
        </w:rPr>
        <w:t>En outre, afin d’obtenir  des informations sur la filière, les hauts responsables comme les directeurs ou les chefs de service, les responsables du service financier de la Cellule coton et du ministère de l’agriculture, de l’Agence Centrafricaine de Développement agricole (ACDA) ont été contactés; mais les résultats étaient insatisfaisants.</w:t>
      </w:r>
    </w:p>
    <w:p w14:paraId="60641F15" w14:textId="77777777" w:rsidR="008862C7" w:rsidRDefault="008862C7" w:rsidP="008862C7">
      <w:pPr>
        <w:spacing w:before="120" w:after="0" w:line="360" w:lineRule="auto"/>
        <w:jc w:val="both"/>
        <w:rPr>
          <w:rFonts w:ascii="Arial" w:hAnsi="Arial" w:cs="Arial"/>
          <w:sz w:val="24"/>
          <w:szCs w:val="24"/>
        </w:rPr>
      </w:pPr>
      <w:r>
        <w:rPr>
          <w:rFonts w:ascii="Arial" w:hAnsi="Arial" w:cs="Arial"/>
          <w:sz w:val="24"/>
          <w:szCs w:val="24"/>
        </w:rPr>
        <w:t>Il y a par ailleurs beaucoup de contradictions entre les chiffres d'une étude à l'autre. D'autre part, quand des concordances existent dans les chiffres, c'est souvent en référence à une même source bibliographique. Ceci met en question le sérieux des consultants chargés du montage de ces dossiers et met en doute leur réelle connaissance du terrain.</w:t>
      </w:r>
    </w:p>
    <w:p w14:paraId="7C096229"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lastRenderedPageBreak/>
        <w:t xml:space="preserve">Cette étude a permis d’avoir une bonne connaissance de l’organisation et du fonctionnement de la filière rizicole en Centrafrique. Cependant des pistes restent à explorer. En effet, la labellisation et la normalisation de la qualité devront faire l’objet des travaux à part. </w:t>
      </w:r>
    </w:p>
    <w:p w14:paraId="0F07B090" w14:textId="77777777" w:rsidR="008862C7" w:rsidRDefault="008862C7" w:rsidP="008862C7">
      <w:pPr>
        <w:spacing w:line="360" w:lineRule="auto"/>
        <w:jc w:val="both"/>
        <w:rPr>
          <w:rFonts w:ascii="Arial" w:hAnsi="Arial" w:cs="Arial"/>
          <w:sz w:val="24"/>
          <w:szCs w:val="24"/>
        </w:rPr>
      </w:pPr>
      <w:r>
        <w:rPr>
          <w:rFonts w:ascii="Arial" w:hAnsi="Arial" w:cs="Arial"/>
          <w:sz w:val="24"/>
          <w:szCs w:val="24"/>
        </w:rPr>
        <w:t xml:space="preserve">Les perspectives de cette recherche seront d’approfondir les études sur la contribution de la qualité dans l’accroissement de la compétitivité du coton centrafricain. </w:t>
      </w:r>
    </w:p>
    <w:p w14:paraId="350D4CEB" w14:textId="77777777" w:rsidR="008862C7" w:rsidRDefault="008862C7" w:rsidP="008862C7">
      <w:pPr>
        <w:spacing w:line="360" w:lineRule="auto"/>
        <w:jc w:val="center"/>
        <w:rPr>
          <w:rFonts w:ascii="Arial" w:hAnsi="Arial" w:cs="Arial"/>
          <w:sz w:val="24"/>
          <w:szCs w:val="24"/>
        </w:rPr>
      </w:pPr>
    </w:p>
    <w:p w14:paraId="5A4CAD95" w14:textId="77777777" w:rsidR="008862C7" w:rsidRDefault="008862C7" w:rsidP="008862C7">
      <w:pPr>
        <w:rPr>
          <w:rFonts w:ascii="Calibri" w:hAnsi="Calibri" w:cs="Times New Roman"/>
        </w:rPr>
      </w:pPr>
    </w:p>
    <w:p w14:paraId="4AAC21A4" w14:textId="77777777" w:rsidR="0031591B" w:rsidRDefault="0031591B" w:rsidP="008862C7">
      <w:pPr>
        <w:rPr>
          <w:rFonts w:ascii="Calibri" w:hAnsi="Calibri" w:cs="Times New Roman"/>
        </w:rPr>
      </w:pPr>
    </w:p>
    <w:p w14:paraId="48937BBA" w14:textId="77777777" w:rsidR="0031591B" w:rsidRDefault="0031591B" w:rsidP="008862C7">
      <w:pPr>
        <w:rPr>
          <w:rFonts w:ascii="Calibri" w:hAnsi="Calibri" w:cs="Times New Roman"/>
        </w:rPr>
      </w:pPr>
    </w:p>
    <w:p w14:paraId="5CFE5EAB" w14:textId="77777777" w:rsidR="0031591B" w:rsidRDefault="0031591B" w:rsidP="008862C7">
      <w:pPr>
        <w:rPr>
          <w:rFonts w:ascii="Calibri" w:hAnsi="Calibri" w:cs="Times New Roman"/>
        </w:rPr>
      </w:pPr>
    </w:p>
    <w:p w14:paraId="2582A6A1" w14:textId="77777777" w:rsidR="0031591B" w:rsidRDefault="0031591B" w:rsidP="008862C7">
      <w:pPr>
        <w:rPr>
          <w:rFonts w:ascii="Calibri" w:hAnsi="Calibri" w:cs="Times New Roman"/>
        </w:rPr>
      </w:pPr>
    </w:p>
    <w:p w14:paraId="203F4688" w14:textId="77777777" w:rsidR="0031591B" w:rsidRDefault="0031591B" w:rsidP="008862C7">
      <w:pPr>
        <w:rPr>
          <w:rFonts w:ascii="Calibri" w:hAnsi="Calibri" w:cs="Times New Roman"/>
        </w:rPr>
      </w:pPr>
    </w:p>
    <w:p w14:paraId="3681934B" w14:textId="77777777" w:rsidR="0031591B" w:rsidRDefault="0031591B" w:rsidP="008862C7">
      <w:pPr>
        <w:rPr>
          <w:rFonts w:ascii="Calibri" w:hAnsi="Calibri" w:cs="Times New Roman"/>
        </w:rPr>
      </w:pPr>
    </w:p>
    <w:p w14:paraId="23FC6D74" w14:textId="77777777" w:rsidR="0031591B" w:rsidRDefault="0031591B" w:rsidP="008862C7">
      <w:pPr>
        <w:rPr>
          <w:rFonts w:ascii="Calibri" w:hAnsi="Calibri" w:cs="Times New Roman"/>
        </w:rPr>
      </w:pPr>
    </w:p>
    <w:p w14:paraId="25FFC060" w14:textId="77777777" w:rsidR="008862C7" w:rsidRDefault="008862C7" w:rsidP="008862C7"/>
    <w:p w14:paraId="5F83F66B" w14:textId="77777777" w:rsidR="008862C7" w:rsidRDefault="008862C7" w:rsidP="008862C7"/>
    <w:p w14:paraId="64915504" w14:textId="77777777" w:rsidR="008862C7" w:rsidRDefault="008862C7" w:rsidP="008862C7"/>
    <w:p w14:paraId="367754BE" w14:textId="77777777" w:rsidR="008862C7" w:rsidRDefault="008862C7" w:rsidP="008862C7"/>
    <w:p w14:paraId="1AFAD225" w14:textId="77777777" w:rsidR="008862C7" w:rsidRDefault="008862C7" w:rsidP="008862C7"/>
    <w:p w14:paraId="235C961B" w14:textId="77777777" w:rsidR="008862C7" w:rsidRDefault="008862C7" w:rsidP="008862C7"/>
    <w:p w14:paraId="31F75A48" w14:textId="77777777" w:rsidR="0031591B" w:rsidRDefault="0031591B" w:rsidP="008862C7"/>
    <w:p w14:paraId="794F5924" w14:textId="77777777" w:rsidR="0031591B" w:rsidRDefault="0031591B" w:rsidP="008862C7"/>
    <w:p w14:paraId="741BA3E0" w14:textId="77777777" w:rsidR="0031591B" w:rsidRDefault="0031591B" w:rsidP="008862C7"/>
    <w:p w14:paraId="636AB47F" w14:textId="77777777" w:rsidR="0031591B" w:rsidRDefault="0031591B" w:rsidP="008862C7"/>
    <w:p w14:paraId="0F9B4A2D" w14:textId="77777777" w:rsidR="0031591B" w:rsidRDefault="0031591B" w:rsidP="008862C7"/>
    <w:p w14:paraId="53795240" w14:textId="77777777" w:rsidR="0031591B" w:rsidRDefault="0031591B" w:rsidP="008862C7"/>
    <w:p w14:paraId="70553A0A" w14:textId="77777777" w:rsidR="0031591B" w:rsidRDefault="0031591B" w:rsidP="008862C7"/>
    <w:p w14:paraId="10A074D7" w14:textId="77777777" w:rsidR="0031591B" w:rsidRDefault="0031591B" w:rsidP="008862C7"/>
    <w:p w14:paraId="76AF2276" w14:textId="77777777" w:rsidR="0031591B" w:rsidRDefault="0031591B" w:rsidP="008862C7"/>
    <w:p w14:paraId="37C9F836" w14:textId="77777777" w:rsidR="0031591B" w:rsidRDefault="0031591B" w:rsidP="008862C7"/>
    <w:p w14:paraId="5A440675" w14:textId="77777777" w:rsidR="0031591B" w:rsidRDefault="0031591B" w:rsidP="008862C7"/>
    <w:p w14:paraId="7EB8A458" w14:textId="77777777" w:rsidR="0031591B" w:rsidRDefault="0031591B" w:rsidP="008862C7"/>
    <w:p w14:paraId="0C85CF1D" w14:textId="77777777" w:rsidR="0031591B" w:rsidRDefault="0031591B" w:rsidP="008862C7"/>
    <w:p w14:paraId="04674ADB" w14:textId="77777777" w:rsidR="0031591B" w:rsidRDefault="0031591B" w:rsidP="008862C7"/>
    <w:p w14:paraId="09AF5355" w14:textId="77777777" w:rsidR="0031591B" w:rsidRDefault="0031591B" w:rsidP="008862C7"/>
    <w:p w14:paraId="261C97F5" w14:textId="77777777" w:rsidR="0031591B" w:rsidRDefault="0031591B" w:rsidP="008862C7"/>
    <w:p w14:paraId="31FE4EB2" w14:textId="77777777" w:rsidR="0031591B" w:rsidRDefault="0031591B" w:rsidP="008862C7"/>
    <w:p w14:paraId="041DE174" w14:textId="77777777" w:rsidR="0031591B" w:rsidRDefault="0031591B" w:rsidP="008862C7"/>
    <w:p w14:paraId="095ECA01" w14:textId="77777777" w:rsidR="0031591B" w:rsidRDefault="0031591B" w:rsidP="008862C7"/>
    <w:p w14:paraId="147837F2" w14:textId="77777777" w:rsidR="0031591B" w:rsidRDefault="0031591B" w:rsidP="008862C7"/>
    <w:p w14:paraId="6306FF80" w14:textId="77777777" w:rsidR="008862C7" w:rsidRDefault="008862C7" w:rsidP="008862C7"/>
    <w:p w14:paraId="1E84C15F" w14:textId="77777777" w:rsidR="008862C7" w:rsidRDefault="008862C7" w:rsidP="008862C7">
      <w:pPr>
        <w:pStyle w:val="Titre1"/>
        <w:spacing w:line="360" w:lineRule="auto"/>
        <w:ind w:left="360"/>
        <w:jc w:val="center"/>
        <w:rPr>
          <w:sz w:val="24"/>
          <w:szCs w:val="24"/>
        </w:rPr>
      </w:pPr>
      <w:bookmarkStart w:id="311" w:name="_Toc321251105"/>
    </w:p>
    <w:p w14:paraId="65FB1441" w14:textId="77777777" w:rsidR="008862C7" w:rsidRDefault="008862C7" w:rsidP="008862C7"/>
    <w:p w14:paraId="6C44EB09" w14:textId="77777777" w:rsidR="008862C7" w:rsidRDefault="008862C7" w:rsidP="008862C7"/>
    <w:p w14:paraId="2AF9A7EA" w14:textId="77777777" w:rsidR="008862C7" w:rsidRDefault="008862C7" w:rsidP="0031591B">
      <w:pPr>
        <w:pStyle w:val="Titre1"/>
        <w:spacing w:line="360" w:lineRule="auto"/>
        <w:rPr>
          <w:sz w:val="24"/>
          <w:szCs w:val="24"/>
        </w:rPr>
      </w:pPr>
    </w:p>
    <w:p w14:paraId="46AB885C" w14:textId="77777777" w:rsidR="008862C7" w:rsidRDefault="008862C7" w:rsidP="008862C7">
      <w:pPr>
        <w:pStyle w:val="Titre1"/>
        <w:spacing w:line="360" w:lineRule="auto"/>
        <w:ind w:left="360"/>
        <w:jc w:val="center"/>
        <w:rPr>
          <w:sz w:val="24"/>
          <w:szCs w:val="24"/>
        </w:rPr>
      </w:pPr>
      <w:bookmarkStart w:id="312" w:name="_Toc395107711"/>
      <w:bookmarkStart w:id="313" w:name="_Toc394954783"/>
      <w:r>
        <w:rPr>
          <w:sz w:val="24"/>
          <w:szCs w:val="24"/>
        </w:rPr>
        <w:t>BIBLIOGRAPHIE</w:t>
      </w:r>
      <w:bookmarkEnd w:id="311"/>
      <w:bookmarkEnd w:id="312"/>
      <w:bookmarkEnd w:id="313"/>
    </w:p>
    <w:p w14:paraId="3D9B0EC8" w14:textId="77777777" w:rsidR="008862C7" w:rsidRDefault="008862C7" w:rsidP="008862C7">
      <w:pPr>
        <w:pStyle w:val="Corpsdetexte"/>
        <w:rPr>
          <w:lang w:eastAsia="zh-CN" w:bidi="hi-IN"/>
        </w:rPr>
      </w:pPr>
    </w:p>
    <w:p w14:paraId="0092F4F0" w14:textId="77777777" w:rsidR="008862C7" w:rsidRDefault="008862C7" w:rsidP="008862C7">
      <w:pPr>
        <w:pStyle w:val="Corpsdetexte"/>
        <w:rPr>
          <w:lang w:eastAsia="zh-CN" w:bidi="hi-IN"/>
        </w:rPr>
      </w:pPr>
    </w:p>
    <w:p w14:paraId="20CB4C58" w14:textId="77777777" w:rsidR="008862C7" w:rsidRDefault="008862C7" w:rsidP="008862C7">
      <w:pPr>
        <w:pStyle w:val="Corpsdetexte"/>
        <w:rPr>
          <w:lang w:eastAsia="zh-CN" w:bidi="hi-IN"/>
        </w:rPr>
      </w:pPr>
    </w:p>
    <w:p w14:paraId="323C8571" w14:textId="77777777" w:rsidR="008862C7" w:rsidRDefault="008862C7" w:rsidP="008862C7">
      <w:pPr>
        <w:pStyle w:val="Corpsdetexte"/>
        <w:rPr>
          <w:lang w:eastAsia="zh-CN" w:bidi="hi-IN"/>
        </w:rPr>
      </w:pPr>
    </w:p>
    <w:p w14:paraId="56D80B3E" w14:textId="77777777" w:rsidR="008862C7" w:rsidRDefault="008862C7" w:rsidP="008862C7">
      <w:pPr>
        <w:pStyle w:val="Corpsdetexte"/>
        <w:rPr>
          <w:lang w:eastAsia="zh-CN" w:bidi="hi-IN"/>
        </w:rPr>
      </w:pPr>
    </w:p>
    <w:p w14:paraId="39341AC9" w14:textId="77777777" w:rsidR="008862C7" w:rsidRDefault="008862C7" w:rsidP="008862C7">
      <w:pPr>
        <w:pStyle w:val="Corpsdetexte"/>
        <w:rPr>
          <w:lang w:eastAsia="zh-CN" w:bidi="hi-IN"/>
        </w:rPr>
      </w:pPr>
    </w:p>
    <w:p w14:paraId="1EF4574E" w14:textId="77777777" w:rsidR="008862C7" w:rsidRDefault="008862C7" w:rsidP="008862C7">
      <w:pPr>
        <w:pStyle w:val="Corpsdetexte"/>
        <w:rPr>
          <w:lang w:eastAsia="zh-CN" w:bidi="hi-IN"/>
        </w:rPr>
      </w:pPr>
    </w:p>
    <w:p w14:paraId="1EC60D5A" w14:textId="77777777" w:rsidR="008862C7" w:rsidRDefault="008862C7" w:rsidP="008862C7">
      <w:pPr>
        <w:pStyle w:val="Corpsdetexte"/>
        <w:rPr>
          <w:lang w:eastAsia="zh-CN" w:bidi="hi-IN"/>
        </w:rPr>
      </w:pPr>
    </w:p>
    <w:p w14:paraId="2EFAEA26" w14:textId="77777777" w:rsidR="008862C7" w:rsidRDefault="008862C7" w:rsidP="008862C7">
      <w:pPr>
        <w:pStyle w:val="Corpsdetexte"/>
        <w:rPr>
          <w:lang w:eastAsia="zh-CN" w:bidi="hi-IN"/>
        </w:rPr>
      </w:pPr>
    </w:p>
    <w:p w14:paraId="6AF56CF9" w14:textId="77777777" w:rsidR="008862C7" w:rsidRDefault="008862C7" w:rsidP="008862C7">
      <w:pPr>
        <w:pStyle w:val="Corpsdetexte"/>
        <w:rPr>
          <w:lang w:eastAsia="zh-CN" w:bidi="hi-IN"/>
        </w:rPr>
      </w:pPr>
    </w:p>
    <w:p w14:paraId="64627CFF" w14:textId="77777777" w:rsidR="008862C7" w:rsidRDefault="008862C7" w:rsidP="008862C7">
      <w:pPr>
        <w:pStyle w:val="Corpsdetexte"/>
        <w:rPr>
          <w:lang w:eastAsia="zh-CN" w:bidi="hi-IN"/>
        </w:rPr>
      </w:pPr>
    </w:p>
    <w:p w14:paraId="31623C3F" w14:textId="77777777" w:rsidR="008862C7" w:rsidRDefault="008862C7" w:rsidP="008862C7">
      <w:pPr>
        <w:pStyle w:val="Corpsdetexte"/>
        <w:rPr>
          <w:lang w:eastAsia="zh-CN" w:bidi="hi-IN"/>
        </w:rPr>
      </w:pPr>
    </w:p>
    <w:p w14:paraId="20AE0F29" w14:textId="77777777" w:rsidR="008862C7" w:rsidRDefault="008862C7" w:rsidP="008862C7">
      <w:pPr>
        <w:pStyle w:val="Corpsdetexte"/>
        <w:rPr>
          <w:lang w:eastAsia="zh-CN" w:bidi="hi-IN"/>
        </w:rPr>
      </w:pPr>
    </w:p>
    <w:p w14:paraId="50885C4E" w14:textId="77777777" w:rsidR="008862C7" w:rsidRDefault="008862C7" w:rsidP="008862C7">
      <w:pPr>
        <w:pStyle w:val="Corpsdetexte"/>
        <w:rPr>
          <w:lang w:eastAsia="zh-CN" w:bidi="hi-IN"/>
        </w:rPr>
      </w:pPr>
    </w:p>
    <w:p w14:paraId="1A49EFF5" w14:textId="77777777" w:rsidR="008862C7" w:rsidRDefault="008862C7" w:rsidP="008862C7">
      <w:pPr>
        <w:pStyle w:val="Corpsdetexte"/>
        <w:rPr>
          <w:lang w:eastAsia="zh-CN" w:bidi="hi-IN"/>
        </w:rPr>
      </w:pPr>
    </w:p>
    <w:p w14:paraId="218758C1" w14:textId="77777777" w:rsidR="008862C7" w:rsidRDefault="008862C7" w:rsidP="008862C7">
      <w:pPr>
        <w:pStyle w:val="Corpsdetexte"/>
        <w:rPr>
          <w:lang w:eastAsia="zh-CN" w:bidi="hi-IN"/>
        </w:rPr>
      </w:pPr>
    </w:p>
    <w:p w14:paraId="6064BA47"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lang w:val="en-US"/>
        </w:rPr>
      </w:pPr>
      <w:r>
        <w:rPr>
          <w:rFonts w:ascii="Arial" w:eastAsia="Calibri" w:hAnsi="Arial" w:cs="Arial"/>
          <w:lang w:val="en-US" w:eastAsia="en-US"/>
        </w:rPr>
        <w:lastRenderedPageBreak/>
        <w:t>Agriculture Canada (1991): “Task Force on competitiveness in the Agri-Food Industry, Growing Together”. Report to Ministers of Agriculture.</w:t>
      </w:r>
    </w:p>
    <w:p w14:paraId="134B31A7"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rPr>
      </w:pPr>
      <w:r>
        <w:rPr>
          <w:rFonts w:ascii="Arial" w:hAnsi="Arial" w:cs="Arial"/>
        </w:rPr>
        <w:t xml:space="preserve">Aho G. </w:t>
      </w:r>
      <w:commentRangeStart w:id="314"/>
      <w:r>
        <w:rPr>
          <w:rFonts w:ascii="Arial" w:hAnsi="Arial" w:cs="Arial"/>
        </w:rPr>
        <w:t>et all</w:t>
      </w:r>
      <w:commentRangeEnd w:id="314"/>
      <w:r>
        <w:rPr>
          <w:rStyle w:val="Marquedecommentaire"/>
        </w:rPr>
        <w:commentReference w:id="314"/>
      </w:r>
      <w:r>
        <w:rPr>
          <w:rFonts w:ascii="Arial" w:hAnsi="Arial" w:cs="Arial"/>
        </w:rPr>
        <w:t>, 2006 : Pour une stratégie de croissance pro-pauvre au service du développement humain : contrainte et défi pour la RCA. PNUD. Canada.148p</w:t>
      </w:r>
    </w:p>
    <w:p w14:paraId="46BC90CF"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Arghiri E. 1979 : l’échange inégal, essai sur les antagonismes dans les rapports internationaux, </w:t>
      </w:r>
      <w:r>
        <w:rPr>
          <w:rFonts w:ascii="Arial" w:hAnsi="Arial" w:cs="Arial"/>
          <w:i/>
          <w:sz w:val="24"/>
          <w:szCs w:val="24"/>
        </w:rPr>
        <w:t>collection économie et socialisme 12.</w:t>
      </w:r>
      <w:r>
        <w:rPr>
          <w:rFonts w:ascii="Arial" w:hAnsi="Arial" w:cs="Arial"/>
          <w:sz w:val="24"/>
          <w:szCs w:val="24"/>
        </w:rPr>
        <w:t xml:space="preserve"> Ed. François maspero. Paris. 422p</w:t>
      </w:r>
    </w:p>
    <w:p w14:paraId="4B0C376E" w14:textId="77777777" w:rsidR="008862C7" w:rsidRDefault="008862C7" w:rsidP="008862C7">
      <w:pPr>
        <w:pStyle w:val="Notedebasdepage"/>
        <w:numPr>
          <w:ilvl w:val="3"/>
          <w:numId w:val="49"/>
        </w:numPr>
        <w:autoSpaceDE w:val="0"/>
        <w:autoSpaceDN w:val="0"/>
        <w:adjustRightInd w:val="0"/>
        <w:spacing w:after="0" w:line="360" w:lineRule="auto"/>
        <w:ind w:left="360"/>
        <w:jc w:val="both"/>
        <w:rPr>
          <w:rFonts w:ascii="Arial" w:eastAsia="MS PMincho" w:hAnsi="Arial" w:cs="Arial"/>
          <w:sz w:val="24"/>
          <w:szCs w:val="24"/>
          <w:lang w:eastAsia="en-US"/>
        </w:rPr>
      </w:pPr>
      <w:r>
        <w:rPr>
          <w:rFonts w:ascii="Arial" w:eastAsia="MS PMincho" w:hAnsi="Arial" w:cs="Arial"/>
          <w:sz w:val="24"/>
          <w:szCs w:val="24"/>
          <w:lang w:eastAsia="en-US"/>
        </w:rPr>
        <w:t>Bachta M.S., El Abbassi  M., Ferktaji  R. : Compétitivité des produits agricoles tunisiens exportés et coûts en  ressources naturelles.  In : Laajimi  A. (éd.), Arfa L. (éd.). Le futur des échanges agroalimentaires dans le bassin Méditerranéen : Les Enjeux de la mondialisation et les défis de la compétitivité. Zaragoza : CIHEAM, 2001.  p.101-111 (Cahiers Options Méditerranéennes; n° 57).</w:t>
      </w:r>
    </w:p>
    <w:p w14:paraId="2EB755D2" w14:textId="77777777" w:rsidR="008862C7" w:rsidRDefault="008862C7" w:rsidP="008862C7">
      <w:pPr>
        <w:pStyle w:val="Notedebasdepage"/>
        <w:numPr>
          <w:ilvl w:val="3"/>
          <w:numId w:val="49"/>
        </w:numPr>
        <w:autoSpaceDE w:val="0"/>
        <w:autoSpaceDN w:val="0"/>
        <w:adjustRightInd w:val="0"/>
        <w:spacing w:after="0" w:line="360" w:lineRule="auto"/>
        <w:ind w:left="360"/>
        <w:jc w:val="both"/>
        <w:rPr>
          <w:rFonts w:ascii="Arial" w:eastAsia="MS PMincho" w:hAnsi="Arial" w:cs="Arial"/>
          <w:sz w:val="24"/>
          <w:szCs w:val="24"/>
          <w:lang w:eastAsia="en-US"/>
        </w:rPr>
      </w:pPr>
      <w:r>
        <w:rPr>
          <w:rFonts w:ascii="Arial" w:eastAsia="MS PMincho" w:hAnsi="Arial" w:cs="Arial"/>
          <w:sz w:val="24"/>
          <w:szCs w:val="24"/>
          <w:lang w:eastAsia="en-US"/>
        </w:rPr>
        <w:t xml:space="preserve">Badiane et all, 2002 : Evolution des filières cotonnières en Afrique de l’ouest et du centre. </w:t>
      </w:r>
      <w:r>
        <w:rPr>
          <w:rFonts w:ascii="NimbusRomNo9L" w:eastAsia="Calibri" w:hAnsi="NimbusRomNo9L" w:cs="NimbusRomNo9L"/>
          <w:sz w:val="24"/>
          <w:szCs w:val="24"/>
          <w:lang w:eastAsia="en-US"/>
        </w:rPr>
        <w:t>Ed. The World Bank, Washington. N° 2867.</w:t>
      </w:r>
    </w:p>
    <w:p w14:paraId="4A64317B"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eastAsia="Calibri" w:hAnsi="Arial" w:cs="Arial"/>
          <w:b/>
          <w:bCs/>
          <w:lang w:val="en-US" w:eastAsia="en-US"/>
        </w:rPr>
      </w:pPr>
      <w:r>
        <w:rPr>
          <w:rFonts w:ascii="Arial" w:eastAsia="Calibri" w:hAnsi="Arial" w:cs="Arial"/>
          <w:bCs/>
          <w:lang w:val="en-US" w:eastAsia="en-US"/>
        </w:rPr>
        <w:t>Balassa</w:t>
      </w:r>
      <w:r>
        <w:rPr>
          <w:rFonts w:ascii="Arial" w:eastAsia="Calibri" w:hAnsi="Arial" w:cs="Arial"/>
          <w:lang w:val="en-US" w:eastAsia="en-US"/>
        </w:rPr>
        <w:t>, B. (1965),</w:t>
      </w:r>
      <w:r>
        <w:rPr>
          <w:rFonts w:ascii="Arial" w:eastAsia="Calibri" w:hAnsi="Arial" w:cs="Arial"/>
          <w:b/>
          <w:bCs/>
          <w:lang w:val="en-US" w:eastAsia="en-US"/>
        </w:rPr>
        <w:t xml:space="preserve"> </w:t>
      </w:r>
      <w:r>
        <w:rPr>
          <w:rFonts w:ascii="Arial" w:eastAsia="Calibri" w:hAnsi="Arial" w:cs="Arial"/>
          <w:lang w:val="en-US" w:eastAsia="en-US"/>
        </w:rPr>
        <w:t>“Trade liberalization and revealed comparative advantage”,</w:t>
      </w:r>
      <w:r>
        <w:rPr>
          <w:rFonts w:ascii="Arial" w:eastAsia="Calibri" w:hAnsi="Arial" w:cs="Arial"/>
          <w:b/>
          <w:bCs/>
          <w:lang w:val="en-US" w:eastAsia="en-US"/>
        </w:rPr>
        <w:t xml:space="preserve"> </w:t>
      </w:r>
      <w:r>
        <w:rPr>
          <w:rFonts w:ascii="Arial" w:eastAsia="Calibri" w:hAnsi="Arial" w:cs="Arial"/>
          <w:i/>
          <w:iCs/>
          <w:lang w:val="en-US" w:eastAsia="en-US"/>
        </w:rPr>
        <w:t>The Manchester School of Economic and Social Studies</w:t>
      </w:r>
      <w:r>
        <w:rPr>
          <w:rFonts w:ascii="Arial" w:eastAsia="Calibri" w:hAnsi="Arial" w:cs="Arial"/>
          <w:lang w:val="en-US" w:eastAsia="en-US"/>
        </w:rPr>
        <w:t>,</w:t>
      </w:r>
      <w:r>
        <w:rPr>
          <w:rFonts w:ascii="Arial" w:eastAsia="Calibri" w:hAnsi="Arial" w:cs="Arial"/>
          <w:b/>
          <w:bCs/>
          <w:lang w:val="en-US" w:eastAsia="en-US"/>
        </w:rPr>
        <w:t xml:space="preserve"> </w:t>
      </w:r>
      <w:r>
        <w:rPr>
          <w:rFonts w:ascii="Arial" w:eastAsia="Calibri" w:hAnsi="Arial" w:cs="Arial"/>
          <w:lang w:val="en-US" w:eastAsia="en-US"/>
        </w:rPr>
        <w:t>n° 33.</w:t>
      </w:r>
    </w:p>
    <w:p w14:paraId="00CB0D82"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eastAsia="Calibri" w:hAnsi="Arial" w:cs="Arial"/>
          <w:b/>
          <w:bCs/>
          <w:lang w:eastAsia="en-US"/>
        </w:rPr>
      </w:pPr>
      <w:r>
        <w:rPr>
          <w:rFonts w:ascii="Arial" w:eastAsia="Calibri" w:hAnsi="Arial" w:cs="Arial"/>
          <w:lang w:eastAsia="en-US"/>
        </w:rPr>
        <w:t>Banque Mondiale 2008 : Doing business 2008, comparaison de réglementations dans 178 pays. BM, SFI. De boeck. Bruxelles. 204p</w:t>
      </w:r>
    </w:p>
    <w:p w14:paraId="08D1F531"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Style w:val="lev"/>
        </w:rPr>
      </w:pPr>
      <w:r>
        <w:rPr>
          <w:rFonts w:ascii="Arial" w:hAnsi="Arial" w:cs="Arial"/>
        </w:rPr>
        <w:t>BEAC : « </w:t>
      </w:r>
      <w:r>
        <w:rPr>
          <w:rFonts w:ascii="Arial" w:hAnsi="Arial" w:cs="Arial"/>
          <w:i/>
        </w:rPr>
        <w:t>Bulletin d’étude et statistique</w:t>
      </w:r>
      <w:r>
        <w:rPr>
          <w:rFonts w:ascii="Arial" w:hAnsi="Arial" w:cs="Arial"/>
        </w:rPr>
        <w:t xml:space="preserve"> » </w:t>
      </w:r>
      <w:r>
        <w:rPr>
          <w:rStyle w:val="lev"/>
          <w:rFonts w:ascii="Arial" w:hAnsi="Arial" w:cs="Arial"/>
          <w:b w:val="0"/>
        </w:rPr>
        <w:t>n° 162  Mai 2005  et</w:t>
      </w:r>
      <w:r>
        <w:rPr>
          <w:rStyle w:val="lev"/>
          <w:rFonts w:ascii="Arial" w:hAnsi="Arial" w:cs="Arial"/>
        </w:rPr>
        <w:t xml:space="preserve"> </w:t>
      </w:r>
      <w:r>
        <w:rPr>
          <w:rFonts w:ascii="Arial" w:hAnsi="Arial" w:cs="Arial"/>
        </w:rPr>
        <w:t xml:space="preserve">n° 173 Déc. 2006  </w:t>
      </w:r>
    </w:p>
    <w:p w14:paraId="79B81EC8" w14:textId="77777777" w:rsidR="008862C7" w:rsidRDefault="008862C7" w:rsidP="008862C7">
      <w:pPr>
        <w:pStyle w:val="Standard"/>
        <w:numPr>
          <w:ilvl w:val="3"/>
          <w:numId w:val="49"/>
        </w:numPr>
        <w:spacing w:after="0" w:line="360" w:lineRule="auto"/>
        <w:ind w:left="360"/>
        <w:jc w:val="both"/>
      </w:pPr>
      <w:r>
        <w:rPr>
          <w:rFonts w:ascii="Arial" w:hAnsi="Arial" w:cs="Arial"/>
        </w:rPr>
        <w:t>BEAC (2000-2010) : Rapports d’agence de N’Djamena. TCHAD.</w:t>
      </w:r>
    </w:p>
    <w:p w14:paraId="2781DD06"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Boussard J.M., 1987 : Economie de l’agriculture. Economica ; Paris.310p  </w:t>
      </w:r>
    </w:p>
    <w:p w14:paraId="3C0902E0"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Bremond J., Gélédora A., 1996: Dictionnaire économique et social. Hatier</w:t>
      </w:r>
    </w:p>
    <w:p w14:paraId="40C02118"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 xml:space="preserve">Cadasse D. : </w:t>
      </w:r>
      <w:r>
        <w:rPr>
          <w:rFonts w:ascii="Arial" w:hAnsi="Arial" w:cs="Arial"/>
          <w:bCs/>
        </w:rPr>
        <w:t>Coton et l'Afrique : Subventions et Commerce</w:t>
      </w:r>
      <w:r>
        <w:rPr>
          <w:rFonts w:ascii="Arial" w:hAnsi="Arial" w:cs="Arial"/>
        </w:rPr>
        <w:t xml:space="preserve">. Source: </w:t>
      </w:r>
    </w:p>
    <w:p w14:paraId="25C267C4"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Calabre S. et all, 1995 : Matières premières : marchés mondiaux, déséquilibres, organisation. Ministère de la coopération/Economica ; 321p</w:t>
      </w:r>
    </w:p>
    <w:p w14:paraId="2E13A013"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rPr>
      </w:pPr>
      <w:commentRangeStart w:id="315"/>
      <w:r>
        <w:rPr>
          <w:rFonts w:ascii="Arial" w:hAnsi="Arial" w:cs="Arial"/>
          <w:bCs/>
        </w:rPr>
        <w:t>Centre de Commerce I</w:t>
      </w:r>
      <w:commentRangeEnd w:id="315"/>
      <w:r>
        <w:rPr>
          <w:rStyle w:val="Marquedecommentaire"/>
        </w:rPr>
        <w:commentReference w:id="315"/>
      </w:r>
      <w:r>
        <w:rPr>
          <w:rFonts w:ascii="Arial" w:hAnsi="Arial" w:cs="Arial"/>
          <w:bCs/>
        </w:rPr>
        <w:t>nternational, 1984 : Le financement des exportations des pays en développement. CENUCED. Genève.</w:t>
      </w:r>
    </w:p>
    <w:p w14:paraId="41F0B286"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CCI., 2007 : Guide de l’exportateur de coton. CENUCED, OMC. Genève. 363p</w:t>
      </w:r>
    </w:p>
    <w:p w14:paraId="49FD8C4E"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rPr>
      </w:pPr>
      <w:r>
        <w:rPr>
          <w:rFonts w:ascii="Arial" w:hAnsi="Arial" w:cs="Arial"/>
          <w:bCs/>
        </w:rPr>
        <w:t>Cellule coton (2005-2011) : Rapport de campagne de commercialisation 2006-, 2010, ACDA</w:t>
      </w:r>
    </w:p>
    <w:p w14:paraId="1EFC6D12"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rPr>
      </w:pPr>
      <w:r>
        <w:rPr>
          <w:rFonts w:ascii="Arial" w:hAnsi="Arial" w:cs="Arial"/>
          <w:bCs/>
        </w:rPr>
        <w:t>CENUA, 2008 : Les économies de l’Afrique centrale : le rôle des produits de base dans le développement socio-économique des pays de l’Afrique centrale. Ed. Maisonneuve et Larose.</w:t>
      </w:r>
    </w:p>
    <w:p w14:paraId="54F1121F"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rPr>
      </w:pPr>
      <w:r>
        <w:rPr>
          <w:rFonts w:ascii="Arial" w:hAnsi="Arial" w:cs="Arial"/>
          <w:bCs/>
        </w:rPr>
        <w:t>CEPII 1993 : La compétitivité des nations.</w:t>
      </w:r>
    </w:p>
    <w:p w14:paraId="3F510D26"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CEPII. 2006 : l’économie mondiale 2007. Collection repères. Economie. Ed. découverte. Mayenne. 125p.</w:t>
      </w:r>
    </w:p>
    <w:p w14:paraId="23723523"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Chalmin P., 2001 : Les marchés mondiaux des produits agricoles. Economica, éd CYCLOPE. Paris. 583p</w:t>
      </w:r>
    </w:p>
    <w:p w14:paraId="6F6D3A62"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lastRenderedPageBreak/>
        <w:t>Chavatte D., Rocaboy J.-C., Waddell A., 1998 : Bilan diagnostic de la filière coton en RCA et perspectives de développement. Ministère de l’agriculture et l’élevage. Bangui, 130p.</w:t>
      </w:r>
    </w:p>
    <w:p w14:paraId="4C65A40F"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Consultant J.M., 1995 : la compétitivité du coton dans le monde - pays hors zone franc - vol 1 synthèse. Ministère de la coopération. 321p. France.</w:t>
      </w:r>
    </w:p>
    <w:p w14:paraId="7253A0FF"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Consultant J.M., 1995 : la compétitivité du coton dans le monde - pays hors zone franc - vol 2. Etudes pays. Les aspects Demandes-Marchés-Prix. Ministère de la coopération. 341p. France.</w:t>
      </w:r>
    </w:p>
    <w:p w14:paraId="0D5456C4" w14:textId="77777777" w:rsidR="008862C7" w:rsidRDefault="008862C7" w:rsidP="008862C7">
      <w:pPr>
        <w:pStyle w:val="Standard"/>
        <w:numPr>
          <w:ilvl w:val="3"/>
          <w:numId w:val="49"/>
        </w:numPr>
        <w:autoSpaceDE w:val="0"/>
        <w:autoSpaceDN w:val="0"/>
        <w:adjustRightInd w:val="0"/>
        <w:spacing w:after="0" w:line="360" w:lineRule="auto"/>
        <w:ind w:left="360"/>
        <w:jc w:val="both"/>
        <w:rPr>
          <w:rFonts w:ascii="Arial" w:hAnsi="Arial" w:cs="Arial"/>
        </w:rPr>
      </w:pPr>
      <w:r>
        <w:rPr>
          <w:rFonts w:ascii="NimbusRomNo9L" w:eastAsia="Calibri" w:hAnsi="NimbusRomNo9L" w:cs="NimbusRomNo9L"/>
          <w:lang w:eastAsia="en-US"/>
        </w:rPr>
        <w:t>Devèze, J.C., Halley des Fontaines, D., 2005. Le devenir des agricultures familiales des zones cotonnières africaines : Une mutation à conduire avec tous les acteurs. A partir des cas du Bénin, du Burkina Faso, du Cameroun et du Mali. Agence Française de Développement. 85 p.</w:t>
      </w:r>
    </w:p>
    <w:p w14:paraId="7791680E"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Devèze J.C., et all., 2008 : défis agricoles africains. Karthala, AFD. Paris. 414p.</w:t>
      </w:r>
    </w:p>
    <w:p w14:paraId="2051CC89"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eastAsia="Calibri" w:hAnsi="Arial" w:cs="Arial"/>
          <w:lang w:eastAsia="en-US"/>
        </w:rPr>
        <w:t>Direr A., 2008 : théories du commerce international. Cours de L3-M1. Université de Grenoble 2. France.</w:t>
      </w:r>
    </w:p>
    <w:p w14:paraId="7D206986"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eastAsia="Calibri" w:hAnsi="Arial" w:cs="Arial"/>
          <w:lang w:eastAsia="en-US"/>
        </w:rPr>
        <w:t>Djimasra N. 2009 : Efficacité technique, productivité et compétitivité des principaux pays producteurs de coton. Thèse de doctorat en sciences économiques. Université d’Orléans. 408p.</w:t>
      </w:r>
    </w:p>
    <w:p w14:paraId="5F7D3E00"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eastAsia="Calibri" w:hAnsi="Arial" w:cs="Arial"/>
          <w:lang w:eastAsia="en-US"/>
        </w:rPr>
        <w:t>Duguet E. 2010 :   Econométrie des panels avec application.</w:t>
      </w:r>
    </w:p>
    <w:p w14:paraId="62C07DCF"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NimbusRomNo9L" w:eastAsia="Calibri" w:hAnsi="NimbusRomNo9L" w:cs="NimbusRomNo9L"/>
          <w:lang w:eastAsia="en-US"/>
        </w:rPr>
        <w:t xml:space="preserve">Estur G., 2006. Le marché mondial du coton : évolution et perspectives. </w:t>
      </w:r>
      <w:r>
        <w:rPr>
          <w:rFonts w:ascii="NimbusRomNo9L" w:eastAsia="Calibri" w:hAnsi="NimbusRomNo9L" w:cs="NimbusRomNo9L"/>
          <w:i/>
          <w:iCs/>
          <w:lang w:eastAsia="en-US"/>
        </w:rPr>
        <w:t>Cahiers Agricultures</w:t>
      </w:r>
      <w:r>
        <w:rPr>
          <w:rFonts w:ascii="NimbusRomNo9L" w:eastAsia="Calibri" w:hAnsi="NimbusRomNo9L" w:cs="NimbusRomNo9L"/>
          <w:lang w:eastAsia="en-US"/>
        </w:rPr>
        <w:t xml:space="preserve">, Volume 15, N°1, pp. 9-16. </w:t>
      </w:r>
    </w:p>
    <w:p w14:paraId="0DA7590D"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NimbusRomNo9L" w:eastAsia="Calibri" w:hAnsi="NimbusRomNo9L" w:cs="NimbusRomNo9L"/>
          <w:lang w:eastAsia="en-US"/>
        </w:rPr>
        <w:t>Estur G., 2005. Situation et perspectives du marché mondial du coton. Comité Consultatif International du Coton, CCIC, Washington, 9p.</w:t>
      </w:r>
    </w:p>
    <w:p w14:paraId="680FFBF2"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FAO., 2007 : Aperçu mondial et régional ; une perspective à plus long terme : la situation mondiale  de l’alimentation  et de l’agriculture.</w:t>
      </w:r>
    </w:p>
    <w:p w14:paraId="484163E8"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Fontaine F., Bodman B., Goulard S., 2010 : La mondialisation. Collection </w:t>
      </w:r>
      <w:r>
        <w:rPr>
          <w:rFonts w:ascii="Arial" w:hAnsi="Arial" w:cs="Arial"/>
          <w:i/>
          <w:sz w:val="24"/>
          <w:szCs w:val="24"/>
        </w:rPr>
        <w:t>pour les nuls.</w:t>
      </w:r>
      <w:r>
        <w:rPr>
          <w:rFonts w:ascii="Arial" w:hAnsi="Arial" w:cs="Arial"/>
          <w:sz w:val="24"/>
          <w:szCs w:val="24"/>
        </w:rPr>
        <w:t xml:space="preserve"> Ed. First-Gründ. Paris, 325p.</w:t>
      </w:r>
    </w:p>
    <w:p w14:paraId="0FA291D4"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eastAsia="Calibri" w:hAnsi="Arial" w:cs="Arial"/>
          <w:bCs/>
          <w:lang w:eastAsia="en-US"/>
        </w:rPr>
      </w:pPr>
      <w:r>
        <w:rPr>
          <w:rFonts w:ascii="Arial" w:eastAsia="Calibri" w:hAnsi="Arial" w:cs="Arial"/>
          <w:bCs/>
          <w:i/>
          <w:iCs/>
          <w:lang w:eastAsia="en-US"/>
        </w:rPr>
        <w:t>Fontan</w:t>
      </w:r>
      <w:r>
        <w:rPr>
          <w:rFonts w:ascii="Arial" w:eastAsia="Calibri" w:hAnsi="Arial" w:cs="Arial"/>
          <w:bCs/>
          <w:lang w:eastAsia="en-US"/>
        </w:rPr>
        <w:t xml:space="preserve"> C. 2006 : « L’outil » filière agricole pour le développement rural. Centre d’économie du développement. Université de Bordeaux IV. Document de travail n°124/2006, p27.</w:t>
      </w:r>
    </w:p>
    <w:p w14:paraId="6AC11D9F" w14:textId="77777777" w:rsidR="008862C7" w:rsidRDefault="008862C7" w:rsidP="008862C7">
      <w:pPr>
        <w:pStyle w:val="NormalWeb"/>
        <w:numPr>
          <w:ilvl w:val="3"/>
          <w:numId w:val="49"/>
        </w:numPr>
        <w:spacing w:after="0" w:line="360" w:lineRule="auto"/>
        <w:ind w:left="360"/>
        <w:jc w:val="both"/>
        <w:rPr>
          <w:rFonts w:ascii="Arial" w:hAnsi="Arial" w:cs="Arial"/>
        </w:rPr>
      </w:pPr>
      <w:r>
        <w:rPr>
          <w:rStyle w:val="familyname"/>
          <w:rFonts w:ascii="Arial" w:hAnsi="Arial" w:cs="Arial"/>
          <w:bCs/>
        </w:rPr>
        <w:t>Gafsi</w:t>
      </w:r>
      <w:r>
        <w:rPr>
          <w:rStyle w:val="lev"/>
          <w:rFonts w:ascii="Arial" w:hAnsi="Arial" w:cs="Arial"/>
        </w:rPr>
        <w:t> </w:t>
      </w:r>
      <w:r>
        <w:rPr>
          <w:rStyle w:val="lev"/>
          <w:rFonts w:ascii="Arial" w:hAnsi="Arial" w:cs="Arial"/>
          <w:b w:val="0"/>
        </w:rPr>
        <w:t>M.;</w:t>
      </w:r>
      <w:r>
        <w:rPr>
          <w:rStyle w:val="lev"/>
          <w:rFonts w:ascii="Arial" w:hAnsi="Arial" w:cs="Arial"/>
        </w:rPr>
        <w:t xml:space="preserve">  </w:t>
      </w:r>
      <w:r>
        <w:rPr>
          <w:rStyle w:val="familyname"/>
          <w:rFonts w:ascii="Arial" w:hAnsi="Arial" w:cs="Arial"/>
          <w:bCs/>
        </w:rPr>
        <w:t xml:space="preserve">Mbétid-Bessane </w:t>
      </w:r>
      <w:r>
        <w:rPr>
          <w:rStyle w:val="lev"/>
          <w:rFonts w:ascii="Arial" w:hAnsi="Arial" w:cs="Arial"/>
          <w:b w:val="0"/>
        </w:rPr>
        <w:t>E.</w:t>
      </w:r>
      <w:r>
        <w:rPr>
          <w:rFonts w:ascii="Arial" w:hAnsi="Arial" w:cs="Arial"/>
        </w:rPr>
        <w:t xml:space="preserve">, 2002 : </w:t>
      </w:r>
      <w:r>
        <w:rPr>
          <w:rFonts w:ascii="Arial" w:hAnsi="Arial" w:cs="Arial"/>
          <w:i/>
        </w:rPr>
        <w:t>« Les producteurs de coton face à la libéralisation de la filière : le cas Centrafrique »,</w:t>
      </w:r>
      <w:r>
        <w:rPr>
          <w:rFonts w:ascii="Arial" w:eastAsia="Calibri" w:hAnsi="Arial" w:cs="Arial"/>
        </w:rPr>
        <w:t xml:space="preserve"> </w:t>
      </w:r>
      <w:r>
        <w:rPr>
          <w:rStyle w:val="Accentuation"/>
          <w:rFonts w:ascii="Arial" w:eastAsia="Calibri" w:hAnsi="Arial" w:cs="Arial"/>
        </w:rPr>
        <w:t>Les Cahiers d’Outre-mer</w:t>
      </w:r>
      <w:r>
        <w:rPr>
          <w:rFonts w:ascii="Arial" w:hAnsi="Arial" w:cs="Arial"/>
        </w:rPr>
        <w:t>, 220 ; Octobre-Décembre 2002, [En ligne], mis en ligne le 13 février 2008. URL : http://com.revues.org/index964.html. Consulté le 13 février 2011.</w:t>
      </w:r>
    </w:p>
    <w:p w14:paraId="0D9A5207" w14:textId="77777777" w:rsidR="008862C7" w:rsidRDefault="008862C7" w:rsidP="008862C7">
      <w:pPr>
        <w:pStyle w:val="NormalWeb"/>
        <w:numPr>
          <w:ilvl w:val="3"/>
          <w:numId w:val="49"/>
        </w:numPr>
        <w:spacing w:after="0" w:line="360" w:lineRule="auto"/>
        <w:ind w:left="360"/>
        <w:jc w:val="both"/>
        <w:rPr>
          <w:rFonts w:ascii="Arial" w:hAnsi="Arial" w:cs="Arial"/>
        </w:rPr>
      </w:pPr>
      <w:r>
        <w:rPr>
          <w:rStyle w:val="familyname"/>
          <w:rFonts w:ascii="Arial" w:hAnsi="Arial" w:cs="Arial"/>
          <w:bCs/>
        </w:rPr>
        <w:t>Gafsi</w:t>
      </w:r>
      <w:r>
        <w:rPr>
          <w:rStyle w:val="lev"/>
          <w:rFonts w:ascii="Arial" w:hAnsi="Arial" w:cs="Arial"/>
        </w:rPr>
        <w:t> </w:t>
      </w:r>
      <w:r>
        <w:rPr>
          <w:rStyle w:val="lev"/>
          <w:rFonts w:ascii="Arial" w:hAnsi="Arial" w:cs="Arial"/>
          <w:b w:val="0"/>
        </w:rPr>
        <w:t>M.;</w:t>
      </w:r>
      <w:r>
        <w:rPr>
          <w:rStyle w:val="lev"/>
          <w:rFonts w:ascii="Arial" w:hAnsi="Arial" w:cs="Arial"/>
        </w:rPr>
        <w:t xml:space="preserve">  </w:t>
      </w:r>
      <w:r>
        <w:rPr>
          <w:rStyle w:val="familyname"/>
          <w:rFonts w:ascii="Arial" w:hAnsi="Arial" w:cs="Arial"/>
          <w:bCs/>
        </w:rPr>
        <w:t xml:space="preserve">Mbétid-Bessane </w:t>
      </w:r>
      <w:r>
        <w:rPr>
          <w:rStyle w:val="lev"/>
          <w:rFonts w:ascii="Arial" w:hAnsi="Arial" w:cs="Arial"/>
          <w:b w:val="0"/>
        </w:rPr>
        <w:t>E.</w:t>
      </w:r>
      <w:r>
        <w:rPr>
          <w:rFonts w:ascii="Arial" w:hAnsi="Arial" w:cs="Arial"/>
        </w:rPr>
        <w:t>, 2002 : Stratégies des exploitations cotonnières et libéralisation de la filière. Cahier d’Agriculture 2003, 12 : 253-260.</w:t>
      </w:r>
    </w:p>
    <w:p w14:paraId="74499448" w14:textId="77777777" w:rsidR="008862C7" w:rsidRDefault="008862C7" w:rsidP="008862C7">
      <w:pPr>
        <w:pStyle w:val="NormalWeb"/>
        <w:numPr>
          <w:ilvl w:val="3"/>
          <w:numId w:val="49"/>
        </w:numPr>
        <w:spacing w:after="0" w:line="360" w:lineRule="auto"/>
        <w:ind w:left="360"/>
        <w:jc w:val="both"/>
        <w:rPr>
          <w:rFonts w:ascii="Arial" w:hAnsi="Arial" w:cs="Arial"/>
        </w:rPr>
      </w:pPr>
      <w:r>
        <w:rPr>
          <w:rFonts w:ascii="Arial" w:eastAsia="Calibri" w:hAnsi="Arial" w:cs="Arial"/>
          <w:bCs/>
          <w:lang w:eastAsia="en-US"/>
        </w:rPr>
        <w:lastRenderedPageBreak/>
        <w:t>Gergely N. 2010 : Analyse comparative de l’organisation et des performances des filières cotonnières africaines, la filière coton de Côte d’Ivoire. Africa region working paper series no. 130 (b) juin 2010. 76p.</w:t>
      </w:r>
    </w:p>
    <w:p w14:paraId="45CA81C5"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Grozet Y., 1984 : Economie international : Les grandes théories de l’économie internationale.</w:t>
      </w:r>
    </w:p>
    <w:p w14:paraId="04E146E6"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Hassine N. Matoussi M. 2006 : </w:t>
      </w:r>
      <w:r>
        <w:rPr>
          <w:rFonts w:ascii="Arial" w:hAnsi="Arial" w:cs="Arial"/>
          <w:i/>
          <w:sz w:val="24"/>
          <w:szCs w:val="24"/>
        </w:rPr>
        <w:t>« le rôle de la qualité dans les exportations agricoles : une vérification empirique pour la méditerranée »</w:t>
      </w:r>
      <w:r>
        <w:rPr>
          <w:rFonts w:ascii="Arial" w:hAnsi="Arial" w:cs="Arial"/>
          <w:sz w:val="24"/>
          <w:szCs w:val="24"/>
        </w:rPr>
        <w:t xml:space="preserve">. Economie internationale N°106, p109-136 </w:t>
      </w:r>
    </w:p>
    <w:p w14:paraId="5169A15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Hawkins R. 2012 : compétitivité-concepts clés. ICRA. www.icra-edu.org  </w:t>
      </w:r>
    </w:p>
    <w:p w14:paraId="5C5FAB3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Heilbroner R. et Thurow L. 1981 : Comprendre la macroéconomie. 8</w:t>
      </w:r>
      <w:r>
        <w:rPr>
          <w:rFonts w:ascii="Arial" w:hAnsi="Arial" w:cs="Arial"/>
          <w:sz w:val="24"/>
          <w:szCs w:val="24"/>
          <w:vertAlign w:val="superscript"/>
        </w:rPr>
        <w:t>e</w:t>
      </w:r>
      <w:r>
        <w:rPr>
          <w:rFonts w:ascii="Arial" w:hAnsi="Arial" w:cs="Arial"/>
          <w:sz w:val="24"/>
          <w:szCs w:val="24"/>
        </w:rPr>
        <w:t xml:space="preserve"> éd. Tendances Actuelles. Economica. Paris, 516p.</w:t>
      </w:r>
    </w:p>
    <w:p w14:paraId="5D388604"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NimbusRomNo9L" w:eastAsia="Calibri" w:hAnsi="NimbusRomNo9L" w:cs="NimbusRomNo9L"/>
          <w:sz w:val="24"/>
          <w:szCs w:val="24"/>
          <w:lang w:eastAsia="en-US"/>
        </w:rPr>
        <w:t xml:space="preserve">Hugon P., 2005. Les filières cotonnières africaines au regard des enjeux nationaux et internationaux. </w:t>
      </w:r>
      <w:r>
        <w:rPr>
          <w:rFonts w:ascii="NimbusRomNo9L" w:eastAsia="Calibri" w:hAnsi="NimbusRomNo9L" w:cs="NimbusRomNo9L"/>
          <w:i/>
          <w:iCs/>
          <w:sz w:val="24"/>
          <w:szCs w:val="24"/>
          <w:lang w:eastAsia="en-US"/>
        </w:rPr>
        <w:t>Notes et Etudes Economiques</w:t>
      </w:r>
      <w:r>
        <w:rPr>
          <w:rFonts w:ascii="NimbusRomNo9L" w:eastAsia="Calibri" w:hAnsi="NimbusRomNo9L" w:cs="NimbusRomNo9L"/>
          <w:sz w:val="24"/>
          <w:szCs w:val="24"/>
          <w:lang w:eastAsia="en-US"/>
        </w:rPr>
        <w:t>, N°23, pp. 87-112.</w:t>
      </w:r>
    </w:p>
    <w:p w14:paraId="5C7A3F43"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Hurlin C. 2010 : l’économétrie des données de panel, Modèles Linéaire Simples. Ecole doctorale Edocif. Séminaire Méthodologique</w:t>
      </w:r>
    </w:p>
    <w:p w14:paraId="58D9D830"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Kadékoy-Tigagué D., et all., 1995 : Les exploitations agricoles dans la zone des savanes centrafricaines. Bangui. ICRA, ACDA.</w:t>
      </w:r>
    </w:p>
    <w:p w14:paraId="38478407" w14:textId="77777777" w:rsidR="008862C7" w:rsidRDefault="008862C7" w:rsidP="008862C7">
      <w:pPr>
        <w:pStyle w:val="Standard"/>
        <w:numPr>
          <w:ilvl w:val="3"/>
          <w:numId w:val="49"/>
        </w:numPr>
        <w:autoSpaceDE w:val="0"/>
        <w:autoSpaceDN w:val="0"/>
        <w:adjustRightInd w:val="0"/>
        <w:spacing w:after="0" w:line="360" w:lineRule="auto"/>
        <w:ind w:left="360"/>
        <w:jc w:val="both"/>
        <w:rPr>
          <w:rFonts w:ascii="Arial" w:hAnsi="Arial" w:cs="Arial"/>
        </w:rPr>
      </w:pPr>
      <w:r>
        <w:rPr>
          <w:rFonts w:ascii="Arial" w:hAnsi="Arial" w:cs="Arial"/>
        </w:rPr>
        <w:t>Kadékoy-Tigagué D., Hamadou Bello B., 2006: Diagnostic du segment approvisionnement en intrants des organisations de producteurs dans la filière cotonnière de Centrafrique. ICRA, PRASAC, CEMAC.17p</w:t>
      </w:r>
    </w:p>
    <w:p w14:paraId="2AA0CB2C" w14:textId="77777777" w:rsidR="008862C7" w:rsidRDefault="008862C7" w:rsidP="008862C7">
      <w:pPr>
        <w:pStyle w:val="Standard"/>
        <w:numPr>
          <w:ilvl w:val="3"/>
          <w:numId w:val="49"/>
        </w:numPr>
        <w:autoSpaceDE w:val="0"/>
        <w:autoSpaceDN w:val="0"/>
        <w:adjustRightInd w:val="0"/>
        <w:spacing w:after="0" w:line="360" w:lineRule="auto"/>
        <w:ind w:left="360"/>
        <w:jc w:val="both"/>
        <w:rPr>
          <w:rFonts w:ascii="Arial" w:hAnsi="Arial" w:cs="Arial"/>
        </w:rPr>
      </w:pPr>
      <w:r>
        <w:rPr>
          <w:rFonts w:ascii="Arial" w:hAnsi="Arial" w:cs="Arial"/>
        </w:rPr>
        <w:t xml:space="preserve">Kadékoy-Tigagué D., 2010 : </w:t>
      </w:r>
      <w:r>
        <w:rPr>
          <w:rFonts w:ascii="Arial" w:eastAsia="Calibri" w:hAnsi="Arial" w:cs="Arial"/>
          <w:bCs/>
          <w:lang w:eastAsia="en-US"/>
        </w:rPr>
        <w:t>Impact des stratégies multifonctionnelles sur la performance économique des exploitations agricoles en zone de savanes de Centrafrique face à la crise cotonnière. Thèse de doctorat en économie. Université de rennes 2. 281p.</w:t>
      </w:r>
    </w:p>
    <w:p w14:paraId="759F2D86"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rPr>
          <w:rFonts w:ascii="Arial" w:eastAsia="Calibri" w:hAnsi="Arial" w:cs="Arial"/>
          <w:lang w:eastAsia="en-US"/>
        </w:rPr>
      </w:pPr>
      <w:r>
        <w:rPr>
          <w:rFonts w:ascii="Arial" w:eastAsia="Calibri" w:hAnsi="Arial" w:cs="Arial"/>
          <w:lang w:eastAsia="en-US"/>
        </w:rPr>
        <w:t>Krugman P. et Obstfeld M. : Economie internationale. De Boeck.</w:t>
      </w:r>
    </w:p>
    <w:p w14:paraId="76A26603"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eastAsia="Calibri" w:hAnsi="Arial" w:cs="Arial"/>
          <w:lang w:eastAsia="en-US"/>
        </w:rPr>
        <w:t xml:space="preserve">Lantenois C. 2009 : </w:t>
      </w:r>
      <w:r>
        <w:rPr>
          <w:rFonts w:ascii="Arial" w:eastAsia="Calibri" w:hAnsi="Arial" w:cs="Arial"/>
          <w:bCs/>
          <w:lang w:eastAsia="en-US"/>
        </w:rPr>
        <w:t>Discussion sur les déterminants des performances allemandes à l’export : La R&amp;D et la brevetabilité comme vecteurs de la compétitivité hors-prix.</w:t>
      </w:r>
    </w:p>
    <w:p w14:paraId="4F307680"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Latruffe, L. (2010), «Compétitivité, productivité et efficacité dans les secteurs agricole et agroalimentaire», Editions OCDE.</w:t>
      </w:r>
    </w:p>
    <w:p w14:paraId="113EFE9E"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jc w:val="both"/>
        <w:rPr>
          <w:rFonts w:ascii="Arial" w:eastAsia="MS PMincho" w:hAnsi="Arial" w:cs="Arial"/>
          <w:lang w:eastAsia="en-US"/>
        </w:rPr>
      </w:pPr>
      <w:r>
        <w:rPr>
          <w:rFonts w:ascii="Arial" w:eastAsia="MS PMincho" w:hAnsi="Arial" w:cs="Arial"/>
          <w:lang w:eastAsia="en-US"/>
        </w:rPr>
        <w:t xml:space="preserve">Lachaal  L. : </w:t>
      </w:r>
      <w:r>
        <w:rPr>
          <w:rFonts w:ascii="Arial" w:eastAsia="MS PMincho" w:hAnsi="Arial" w:cs="Arial"/>
          <w:i/>
          <w:lang w:eastAsia="en-US"/>
        </w:rPr>
        <w:t>« La compétitivité : Concepts,  définitions et applications ».</w:t>
      </w:r>
      <w:r>
        <w:rPr>
          <w:rFonts w:ascii="Arial" w:eastAsia="MS PMincho" w:hAnsi="Arial" w:cs="Arial"/>
          <w:lang w:eastAsia="en-US"/>
        </w:rPr>
        <w:t xml:space="preserve">  In : Laajimi  A. (éd.), Arfa L. (éd.). Le futur des échanges agro-alimentaires dans le bassin méditerranéen : Les enjeux de la mondialisation et les défis de la compétitivité. Zaragoza: CIHEAM, 2001. p.29-36 (Cahiers Options Méditerranéennes; n°57)</w:t>
      </w:r>
    </w:p>
    <w:p w14:paraId="38BABF60"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Lecaillon J., 2001 : Analyse microéconomique : les marchés. Ed. Economica</w:t>
      </w:r>
    </w:p>
    <w:p w14:paraId="6F4CA6C1"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Le monde, 2011 : « Bilan du monde, la situation économique internationale ». Hors série. Paris, 186p.</w:t>
      </w:r>
    </w:p>
    <w:p w14:paraId="6AA634FE"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lastRenderedPageBreak/>
        <w:t>Lindert P. et Kindlerberger P. 1983 : Economie Internationale. Collection Irwin séries in Economics. 7</w:t>
      </w:r>
      <w:r>
        <w:rPr>
          <w:rFonts w:ascii="Arial" w:hAnsi="Arial" w:cs="Arial"/>
          <w:sz w:val="24"/>
          <w:szCs w:val="24"/>
          <w:vertAlign w:val="superscript"/>
        </w:rPr>
        <w:t>e</w:t>
      </w:r>
      <w:r>
        <w:rPr>
          <w:rFonts w:ascii="Arial" w:hAnsi="Arial" w:cs="Arial"/>
          <w:sz w:val="24"/>
          <w:szCs w:val="24"/>
        </w:rPr>
        <w:t xml:space="preserve"> édition. Tendances Actuelles. Paris, 648p.</w:t>
      </w:r>
    </w:p>
    <w:p w14:paraId="054BF04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Mbétid-Bessane E., 2002, Gestion des exploitations agricoles dans le processus de libéralisation de la filière cotonnière en Centrafrique. Thèse de doctorat en Economie, Institut National Polytechnique de Toulouse, 317p</w:t>
      </w:r>
    </w:p>
    <w:p w14:paraId="4D4DC53C"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Mbétid-Bessane E., 2003, Crise cotonnière en Centrafrique et choix  des agriculteurs en fonction de leur localisation à la ville. Tropicultura 21, 4, 218-220.  </w:t>
      </w:r>
    </w:p>
    <w:p w14:paraId="3B9468C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Mbétid-Bessane E., 2004, Faiblesse de la main-d’œuvre familiale et diversification des activités dans les exploitations agricoles de la zone cotonnière en Centrafrique. Tropicultura 22, 2, 88-92.</w:t>
      </w:r>
    </w:p>
    <w:p w14:paraId="4784C6A1"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Mbétid-Bessane E., 2003, Crise cotonnière en Centrafrique et choix  des agriculteurs en fonction de leur localisation à la ville. Tropicultura 21, 4, 218-220.     </w:t>
      </w:r>
    </w:p>
    <w:p w14:paraId="4BC4DFA3"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Mbétid-Bessane E., 2010 : Déterminants économiques et sociaux de choix de la culture cotonnière et de son intensification dans un contexte de crise de la filière en Centrafrique. Tropicultura 28, 2, 96-100. </w:t>
      </w:r>
    </w:p>
    <w:p w14:paraId="5AC43F30"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lang w:val="en-US"/>
        </w:rPr>
      </w:pPr>
      <w:r>
        <w:rPr>
          <w:rFonts w:ascii="Arial" w:hAnsi="Arial" w:cs="Arial"/>
          <w:sz w:val="24"/>
          <w:szCs w:val="24"/>
        </w:rPr>
        <w:t xml:space="preserve">Mbétid-Bessane E.; Havard M., Djondang K. 2006 : Evolution des pratiques de gestion dans les exploitations familiales des savanes cotonnières d’Afrique centrale. </w:t>
      </w:r>
      <w:r>
        <w:rPr>
          <w:rFonts w:ascii="Arial" w:hAnsi="Arial" w:cs="Arial"/>
          <w:sz w:val="24"/>
          <w:szCs w:val="24"/>
          <w:lang w:val="en-US"/>
        </w:rPr>
        <w:t>Cahier d’Agriculture, Vol 15, n°6, novembre-decembre 2006, p555-561.</w:t>
      </w:r>
    </w:p>
    <w:p w14:paraId="35B8FF83"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lang w:val="en-US"/>
        </w:rPr>
      </w:pPr>
      <w:r>
        <w:rPr>
          <w:rFonts w:ascii="Arial" w:hAnsi="Arial" w:cs="Arial"/>
          <w:sz w:val="24"/>
          <w:szCs w:val="24"/>
          <w:lang w:val="en-US"/>
        </w:rPr>
        <w:t>Mbétid-Bessane E. et Havard M., 2008: Cotton policies in Central Africa and farmers’ adaptive strategies: how to assits them this process? Life sciences international journal. Special issue N°, 1 « Cotton policies », p100-111.   </w:t>
      </w:r>
    </w:p>
    <w:p w14:paraId="152F0DB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Mbétid-Bessane E. et all, 2006 : Effets des changements socio-économiques sur les stratégies des agriculteurs des zones cotonnière d’Afrique centrale..   Cameroon Journal of Agricultural Science. Vol 2 N°.2, p26-32.</w:t>
      </w:r>
    </w:p>
    <w:p w14:paraId="492E307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Mbétid-Bessane E. et all, 2010 : Impacts des changements de politiques dans un contexte de crise mondialisée sur les acteurs des filières cotonnière d’Afrique centrale. Etude originale. Cahier d’Agriculture, Vol 19 N°.1, janvier-Février 2010. p21-27.</w:t>
      </w:r>
    </w:p>
    <w:p w14:paraId="0C0669A0"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Mc Graw-Hill, 1984 : Encyclopédie économique. </w:t>
      </w:r>
      <w:r>
        <w:rPr>
          <w:rFonts w:ascii="Arial" w:hAnsi="Arial" w:cs="Arial"/>
          <w:sz w:val="24"/>
          <w:szCs w:val="24"/>
          <w:lang w:val="en-US"/>
        </w:rPr>
        <w:t xml:space="preserve">Economica, éd. Douglas Greenway. Paris. </w:t>
      </w:r>
      <w:r>
        <w:rPr>
          <w:rFonts w:ascii="Arial" w:hAnsi="Arial" w:cs="Arial"/>
          <w:sz w:val="24"/>
          <w:szCs w:val="24"/>
        </w:rPr>
        <w:t>1223p.</w:t>
      </w:r>
    </w:p>
    <w:p w14:paraId="6D0EE687"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bCs/>
          <w:sz w:val="24"/>
          <w:szCs w:val="24"/>
        </w:rPr>
        <w:t>OCDE (2001) : « </w:t>
      </w:r>
      <w:r>
        <w:rPr>
          <w:rFonts w:ascii="Arial" w:hAnsi="Arial" w:cs="Arial"/>
          <w:sz w:val="24"/>
          <w:szCs w:val="24"/>
        </w:rPr>
        <w:t>Mesurer la productivité : Manuel de l'OCDE : mesurer la croissance de la productivité par secteur et pour l'ensemble de l‘économie » Statistique Directorate, for Science, Technology and Industry, 149 p.</w:t>
      </w:r>
    </w:p>
    <w:p w14:paraId="6FAECD37" w14:textId="77777777" w:rsidR="008862C7" w:rsidRDefault="008862C7" w:rsidP="008862C7">
      <w:pPr>
        <w:pStyle w:val="Notedebasdepage"/>
        <w:numPr>
          <w:ilvl w:val="3"/>
          <w:numId w:val="49"/>
        </w:numPr>
        <w:autoSpaceDE w:val="0"/>
        <w:autoSpaceDN w:val="0"/>
        <w:adjustRightInd w:val="0"/>
        <w:spacing w:after="0" w:line="360" w:lineRule="auto"/>
        <w:ind w:left="360"/>
        <w:jc w:val="both"/>
        <w:rPr>
          <w:rFonts w:ascii="Arial" w:eastAsia="MS PMincho" w:hAnsi="Arial" w:cs="Arial"/>
          <w:sz w:val="24"/>
          <w:szCs w:val="24"/>
          <w:lang w:eastAsia="en-US"/>
        </w:rPr>
      </w:pPr>
      <w:r>
        <w:rPr>
          <w:rFonts w:ascii="Arial" w:eastAsia="MS PMincho" w:hAnsi="Arial" w:cs="Arial"/>
          <w:sz w:val="24"/>
          <w:szCs w:val="24"/>
          <w:lang w:eastAsia="en-US"/>
        </w:rPr>
        <w:t xml:space="preserve">Perrin S. et Lagandre D. : « le coton africain face à la concurrence du marché mondiale ». AFD Jumbo. Rapport thématique n°6. Septembre 2006. </w:t>
      </w:r>
      <w:r>
        <w:rPr>
          <w:rFonts w:ascii="Arial" w:hAnsi="Arial" w:cs="Arial"/>
          <w:sz w:val="24"/>
          <w:szCs w:val="24"/>
        </w:rPr>
        <w:t>32p</w:t>
      </w:r>
      <w:r>
        <w:rPr>
          <w:rFonts w:ascii="Arial" w:eastAsia="MS PMincho" w:hAnsi="Arial" w:cs="Arial"/>
          <w:sz w:val="24"/>
          <w:szCs w:val="24"/>
          <w:lang w:eastAsia="en-US"/>
        </w:rPr>
        <w:t xml:space="preserve">   </w:t>
      </w:r>
    </w:p>
    <w:p w14:paraId="2003A0B5"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lastRenderedPageBreak/>
        <w:t xml:space="preserve">Pichon D., 1997 : Dictionnaire Larousse, Paris. </w:t>
      </w:r>
    </w:p>
    <w:p w14:paraId="4638FE9E"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PNUD, 2003 : Rapport mondiale sur le développement humain 2003. Economica. Paris. 365p.</w:t>
      </w:r>
    </w:p>
    <w:p w14:paraId="138CDC73"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bCs/>
          <w:sz w:val="24"/>
          <w:szCs w:val="24"/>
        </w:rPr>
        <w:t>Porter, M.E., (1992) : « </w:t>
      </w:r>
      <w:r>
        <w:rPr>
          <w:rFonts w:ascii="Arial" w:hAnsi="Arial" w:cs="Arial"/>
          <w:sz w:val="24"/>
          <w:szCs w:val="24"/>
        </w:rPr>
        <w:t>L’avantage concurrentiel des firmes », Inter éditions, Université de Harvard. </w:t>
      </w:r>
    </w:p>
    <w:p w14:paraId="1DF1F495"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bCs/>
          <w:sz w:val="24"/>
          <w:szCs w:val="24"/>
        </w:rPr>
        <w:t>Porter, M.E., (1999) : « </w:t>
      </w:r>
      <w:r>
        <w:rPr>
          <w:rFonts w:ascii="Arial" w:hAnsi="Arial" w:cs="Arial"/>
          <w:sz w:val="24"/>
          <w:szCs w:val="24"/>
        </w:rPr>
        <w:t>L’avantage concurrentiel, comment devancer ses concurrents et maintenir son avance ? », Dunod</w:t>
      </w:r>
    </w:p>
    <w:p w14:paraId="6640B292" w14:textId="77777777" w:rsidR="008862C7" w:rsidRDefault="008862C7" w:rsidP="008862C7">
      <w:pPr>
        <w:pStyle w:val="Paragraphedeliste"/>
        <w:numPr>
          <w:ilvl w:val="3"/>
          <w:numId w:val="49"/>
        </w:numPr>
        <w:suppressAutoHyphens/>
        <w:autoSpaceDE w:val="0"/>
        <w:autoSpaceDN w:val="0"/>
        <w:adjustRightInd w:val="0"/>
        <w:spacing w:after="0" w:line="360" w:lineRule="auto"/>
        <w:ind w:left="360"/>
        <w:rPr>
          <w:rFonts w:ascii="Arial" w:eastAsia="Calibri" w:hAnsi="Arial" w:cs="Arial"/>
          <w:lang w:eastAsia="en-US"/>
        </w:rPr>
      </w:pPr>
      <w:r>
        <w:rPr>
          <w:rFonts w:ascii="Arial" w:eastAsia="Calibri" w:hAnsi="Arial" w:cs="Arial"/>
          <w:lang w:eastAsia="en-US"/>
        </w:rPr>
        <w:t>Rainelli M. : La nouvelle théorie du commerce international » La découverte. Paris.</w:t>
      </w:r>
    </w:p>
    <w:p w14:paraId="5B0F7EF4"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Rudolf M., 1977 : Economie politique du tiers monde. Cujas ; Paris. 721 p</w:t>
      </w:r>
    </w:p>
    <w:p w14:paraId="7C863067"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Salvator D.  : Econométrie et statistiques appliquées </w:t>
      </w:r>
    </w:p>
    <w:p w14:paraId="42FBD07C"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Seiny-Boukar L., Boumard P., et Floret C. 2011 : Savanes d’Afrique centrale : bilan d’une décennie de recherches appliquées. PRASAC. N’Ndjamena.152p. </w:t>
      </w:r>
    </w:p>
    <w:p w14:paraId="517A02A2"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sz w:val="24"/>
          <w:szCs w:val="24"/>
        </w:rPr>
        <w:t xml:space="preserve">Scott G. et Griffon D. 1998 : Prix, produits et acteurs ; Méthode pour analyser la commercialisation agricole dans les pays en développement. Ed. KARTHALA, CIRAD et CIP. France. 498p. </w:t>
      </w:r>
    </w:p>
    <w:p w14:paraId="50C3D5AB"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bCs/>
          <w:sz w:val="24"/>
          <w:szCs w:val="24"/>
        </w:rPr>
        <w:t>SOCADETEX., (2003-2005) : Rapport compagne de commercialisation 2004, 2005, Bossangoa ; Bambari.</w:t>
      </w:r>
    </w:p>
    <w:p w14:paraId="03E8F2A4"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hAnsi="Arial" w:cs="Arial"/>
          <w:bCs/>
          <w:sz w:val="24"/>
          <w:szCs w:val="24"/>
        </w:rPr>
        <w:t xml:space="preserve">SOCOCA., (2000-2003) : Rapport compagne de commercialisation 2000, 2001, 2003 Bossangoa ; Bambari ; Guiffa ; Péndé. </w:t>
      </w:r>
    </w:p>
    <w:p w14:paraId="1AB1382D"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eastAsia="MS PMincho" w:hAnsi="Arial" w:cs="Arial"/>
          <w:sz w:val="24"/>
          <w:szCs w:val="24"/>
          <w:lang w:eastAsia="en-US"/>
        </w:rPr>
        <w:t xml:space="preserve">Statistique Canada : </w:t>
      </w:r>
      <w:r>
        <w:rPr>
          <w:rFonts w:ascii="Arial" w:eastAsia="MS PMincho" w:hAnsi="Arial" w:cs="Arial"/>
          <w:i/>
          <w:sz w:val="24"/>
          <w:szCs w:val="24"/>
          <w:lang w:eastAsia="en-US"/>
        </w:rPr>
        <w:t xml:space="preserve">« indice des pris des produits agricoles » </w:t>
      </w:r>
      <w:r>
        <w:rPr>
          <w:rFonts w:ascii="Arial" w:eastAsia="Calibri" w:hAnsi="Arial" w:cs="Arial"/>
          <w:sz w:val="24"/>
          <w:szCs w:val="24"/>
          <w:lang w:eastAsia="en-US"/>
        </w:rPr>
        <w:t xml:space="preserve">N° 21-007-XIF au catalogue. </w:t>
      </w:r>
      <w:hyperlink r:id="rId29" w:history="1">
        <w:r>
          <w:rPr>
            <w:rStyle w:val="Lienhypertexte"/>
            <w:rFonts w:ascii="Arial" w:eastAsia="Calibri" w:hAnsi="Arial" w:cs="Arial"/>
            <w:i/>
            <w:iCs/>
            <w:sz w:val="24"/>
            <w:szCs w:val="24"/>
            <w:lang w:eastAsia="en-US"/>
          </w:rPr>
          <w:t>www.statcan.ca/publications</w:t>
        </w:r>
      </w:hyperlink>
    </w:p>
    <w:p w14:paraId="1BC4CB79" w14:textId="77777777" w:rsidR="008862C7" w:rsidRDefault="008862C7" w:rsidP="008862C7">
      <w:pPr>
        <w:pStyle w:val="Notedebasdepage"/>
        <w:numPr>
          <w:ilvl w:val="3"/>
          <w:numId w:val="49"/>
        </w:numPr>
        <w:spacing w:after="0" w:line="360" w:lineRule="auto"/>
        <w:ind w:left="360"/>
        <w:jc w:val="both"/>
        <w:rPr>
          <w:rFonts w:ascii="Arial" w:hAnsi="Arial" w:cs="Arial"/>
          <w:sz w:val="24"/>
          <w:szCs w:val="24"/>
        </w:rPr>
      </w:pPr>
      <w:r>
        <w:rPr>
          <w:rFonts w:ascii="Arial" w:eastAsia="Calibri" w:hAnsi="Arial" w:cs="Arial"/>
          <w:sz w:val="24"/>
          <w:szCs w:val="24"/>
          <w:lang w:eastAsia="en-US"/>
        </w:rPr>
        <w:t xml:space="preserve">Ternisien  M., et  Diguet A.F. 2000 : Indicateurs et facteurs de compétitivité des services rendus à l’industrie. Les </w:t>
      </w:r>
      <w:r>
        <w:rPr>
          <w:rFonts w:ascii="Arial" w:eastAsia="Calibri" w:hAnsi="Arial" w:cs="Arial"/>
          <w:i/>
          <w:iCs/>
          <w:sz w:val="24"/>
          <w:szCs w:val="24"/>
          <w:lang w:eastAsia="en-US"/>
        </w:rPr>
        <w:t>Éditions de l’Industrie</w:t>
      </w:r>
      <w:r>
        <w:rPr>
          <w:rFonts w:ascii="Arial" w:eastAsia="Calibri" w:hAnsi="Arial" w:cs="Arial"/>
          <w:sz w:val="24"/>
          <w:szCs w:val="24"/>
          <w:lang w:eastAsia="en-US"/>
        </w:rPr>
        <w:t>, Paris 2001. Collection Études. ministère de l'Économie des Finances et de l'Industrie. 158p.</w:t>
      </w:r>
    </w:p>
    <w:p w14:paraId="67BEB27A" w14:textId="77777777" w:rsidR="008862C7" w:rsidRDefault="008862C7" w:rsidP="008862C7">
      <w:pPr>
        <w:pStyle w:val="Notedebasdepage"/>
        <w:spacing w:after="0" w:line="360" w:lineRule="auto"/>
        <w:ind w:left="2160" w:firstLine="0"/>
        <w:jc w:val="both"/>
        <w:rPr>
          <w:rFonts w:ascii="Arial" w:hAnsi="Arial" w:cs="Arial"/>
          <w:sz w:val="24"/>
          <w:szCs w:val="24"/>
        </w:rPr>
      </w:pPr>
    </w:p>
    <w:p w14:paraId="19D1E424" w14:textId="77777777" w:rsidR="008862C7" w:rsidRDefault="008862C7" w:rsidP="008862C7">
      <w:pPr>
        <w:pStyle w:val="Standard"/>
        <w:spacing w:after="0" w:line="360" w:lineRule="auto"/>
        <w:jc w:val="both"/>
        <w:outlineLvl w:val="2"/>
        <w:rPr>
          <w:rFonts w:ascii="Arial" w:hAnsi="Arial" w:cs="Arial"/>
          <w:b/>
        </w:rPr>
      </w:pPr>
      <w:bookmarkStart w:id="316" w:name="_Toc395107712"/>
      <w:r>
        <w:rPr>
          <w:rFonts w:ascii="Arial" w:hAnsi="Arial" w:cs="Arial"/>
          <w:b/>
        </w:rPr>
        <w:t>WEBOGRAPHIE</w:t>
      </w:r>
      <w:bookmarkEnd w:id="316"/>
      <w:r>
        <w:rPr>
          <w:rFonts w:ascii="Arial" w:hAnsi="Arial" w:cs="Arial"/>
          <w:b/>
        </w:rPr>
        <w:t xml:space="preserve"> </w:t>
      </w:r>
    </w:p>
    <w:p w14:paraId="2429E92F" w14:textId="77777777" w:rsidR="008862C7" w:rsidRDefault="008862C7" w:rsidP="008862C7">
      <w:pPr>
        <w:pStyle w:val="Standard"/>
        <w:numPr>
          <w:ilvl w:val="3"/>
          <w:numId w:val="49"/>
        </w:numPr>
        <w:spacing w:after="0" w:line="360" w:lineRule="auto"/>
        <w:ind w:left="360"/>
        <w:jc w:val="both"/>
        <w:rPr>
          <w:rFonts w:ascii="Arial" w:hAnsi="Arial" w:cs="Arial"/>
        </w:rPr>
      </w:pPr>
      <w:r>
        <w:rPr>
          <w:rFonts w:ascii="Arial" w:hAnsi="Arial" w:cs="Arial"/>
        </w:rPr>
        <w:t xml:space="preserve"> </w:t>
      </w:r>
      <w:hyperlink r:id="rId30" w:history="1">
        <w:r>
          <w:rPr>
            <w:rStyle w:val="Lienhypertexte"/>
            <w:rFonts w:ascii="Arial" w:hAnsi="Arial" w:cs="Arial"/>
          </w:rPr>
          <w:t>http://com.revues.org/index964.html</w:t>
        </w:r>
      </w:hyperlink>
      <w:r>
        <w:rPr>
          <w:rFonts w:ascii="Arial" w:hAnsi="Arial" w:cs="Arial"/>
        </w:rPr>
        <w:t>.</w:t>
      </w:r>
    </w:p>
    <w:p w14:paraId="76E37B13" w14:textId="77777777" w:rsidR="008862C7" w:rsidRDefault="00EA1CF0" w:rsidP="008862C7">
      <w:pPr>
        <w:pStyle w:val="Standard"/>
        <w:numPr>
          <w:ilvl w:val="3"/>
          <w:numId w:val="49"/>
        </w:numPr>
        <w:spacing w:after="0" w:line="360" w:lineRule="auto"/>
        <w:ind w:left="360"/>
        <w:jc w:val="both"/>
        <w:rPr>
          <w:rFonts w:ascii="Arial" w:hAnsi="Arial" w:cs="Arial"/>
        </w:rPr>
      </w:pPr>
      <w:hyperlink r:id="rId31" w:history="1">
        <w:r w:rsidR="008862C7">
          <w:rPr>
            <w:rStyle w:val="Lienhypertexte"/>
            <w:rFonts w:ascii="Arial" w:hAnsi="Arial" w:cs="Arial"/>
          </w:rPr>
          <w:t>https://www.icac.org</w:t>
        </w:r>
      </w:hyperlink>
    </w:p>
    <w:p w14:paraId="0FF5814A" w14:textId="77777777" w:rsidR="008862C7" w:rsidRDefault="00EA1CF0" w:rsidP="008862C7">
      <w:pPr>
        <w:pStyle w:val="Standard"/>
        <w:numPr>
          <w:ilvl w:val="3"/>
          <w:numId w:val="49"/>
        </w:numPr>
        <w:spacing w:after="0" w:line="360" w:lineRule="auto"/>
        <w:ind w:left="360"/>
        <w:jc w:val="both"/>
        <w:rPr>
          <w:rFonts w:ascii="Arial" w:hAnsi="Arial" w:cs="Arial"/>
        </w:rPr>
      </w:pPr>
      <w:hyperlink r:id="rId32" w:history="1">
        <w:r w:rsidR="008862C7">
          <w:rPr>
            <w:rStyle w:val="Lienhypertexte"/>
            <w:rFonts w:ascii="Arial" w:hAnsi="Arial" w:cs="Arial"/>
          </w:rPr>
          <w:t>http://faostat3.fao.org/faostat-gateway/go/to/home/E</w:t>
        </w:r>
      </w:hyperlink>
    </w:p>
    <w:p w14:paraId="586DB13F"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3" w:history="1">
        <w:r w:rsidR="008862C7">
          <w:rPr>
            <w:rStyle w:val="Lienhypertexte"/>
            <w:rFonts w:ascii="Arial" w:hAnsi="Arial" w:cs="Arial"/>
            <w:sz w:val="24"/>
            <w:szCs w:val="24"/>
          </w:rPr>
          <w:t>www.cotlook.org</w:t>
        </w:r>
      </w:hyperlink>
    </w:p>
    <w:p w14:paraId="0335B507"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4" w:history="1">
        <w:r w:rsidR="008862C7">
          <w:rPr>
            <w:rStyle w:val="Lienhypertexte"/>
            <w:rFonts w:ascii="Arial" w:hAnsi="Arial" w:cs="Arial"/>
            <w:sz w:val="24"/>
            <w:szCs w:val="24"/>
          </w:rPr>
          <w:t>www.africacoton.org</w:t>
        </w:r>
      </w:hyperlink>
    </w:p>
    <w:p w14:paraId="3E6E79AD"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5" w:history="1">
        <w:r w:rsidR="008862C7">
          <w:rPr>
            <w:rStyle w:val="Lienhypertexte"/>
            <w:rFonts w:ascii="Arial" w:hAnsi="Arial" w:cs="Arial"/>
            <w:sz w:val="24"/>
            <w:szCs w:val="24"/>
          </w:rPr>
          <w:t>www.econ.worldbank.org/WBSITE/EXTERNAL/EXTDECPROSPACTS/</w:t>
        </w:r>
      </w:hyperlink>
    </w:p>
    <w:p w14:paraId="2F3EBB2A"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6" w:history="1">
        <w:r w:rsidR="008862C7">
          <w:rPr>
            <w:rStyle w:val="Lienhypertexte"/>
            <w:rFonts w:ascii="Arial" w:hAnsi="Arial" w:cs="Arial"/>
            <w:sz w:val="24"/>
            <w:szCs w:val="24"/>
          </w:rPr>
          <w:t>www.fao.org/giews/pricetoll</w:t>
        </w:r>
      </w:hyperlink>
    </w:p>
    <w:p w14:paraId="149F1885"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7" w:history="1">
        <w:r w:rsidR="008862C7">
          <w:rPr>
            <w:rStyle w:val="Lienhypertexte"/>
            <w:rFonts w:ascii="Arial" w:hAnsi="Arial" w:cs="Arial"/>
            <w:sz w:val="24"/>
            <w:szCs w:val="24"/>
          </w:rPr>
          <w:t>www.ams.usda.gov/cotton</w:t>
        </w:r>
      </w:hyperlink>
    </w:p>
    <w:p w14:paraId="367C6D20"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8" w:history="1">
        <w:r w:rsidR="008862C7">
          <w:rPr>
            <w:rStyle w:val="Lienhypertexte"/>
            <w:rFonts w:ascii="Arial" w:hAnsi="Arial" w:cs="Arial"/>
            <w:sz w:val="24"/>
            <w:szCs w:val="24"/>
          </w:rPr>
          <w:t>www.cottonafrica.com</w:t>
        </w:r>
      </w:hyperlink>
    </w:p>
    <w:p w14:paraId="5E73310D"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39" w:history="1">
        <w:r w:rsidR="008862C7">
          <w:rPr>
            <w:rStyle w:val="Lienhypertexte"/>
            <w:rFonts w:ascii="Arial" w:hAnsi="Arial" w:cs="Arial"/>
            <w:sz w:val="24"/>
            <w:szCs w:val="24"/>
          </w:rPr>
          <w:t>www.unctad.org/wir</w:t>
        </w:r>
      </w:hyperlink>
    </w:p>
    <w:p w14:paraId="042DA40E"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40" w:history="1">
        <w:r w:rsidR="008862C7">
          <w:rPr>
            <w:rStyle w:val="Lienhypertexte"/>
            <w:rFonts w:ascii="Arial" w:hAnsi="Arial" w:cs="Arial"/>
            <w:sz w:val="24"/>
            <w:szCs w:val="24"/>
          </w:rPr>
          <w:t>www.beac.int</w:t>
        </w:r>
      </w:hyperlink>
    </w:p>
    <w:p w14:paraId="65FB68E0"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41" w:history="1">
        <w:r w:rsidR="008862C7">
          <w:rPr>
            <w:rStyle w:val="Lienhypertexte"/>
            <w:rFonts w:ascii="Arial" w:hAnsi="Arial" w:cs="Arial"/>
            <w:sz w:val="24"/>
            <w:szCs w:val="24"/>
          </w:rPr>
          <w:t>www.oecd.org/daf/cmis/fdi/methode.htm</w:t>
        </w:r>
      </w:hyperlink>
    </w:p>
    <w:p w14:paraId="78F357A0"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42" w:history="1">
        <w:r w:rsidR="008862C7">
          <w:rPr>
            <w:rStyle w:val="Lienhypertexte"/>
            <w:rFonts w:ascii="Arial" w:hAnsi="Arial" w:cs="Arial"/>
            <w:sz w:val="24"/>
            <w:szCs w:val="24"/>
          </w:rPr>
          <w:t>www.oecd.org/dsti/stat-ona/stats/</w:t>
        </w:r>
      </w:hyperlink>
    </w:p>
    <w:p w14:paraId="2A7597CD"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43" w:history="1">
        <w:r w:rsidR="008862C7">
          <w:rPr>
            <w:rStyle w:val="Lienhypertexte"/>
            <w:rFonts w:ascii="Arial" w:hAnsi="Arial" w:cs="Arial"/>
            <w:sz w:val="24"/>
            <w:szCs w:val="24"/>
          </w:rPr>
          <w:t>www.epp.eurostat.ec.europa.eu/portal/page/portal/agricultue/data/</w:t>
        </w:r>
      </w:hyperlink>
    </w:p>
    <w:p w14:paraId="7C4D64EB" w14:textId="77777777" w:rsidR="008862C7" w:rsidRDefault="00EA1CF0" w:rsidP="008862C7">
      <w:pPr>
        <w:pStyle w:val="Paragraphedeliste"/>
        <w:numPr>
          <w:ilvl w:val="3"/>
          <w:numId w:val="49"/>
        </w:numPr>
        <w:suppressAutoHyphens/>
        <w:autoSpaceDE w:val="0"/>
        <w:autoSpaceDN w:val="0"/>
        <w:adjustRightInd w:val="0"/>
        <w:spacing w:after="0" w:line="360" w:lineRule="auto"/>
        <w:ind w:left="360"/>
        <w:jc w:val="both"/>
        <w:rPr>
          <w:rFonts w:ascii="Arial" w:hAnsi="Arial" w:cs="Arial"/>
          <w:bCs/>
          <w:sz w:val="24"/>
          <w:szCs w:val="24"/>
        </w:rPr>
      </w:pPr>
      <w:hyperlink r:id="rId44" w:history="1">
        <w:r w:rsidR="008862C7">
          <w:rPr>
            <w:rStyle w:val="Lienhypertexte"/>
            <w:rFonts w:ascii="Arial" w:hAnsi="Arial" w:cs="Arial"/>
            <w:sz w:val="24"/>
            <w:szCs w:val="24"/>
          </w:rPr>
          <w:t>www.doingbusiness.org</w:t>
        </w:r>
      </w:hyperlink>
      <w:r w:rsidR="008862C7">
        <w:rPr>
          <w:rFonts w:ascii="Arial" w:hAnsi="Arial" w:cs="Arial"/>
          <w:sz w:val="24"/>
          <w:szCs w:val="24"/>
        </w:rPr>
        <w:t xml:space="preserve"> </w:t>
      </w:r>
    </w:p>
    <w:p w14:paraId="40257638" w14:textId="77777777" w:rsidR="008862C7" w:rsidRDefault="008862C7" w:rsidP="008862C7">
      <w:pPr>
        <w:pStyle w:val="Paragraphedeliste"/>
        <w:autoSpaceDE w:val="0"/>
        <w:autoSpaceDN w:val="0"/>
        <w:adjustRightInd w:val="0"/>
        <w:spacing w:after="0" w:line="360" w:lineRule="auto"/>
        <w:ind w:left="0"/>
        <w:jc w:val="both"/>
        <w:rPr>
          <w:rFonts w:ascii="Arial" w:hAnsi="Arial" w:cs="Arial"/>
          <w:bCs/>
          <w:sz w:val="24"/>
          <w:szCs w:val="24"/>
        </w:rPr>
      </w:pPr>
    </w:p>
    <w:p w14:paraId="78351D14" w14:textId="77777777" w:rsidR="008862C7" w:rsidRDefault="008862C7" w:rsidP="008862C7">
      <w:pPr>
        <w:spacing w:line="360" w:lineRule="auto"/>
        <w:jc w:val="both"/>
        <w:rPr>
          <w:rFonts w:ascii="Arial" w:hAnsi="Arial" w:cs="Arial"/>
          <w:sz w:val="24"/>
          <w:szCs w:val="24"/>
        </w:rPr>
      </w:pPr>
    </w:p>
    <w:p w14:paraId="28A98732" w14:textId="77777777" w:rsidR="008862C7" w:rsidRDefault="008862C7" w:rsidP="008862C7">
      <w:pPr>
        <w:rPr>
          <w:rFonts w:ascii="Arial" w:hAnsi="Arial" w:cs="Arial"/>
          <w:sz w:val="24"/>
          <w:szCs w:val="24"/>
        </w:rPr>
      </w:pPr>
    </w:p>
    <w:p w14:paraId="0AB4579E" w14:textId="77777777" w:rsidR="008862C7" w:rsidRDefault="008862C7" w:rsidP="008862C7">
      <w:pPr>
        <w:rPr>
          <w:rFonts w:ascii="Arial" w:hAnsi="Arial" w:cs="Arial"/>
          <w:sz w:val="24"/>
          <w:szCs w:val="24"/>
        </w:rPr>
      </w:pPr>
    </w:p>
    <w:p w14:paraId="439202B1" w14:textId="77777777" w:rsidR="008862C7" w:rsidRDefault="008862C7" w:rsidP="008862C7">
      <w:pPr>
        <w:rPr>
          <w:rFonts w:ascii="Arial" w:hAnsi="Arial" w:cs="Arial"/>
          <w:sz w:val="24"/>
          <w:szCs w:val="24"/>
        </w:rPr>
      </w:pPr>
    </w:p>
    <w:p w14:paraId="537E2647" w14:textId="77777777" w:rsidR="008862C7" w:rsidRDefault="008862C7" w:rsidP="008862C7">
      <w:pPr>
        <w:rPr>
          <w:rFonts w:ascii="Arial" w:hAnsi="Arial" w:cs="Arial"/>
          <w:sz w:val="24"/>
          <w:szCs w:val="24"/>
        </w:rPr>
      </w:pPr>
    </w:p>
    <w:p w14:paraId="298F53CD" w14:textId="77777777" w:rsidR="008862C7" w:rsidRDefault="008862C7" w:rsidP="008862C7">
      <w:pPr>
        <w:rPr>
          <w:rFonts w:ascii="Arial" w:hAnsi="Arial" w:cs="Arial"/>
          <w:sz w:val="24"/>
          <w:szCs w:val="24"/>
        </w:rPr>
      </w:pPr>
    </w:p>
    <w:p w14:paraId="7A8EA96C" w14:textId="77777777" w:rsidR="008862C7" w:rsidRDefault="008862C7" w:rsidP="008862C7">
      <w:pPr>
        <w:rPr>
          <w:rFonts w:ascii="Arial" w:hAnsi="Arial" w:cs="Arial"/>
          <w:sz w:val="24"/>
          <w:szCs w:val="24"/>
        </w:rPr>
      </w:pPr>
    </w:p>
    <w:p w14:paraId="4E069F27" w14:textId="77777777" w:rsidR="008862C7" w:rsidRDefault="008862C7" w:rsidP="008862C7">
      <w:pPr>
        <w:rPr>
          <w:rFonts w:ascii="Arial" w:hAnsi="Arial" w:cs="Arial"/>
          <w:sz w:val="24"/>
          <w:szCs w:val="24"/>
        </w:rPr>
      </w:pPr>
    </w:p>
    <w:p w14:paraId="6F146C03" w14:textId="77777777" w:rsidR="008862C7" w:rsidRDefault="008862C7" w:rsidP="008862C7">
      <w:pPr>
        <w:rPr>
          <w:rFonts w:ascii="Arial" w:hAnsi="Arial" w:cs="Arial"/>
          <w:sz w:val="24"/>
          <w:szCs w:val="24"/>
        </w:rPr>
      </w:pPr>
    </w:p>
    <w:p w14:paraId="7D80AEEA" w14:textId="77777777" w:rsidR="008862C7" w:rsidRDefault="008862C7" w:rsidP="008862C7">
      <w:pPr>
        <w:rPr>
          <w:rFonts w:ascii="Arial" w:hAnsi="Arial" w:cs="Arial"/>
          <w:sz w:val="24"/>
          <w:szCs w:val="24"/>
        </w:rPr>
      </w:pPr>
    </w:p>
    <w:p w14:paraId="4CC342B7" w14:textId="77777777" w:rsidR="008862C7" w:rsidRDefault="008862C7" w:rsidP="008862C7">
      <w:pPr>
        <w:rPr>
          <w:rFonts w:ascii="Arial" w:hAnsi="Arial" w:cs="Arial"/>
          <w:sz w:val="24"/>
          <w:szCs w:val="24"/>
        </w:rPr>
      </w:pPr>
    </w:p>
    <w:p w14:paraId="79E33C1F" w14:textId="77777777" w:rsidR="008862C7" w:rsidRDefault="008862C7" w:rsidP="008862C7">
      <w:pPr>
        <w:rPr>
          <w:rFonts w:ascii="Arial" w:hAnsi="Arial" w:cs="Arial"/>
          <w:sz w:val="24"/>
          <w:szCs w:val="24"/>
        </w:rPr>
      </w:pPr>
    </w:p>
    <w:p w14:paraId="1D8662B5" w14:textId="77777777" w:rsidR="008862C7" w:rsidRDefault="008862C7" w:rsidP="008862C7">
      <w:pPr>
        <w:rPr>
          <w:rFonts w:ascii="Arial" w:hAnsi="Arial" w:cs="Arial"/>
          <w:sz w:val="24"/>
          <w:szCs w:val="24"/>
        </w:rPr>
      </w:pPr>
    </w:p>
    <w:p w14:paraId="47856D87" w14:textId="77777777" w:rsidR="008862C7" w:rsidRDefault="008862C7" w:rsidP="008862C7">
      <w:pPr>
        <w:rPr>
          <w:rFonts w:ascii="Arial" w:hAnsi="Arial" w:cs="Arial"/>
          <w:sz w:val="24"/>
          <w:szCs w:val="24"/>
        </w:rPr>
      </w:pPr>
    </w:p>
    <w:p w14:paraId="64C7C196" w14:textId="77777777" w:rsidR="008862C7" w:rsidRDefault="008862C7" w:rsidP="008862C7">
      <w:pPr>
        <w:rPr>
          <w:rFonts w:ascii="Arial" w:hAnsi="Arial" w:cs="Arial"/>
          <w:sz w:val="24"/>
          <w:szCs w:val="24"/>
        </w:rPr>
      </w:pPr>
    </w:p>
    <w:p w14:paraId="5E5A86C2" w14:textId="77777777" w:rsidR="008862C7" w:rsidRDefault="008862C7" w:rsidP="008862C7">
      <w:pPr>
        <w:rPr>
          <w:rFonts w:ascii="Arial" w:hAnsi="Arial" w:cs="Arial"/>
          <w:sz w:val="24"/>
          <w:szCs w:val="24"/>
        </w:rPr>
      </w:pPr>
    </w:p>
    <w:p w14:paraId="51F0B690" w14:textId="77777777" w:rsidR="008862C7" w:rsidRDefault="008862C7" w:rsidP="008862C7">
      <w:pPr>
        <w:rPr>
          <w:rFonts w:ascii="Arial" w:hAnsi="Arial" w:cs="Arial"/>
          <w:sz w:val="24"/>
          <w:szCs w:val="24"/>
        </w:rPr>
      </w:pPr>
    </w:p>
    <w:p w14:paraId="1A989658" w14:textId="77777777" w:rsidR="008862C7" w:rsidRDefault="008862C7" w:rsidP="008862C7">
      <w:pPr>
        <w:rPr>
          <w:rFonts w:ascii="Arial" w:hAnsi="Arial" w:cs="Arial"/>
          <w:sz w:val="24"/>
          <w:szCs w:val="24"/>
        </w:rPr>
      </w:pPr>
    </w:p>
    <w:p w14:paraId="6ACC7440" w14:textId="77777777" w:rsidR="008862C7" w:rsidRDefault="008862C7" w:rsidP="008862C7">
      <w:pPr>
        <w:rPr>
          <w:rFonts w:ascii="Arial" w:hAnsi="Arial" w:cs="Arial"/>
          <w:sz w:val="24"/>
          <w:szCs w:val="24"/>
        </w:rPr>
      </w:pPr>
    </w:p>
    <w:p w14:paraId="4094A3A0" w14:textId="77777777" w:rsidR="008862C7" w:rsidRDefault="008862C7" w:rsidP="008862C7">
      <w:pPr>
        <w:rPr>
          <w:rFonts w:ascii="Arial" w:hAnsi="Arial" w:cs="Arial"/>
          <w:sz w:val="24"/>
          <w:szCs w:val="24"/>
        </w:rPr>
      </w:pPr>
    </w:p>
    <w:p w14:paraId="21560C04" w14:textId="77777777" w:rsidR="008862C7" w:rsidRDefault="008862C7" w:rsidP="008862C7">
      <w:pPr>
        <w:rPr>
          <w:rFonts w:ascii="Arial" w:hAnsi="Arial" w:cs="Arial"/>
          <w:sz w:val="24"/>
          <w:szCs w:val="24"/>
        </w:rPr>
      </w:pPr>
    </w:p>
    <w:p w14:paraId="7D17B597" w14:textId="77777777" w:rsidR="008862C7" w:rsidRDefault="008862C7" w:rsidP="008862C7">
      <w:pPr>
        <w:rPr>
          <w:rFonts w:ascii="Arial" w:hAnsi="Arial" w:cs="Arial"/>
          <w:sz w:val="24"/>
          <w:szCs w:val="24"/>
        </w:rPr>
      </w:pPr>
    </w:p>
    <w:p w14:paraId="119E4E48" w14:textId="77777777" w:rsidR="008862C7" w:rsidRDefault="008862C7" w:rsidP="008862C7">
      <w:pPr>
        <w:rPr>
          <w:rFonts w:ascii="Arial" w:hAnsi="Arial" w:cs="Arial"/>
          <w:sz w:val="24"/>
          <w:szCs w:val="24"/>
        </w:rPr>
      </w:pPr>
    </w:p>
    <w:p w14:paraId="012DCD58" w14:textId="77777777" w:rsidR="0031591B" w:rsidRDefault="0031591B" w:rsidP="008862C7">
      <w:pPr>
        <w:rPr>
          <w:rFonts w:ascii="Arial" w:hAnsi="Arial" w:cs="Arial"/>
          <w:sz w:val="24"/>
          <w:szCs w:val="24"/>
        </w:rPr>
      </w:pPr>
    </w:p>
    <w:p w14:paraId="552B4A63" w14:textId="77777777" w:rsidR="0031591B" w:rsidRDefault="0031591B" w:rsidP="008862C7">
      <w:pPr>
        <w:rPr>
          <w:rFonts w:ascii="Arial" w:hAnsi="Arial" w:cs="Arial"/>
          <w:sz w:val="24"/>
          <w:szCs w:val="24"/>
        </w:rPr>
      </w:pPr>
    </w:p>
    <w:p w14:paraId="78D19240" w14:textId="77777777" w:rsidR="0031591B" w:rsidRDefault="0031591B" w:rsidP="008862C7">
      <w:pPr>
        <w:rPr>
          <w:rFonts w:ascii="Arial" w:hAnsi="Arial" w:cs="Arial"/>
          <w:sz w:val="24"/>
          <w:szCs w:val="24"/>
        </w:rPr>
      </w:pPr>
    </w:p>
    <w:p w14:paraId="1AE4A833" w14:textId="77777777" w:rsidR="0031591B" w:rsidRDefault="0031591B" w:rsidP="008862C7">
      <w:pPr>
        <w:rPr>
          <w:rFonts w:ascii="Arial" w:hAnsi="Arial" w:cs="Arial"/>
          <w:sz w:val="24"/>
          <w:szCs w:val="24"/>
        </w:rPr>
      </w:pPr>
    </w:p>
    <w:p w14:paraId="5115653F" w14:textId="77777777" w:rsidR="0031591B" w:rsidRDefault="0031591B" w:rsidP="008862C7">
      <w:pPr>
        <w:rPr>
          <w:rFonts w:ascii="Arial" w:hAnsi="Arial" w:cs="Arial"/>
          <w:sz w:val="24"/>
          <w:szCs w:val="24"/>
        </w:rPr>
      </w:pPr>
    </w:p>
    <w:p w14:paraId="3CDA0EFC" w14:textId="77777777" w:rsidR="0031591B" w:rsidRDefault="0031591B" w:rsidP="008862C7">
      <w:pPr>
        <w:rPr>
          <w:rFonts w:ascii="Arial" w:hAnsi="Arial" w:cs="Arial"/>
          <w:sz w:val="24"/>
          <w:szCs w:val="24"/>
        </w:rPr>
      </w:pPr>
    </w:p>
    <w:p w14:paraId="147D9F02" w14:textId="77777777" w:rsidR="0031591B" w:rsidRDefault="0031591B" w:rsidP="008862C7">
      <w:pPr>
        <w:rPr>
          <w:rFonts w:ascii="Arial" w:hAnsi="Arial" w:cs="Arial"/>
          <w:sz w:val="24"/>
          <w:szCs w:val="24"/>
        </w:rPr>
      </w:pPr>
    </w:p>
    <w:p w14:paraId="3249D1D1" w14:textId="77777777" w:rsidR="0031591B" w:rsidRDefault="0031591B" w:rsidP="008862C7">
      <w:pPr>
        <w:rPr>
          <w:rFonts w:ascii="Arial" w:hAnsi="Arial" w:cs="Arial"/>
          <w:sz w:val="24"/>
          <w:szCs w:val="24"/>
        </w:rPr>
      </w:pPr>
    </w:p>
    <w:p w14:paraId="5502FA58" w14:textId="77777777" w:rsidR="0031591B" w:rsidRDefault="0031591B" w:rsidP="008862C7">
      <w:pPr>
        <w:rPr>
          <w:rFonts w:ascii="Arial" w:hAnsi="Arial" w:cs="Arial"/>
          <w:sz w:val="24"/>
          <w:szCs w:val="24"/>
        </w:rPr>
      </w:pPr>
    </w:p>
    <w:p w14:paraId="6E4ADD61" w14:textId="77777777" w:rsidR="0031591B" w:rsidRDefault="0031591B" w:rsidP="008862C7">
      <w:pPr>
        <w:pStyle w:val="Titre1"/>
        <w:jc w:val="center"/>
        <w:rPr>
          <w:sz w:val="24"/>
          <w:szCs w:val="24"/>
        </w:rPr>
      </w:pPr>
      <w:bookmarkStart w:id="317" w:name="_Toc395107713"/>
    </w:p>
    <w:p w14:paraId="491BC328" w14:textId="77777777" w:rsidR="0031591B" w:rsidRDefault="0031591B" w:rsidP="008862C7">
      <w:pPr>
        <w:pStyle w:val="Titre1"/>
        <w:jc w:val="center"/>
        <w:rPr>
          <w:sz w:val="24"/>
          <w:szCs w:val="24"/>
        </w:rPr>
      </w:pPr>
    </w:p>
    <w:p w14:paraId="491AA52E" w14:textId="77777777" w:rsidR="0031591B" w:rsidRDefault="0031591B" w:rsidP="008862C7">
      <w:pPr>
        <w:pStyle w:val="Titre1"/>
        <w:jc w:val="center"/>
        <w:rPr>
          <w:sz w:val="24"/>
          <w:szCs w:val="24"/>
        </w:rPr>
      </w:pPr>
    </w:p>
    <w:p w14:paraId="1E3FB2C6" w14:textId="77777777" w:rsidR="0031591B" w:rsidRDefault="0031591B" w:rsidP="0031591B">
      <w:pPr>
        <w:rPr>
          <w:lang w:eastAsia="fr-FR"/>
        </w:rPr>
      </w:pPr>
    </w:p>
    <w:p w14:paraId="0CBA2056" w14:textId="77777777" w:rsidR="0031591B" w:rsidRPr="0031591B" w:rsidRDefault="0031591B" w:rsidP="0031591B">
      <w:pPr>
        <w:rPr>
          <w:lang w:eastAsia="fr-FR"/>
        </w:rPr>
      </w:pPr>
    </w:p>
    <w:p w14:paraId="5B7744E1" w14:textId="77777777" w:rsidR="008862C7" w:rsidRDefault="008862C7" w:rsidP="008862C7">
      <w:pPr>
        <w:pStyle w:val="Titre1"/>
        <w:jc w:val="center"/>
        <w:rPr>
          <w:sz w:val="24"/>
          <w:szCs w:val="24"/>
        </w:rPr>
      </w:pPr>
      <w:r>
        <w:rPr>
          <w:sz w:val="24"/>
          <w:szCs w:val="24"/>
        </w:rPr>
        <w:t>ANNEXES</w:t>
      </w:r>
      <w:bookmarkEnd w:id="317"/>
    </w:p>
    <w:p w14:paraId="099A4A14" w14:textId="77777777" w:rsidR="008862C7" w:rsidRDefault="008862C7" w:rsidP="008862C7">
      <w:pPr>
        <w:jc w:val="center"/>
        <w:rPr>
          <w:rFonts w:ascii="Arial" w:hAnsi="Arial" w:cs="Arial"/>
          <w:b/>
          <w:sz w:val="24"/>
          <w:szCs w:val="24"/>
        </w:rPr>
      </w:pPr>
    </w:p>
    <w:p w14:paraId="7F1888AD" w14:textId="77777777" w:rsidR="0031591B" w:rsidRDefault="0031591B" w:rsidP="008862C7">
      <w:pPr>
        <w:jc w:val="center"/>
        <w:rPr>
          <w:rFonts w:ascii="Arial" w:hAnsi="Arial" w:cs="Arial"/>
          <w:b/>
          <w:sz w:val="24"/>
          <w:szCs w:val="24"/>
        </w:rPr>
      </w:pPr>
    </w:p>
    <w:p w14:paraId="6B404384" w14:textId="77777777" w:rsidR="0031591B" w:rsidRDefault="0031591B" w:rsidP="008862C7">
      <w:pPr>
        <w:jc w:val="center"/>
        <w:rPr>
          <w:rFonts w:ascii="Arial" w:hAnsi="Arial" w:cs="Arial"/>
          <w:b/>
          <w:sz w:val="24"/>
          <w:szCs w:val="24"/>
        </w:rPr>
      </w:pPr>
    </w:p>
    <w:p w14:paraId="1B6B03BC" w14:textId="77777777" w:rsidR="0031591B" w:rsidRDefault="0031591B" w:rsidP="008862C7">
      <w:pPr>
        <w:jc w:val="center"/>
        <w:rPr>
          <w:rFonts w:ascii="Arial" w:hAnsi="Arial" w:cs="Arial"/>
          <w:b/>
          <w:sz w:val="24"/>
          <w:szCs w:val="24"/>
        </w:rPr>
      </w:pPr>
    </w:p>
    <w:p w14:paraId="737B029C" w14:textId="77777777" w:rsidR="008862C7" w:rsidRDefault="008862C7" w:rsidP="008862C7">
      <w:pPr>
        <w:jc w:val="center"/>
        <w:rPr>
          <w:rFonts w:ascii="Arial" w:hAnsi="Arial" w:cs="Arial"/>
          <w:b/>
          <w:sz w:val="24"/>
          <w:szCs w:val="24"/>
        </w:rPr>
      </w:pPr>
    </w:p>
    <w:p w14:paraId="5120072B" w14:textId="77777777" w:rsidR="008862C7" w:rsidRDefault="008862C7" w:rsidP="008862C7">
      <w:pPr>
        <w:jc w:val="center"/>
        <w:rPr>
          <w:rFonts w:ascii="Arial" w:hAnsi="Arial" w:cs="Arial"/>
          <w:b/>
          <w:sz w:val="24"/>
          <w:szCs w:val="24"/>
        </w:rPr>
      </w:pPr>
    </w:p>
    <w:p w14:paraId="54BFD70F" w14:textId="77777777" w:rsidR="008862C7" w:rsidRDefault="008862C7" w:rsidP="008862C7">
      <w:pPr>
        <w:jc w:val="center"/>
        <w:rPr>
          <w:rFonts w:ascii="Arial" w:hAnsi="Arial" w:cs="Arial"/>
          <w:b/>
          <w:sz w:val="24"/>
          <w:szCs w:val="24"/>
        </w:rPr>
      </w:pPr>
    </w:p>
    <w:p w14:paraId="5EAA3D81" w14:textId="77777777" w:rsidR="008862C7" w:rsidRDefault="008862C7" w:rsidP="008862C7">
      <w:pPr>
        <w:jc w:val="center"/>
        <w:rPr>
          <w:rFonts w:ascii="Arial" w:hAnsi="Arial" w:cs="Arial"/>
          <w:b/>
          <w:sz w:val="24"/>
          <w:szCs w:val="24"/>
        </w:rPr>
      </w:pPr>
    </w:p>
    <w:p w14:paraId="44065CA6" w14:textId="77777777" w:rsidR="008862C7" w:rsidRDefault="008862C7" w:rsidP="008862C7">
      <w:pPr>
        <w:jc w:val="center"/>
        <w:rPr>
          <w:rFonts w:ascii="Arial" w:hAnsi="Arial" w:cs="Arial"/>
          <w:b/>
          <w:sz w:val="24"/>
          <w:szCs w:val="24"/>
        </w:rPr>
      </w:pPr>
    </w:p>
    <w:p w14:paraId="431D1D87" w14:textId="77777777" w:rsidR="008862C7" w:rsidRDefault="008862C7" w:rsidP="008862C7">
      <w:pPr>
        <w:jc w:val="center"/>
        <w:rPr>
          <w:rFonts w:ascii="Arial" w:hAnsi="Arial" w:cs="Arial"/>
          <w:b/>
          <w:sz w:val="24"/>
          <w:szCs w:val="24"/>
        </w:rPr>
      </w:pPr>
    </w:p>
    <w:p w14:paraId="4F0299FC" w14:textId="77777777" w:rsidR="008862C7" w:rsidRDefault="008862C7" w:rsidP="008862C7">
      <w:pPr>
        <w:jc w:val="center"/>
        <w:rPr>
          <w:rFonts w:ascii="Arial" w:hAnsi="Arial" w:cs="Arial"/>
          <w:b/>
          <w:sz w:val="24"/>
          <w:szCs w:val="24"/>
        </w:rPr>
      </w:pPr>
    </w:p>
    <w:p w14:paraId="31DA3F80" w14:textId="77777777" w:rsidR="008862C7" w:rsidRDefault="008862C7" w:rsidP="008862C7">
      <w:pPr>
        <w:jc w:val="center"/>
        <w:rPr>
          <w:rFonts w:ascii="Arial" w:hAnsi="Arial" w:cs="Arial"/>
          <w:b/>
          <w:sz w:val="24"/>
          <w:szCs w:val="24"/>
        </w:rPr>
      </w:pPr>
    </w:p>
    <w:p w14:paraId="1CC2DB02" w14:textId="77777777" w:rsidR="008862C7" w:rsidRDefault="008862C7" w:rsidP="0031591B">
      <w:pPr>
        <w:rPr>
          <w:rFonts w:ascii="Arial" w:hAnsi="Arial" w:cs="Arial"/>
          <w:b/>
          <w:sz w:val="24"/>
          <w:szCs w:val="24"/>
        </w:rPr>
      </w:pPr>
    </w:p>
    <w:p w14:paraId="7A589678" w14:textId="77777777" w:rsidR="0031591B" w:rsidRDefault="0031591B" w:rsidP="0031591B">
      <w:pPr>
        <w:rPr>
          <w:rFonts w:ascii="Arial" w:hAnsi="Arial" w:cs="Arial"/>
          <w:b/>
          <w:sz w:val="24"/>
          <w:szCs w:val="24"/>
        </w:rPr>
      </w:pPr>
    </w:p>
    <w:p w14:paraId="33916305" w14:textId="77777777" w:rsidR="008862C7" w:rsidRDefault="008862C7" w:rsidP="008862C7">
      <w:pPr>
        <w:jc w:val="center"/>
        <w:rPr>
          <w:rFonts w:ascii="Arial" w:hAnsi="Arial" w:cs="Arial"/>
          <w:b/>
          <w:sz w:val="24"/>
          <w:szCs w:val="24"/>
        </w:rPr>
      </w:pPr>
    </w:p>
    <w:p w14:paraId="6B90802B" w14:textId="77777777" w:rsidR="008862C7" w:rsidRDefault="008862C7" w:rsidP="008862C7">
      <w:pPr>
        <w:pStyle w:val="Titre4"/>
        <w:rPr>
          <w:rFonts w:ascii="Arial" w:hAnsi="Arial" w:cs="Arial"/>
          <w:sz w:val="24"/>
          <w:szCs w:val="24"/>
        </w:rPr>
      </w:pPr>
      <w:bookmarkStart w:id="318" w:name="_Toc395107714"/>
      <w:r>
        <w:rPr>
          <w:rFonts w:ascii="Arial" w:hAnsi="Arial" w:cs="Arial"/>
          <w:sz w:val="24"/>
          <w:szCs w:val="24"/>
        </w:rPr>
        <w:lastRenderedPageBreak/>
        <w:t>ANNEXE 1 : FICHE D’ENQUETE ADRESSEE AUX PRODUCTEURS DE COTON</w:t>
      </w:r>
      <w:bookmarkEnd w:id="318"/>
      <w:r>
        <w:rPr>
          <w:rFonts w:ascii="Arial" w:hAnsi="Arial" w:cs="Arial"/>
          <w:sz w:val="24"/>
          <w:szCs w:val="24"/>
        </w:rPr>
        <w:t xml:space="preserve"> </w:t>
      </w:r>
    </w:p>
    <w:p w14:paraId="2191EB28" w14:textId="77777777" w:rsidR="008862C7" w:rsidRDefault="008862C7" w:rsidP="008862C7">
      <w:pPr>
        <w:spacing w:line="240" w:lineRule="auto"/>
        <w:jc w:val="both"/>
        <w:rPr>
          <w:rFonts w:ascii="Arial" w:hAnsi="Arial" w:cs="Arial"/>
          <w:sz w:val="24"/>
          <w:szCs w:val="24"/>
        </w:rPr>
      </w:pPr>
      <w:r>
        <w:rPr>
          <w:rFonts w:ascii="Arial" w:hAnsi="Arial" w:cs="Arial"/>
          <w:sz w:val="24"/>
          <w:szCs w:val="24"/>
        </w:rPr>
        <w:t>Nom de l’enquêteur :</w:t>
      </w:r>
    </w:p>
    <w:p w14:paraId="75F728FB" w14:textId="77777777" w:rsidR="008862C7" w:rsidRDefault="008862C7" w:rsidP="008862C7">
      <w:pPr>
        <w:pStyle w:val="Paragraphedeliste"/>
        <w:numPr>
          <w:ilvl w:val="0"/>
          <w:numId w:val="50"/>
        </w:numPr>
        <w:spacing w:before="120" w:line="240" w:lineRule="auto"/>
        <w:jc w:val="both"/>
        <w:rPr>
          <w:rFonts w:ascii="Arial" w:hAnsi="Arial" w:cs="Arial"/>
          <w:b/>
          <w:sz w:val="24"/>
          <w:szCs w:val="24"/>
        </w:rPr>
      </w:pPr>
      <w:r>
        <w:rPr>
          <w:rFonts w:ascii="Arial" w:hAnsi="Arial" w:cs="Arial"/>
          <w:b/>
          <w:sz w:val="24"/>
          <w:szCs w:val="24"/>
        </w:rPr>
        <w:t xml:space="preserve">Identification et localisation du producteur </w:t>
      </w:r>
      <w:bookmarkStart w:id="319" w:name="_GoBack"/>
      <w:bookmarkEnd w:id="319"/>
    </w:p>
    <w:p w14:paraId="25EC2204" w14:textId="77777777" w:rsidR="008862C7" w:rsidRDefault="008862C7" w:rsidP="008862C7">
      <w:pPr>
        <w:spacing w:after="0" w:line="240" w:lineRule="auto"/>
        <w:jc w:val="both"/>
        <w:rPr>
          <w:rFonts w:ascii="Arial" w:hAnsi="Arial" w:cs="Arial"/>
          <w:sz w:val="24"/>
          <w:szCs w:val="24"/>
        </w:rPr>
      </w:pPr>
      <w:r>
        <w:rPr>
          <w:rFonts w:ascii="Arial" w:hAnsi="Arial" w:cs="Arial"/>
          <w:sz w:val="24"/>
          <w:szCs w:val="24"/>
        </w:rPr>
        <w:t xml:space="preserve">1. Nom de l’enquêté : </w:t>
      </w:r>
    </w:p>
    <w:p w14:paraId="6EE1BE9B" w14:textId="77777777" w:rsidR="008862C7" w:rsidRDefault="008862C7" w:rsidP="008862C7">
      <w:pPr>
        <w:spacing w:after="0" w:line="240" w:lineRule="auto"/>
        <w:jc w:val="both"/>
        <w:rPr>
          <w:rFonts w:ascii="Arial" w:hAnsi="Arial" w:cs="Arial"/>
          <w:sz w:val="24"/>
          <w:szCs w:val="24"/>
        </w:rPr>
      </w:pPr>
      <w:r>
        <w:rPr>
          <w:rFonts w:ascii="Arial" w:hAnsi="Arial" w:cs="Arial"/>
          <w:sz w:val="24"/>
          <w:szCs w:val="24"/>
        </w:rPr>
        <w:t xml:space="preserve">2. Localisation :    </w:t>
      </w:r>
      <w:r>
        <w:rPr>
          <w:rFonts w:ascii="Arial" w:hAnsi="Arial" w:cs="Arial"/>
          <w:sz w:val="24"/>
          <w:szCs w:val="24"/>
        </w:rPr>
        <w:tab/>
        <w:t xml:space="preserve">Bossangoa   /__/      Bambari  /__/     Guiffa /____/   Site: </w:t>
      </w:r>
    </w:p>
    <w:p w14:paraId="655A2144"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3. Sexe : M/__/ F /__/    </w:t>
      </w:r>
      <w:r>
        <w:rPr>
          <w:rFonts w:ascii="Arial" w:hAnsi="Arial" w:cs="Arial"/>
          <w:b/>
          <w:sz w:val="24"/>
          <w:szCs w:val="24"/>
        </w:rPr>
        <w:t>4.</w:t>
      </w:r>
      <w:r>
        <w:rPr>
          <w:rFonts w:ascii="Arial" w:hAnsi="Arial" w:cs="Arial"/>
          <w:sz w:val="24"/>
          <w:szCs w:val="24"/>
        </w:rPr>
        <w:t xml:space="preserve">Age : /___/    </w:t>
      </w:r>
      <w:r>
        <w:rPr>
          <w:rFonts w:ascii="Arial" w:hAnsi="Arial" w:cs="Arial"/>
          <w:b/>
          <w:sz w:val="24"/>
          <w:szCs w:val="24"/>
        </w:rPr>
        <w:t>5</w:t>
      </w:r>
      <w:r>
        <w:rPr>
          <w:rFonts w:ascii="Arial" w:hAnsi="Arial" w:cs="Arial"/>
          <w:sz w:val="24"/>
          <w:szCs w:val="24"/>
        </w:rPr>
        <w:t xml:space="preserve">.Nombre de personnes à charge : /__/     </w:t>
      </w:r>
      <w:r>
        <w:rPr>
          <w:rFonts w:ascii="Arial" w:hAnsi="Arial" w:cs="Arial"/>
          <w:b/>
          <w:sz w:val="24"/>
          <w:szCs w:val="24"/>
        </w:rPr>
        <w:t>6.</w:t>
      </w:r>
      <w:r>
        <w:rPr>
          <w:rFonts w:ascii="Arial" w:hAnsi="Arial" w:cs="Arial"/>
          <w:sz w:val="24"/>
          <w:szCs w:val="24"/>
        </w:rPr>
        <w:t xml:space="preserve"> Nombre d’actifs : /__/</w:t>
      </w:r>
    </w:p>
    <w:p w14:paraId="4DBB0957"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7. Appartenance à un groupement ou une association de producteurs autre que le GIR : Oui /__/   Non /__/</w:t>
      </w:r>
    </w:p>
    <w:p w14:paraId="1B622E1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8. Si oui : - Nom du groupement ou de l’association : </w:t>
      </w:r>
    </w:p>
    <w:p w14:paraId="208E0564" w14:textId="77777777" w:rsidR="008862C7" w:rsidRDefault="008862C7" w:rsidP="008862C7">
      <w:pPr>
        <w:spacing w:before="120" w:after="0" w:line="240" w:lineRule="auto"/>
        <w:ind w:left="720"/>
        <w:jc w:val="both"/>
        <w:rPr>
          <w:rFonts w:ascii="Arial" w:hAnsi="Arial" w:cs="Arial"/>
          <w:sz w:val="24"/>
          <w:szCs w:val="24"/>
        </w:rPr>
      </w:pPr>
      <w:r>
        <w:rPr>
          <w:rFonts w:ascii="Arial" w:hAnsi="Arial" w:cs="Arial"/>
          <w:sz w:val="24"/>
          <w:szCs w:val="24"/>
        </w:rPr>
        <w:t xml:space="preserve">     - Activités du groupement ou de l’association : </w:t>
      </w:r>
    </w:p>
    <w:p w14:paraId="03717E2F"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9. Qualité dans le groupement autre que le GIR : Président /__/ SG /__/ TG /__/ CC /__/ Autres à préciser</w:t>
      </w:r>
    </w:p>
    <w:p w14:paraId="34029509" w14:textId="77777777" w:rsidR="008862C7" w:rsidRDefault="008862C7" w:rsidP="008862C7">
      <w:pPr>
        <w:spacing w:before="120" w:after="0" w:line="240" w:lineRule="auto"/>
        <w:jc w:val="both"/>
        <w:rPr>
          <w:rFonts w:ascii="Arial" w:hAnsi="Arial" w:cs="Arial"/>
          <w:b/>
          <w:sz w:val="24"/>
          <w:szCs w:val="24"/>
        </w:rPr>
      </w:pPr>
      <w:r>
        <w:rPr>
          <w:rFonts w:ascii="Arial" w:hAnsi="Arial" w:cs="Arial"/>
          <w:sz w:val="24"/>
          <w:szCs w:val="24"/>
        </w:rPr>
        <w:t xml:space="preserve">10. Qualité dans le GIR : Président /__/ SG /__/ TG /__/ DT /__/ Autres à préciser : </w:t>
      </w:r>
      <w:r>
        <w:rPr>
          <w:rFonts w:ascii="Arial" w:hAnsi="Arial" w:cs="Arial"/>
          <w:b/>
          <w:sz w:val="24"/>
          <w:szCs w:val="24"/>
        </w:rPr>
        <w:t xml:space="preserve">Matériels et équipements </w:t>
      </w:r>
    </w:p>
    <w:p w14:paraId="621C4A7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11. Types de matériels et équipements en bon état dans l’exploitation</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666"/>
        <w:gridCol w:w="2683"/>
        <w:gridCol w:w="1925"/>
        <w:gridCol w:w="2411"/>
      </w:tblGrid>
      <w:tr w:rsidR="008862C7" w14:paraId="42052B21" w14:textId="77777777" w:rsidTr="008862C7">
        <w:tc>
          <w:tcPr>
            <w:tcW w:w="1363" w:type="pct"/>
            <w:tcBorders>
              <w:top w:val="single" w:sz="4" w:space="0" w:color="auto"/>
              <w:left w:val="single" w:sz="4" w:space="0" w:color="auto"/>
              <w:bottom w:val="single" w:sz="4" w:space="0" w:color="auto"/>
              <w:right w:val="single" w:sz="4" w:space="0" w:color="auto"/>
            </w:tcBorders>
            <w:hideMark/>
          </w:tcPr>
          <w:p w14:paraId="7260B886" w14:textId="77777777" w:rsidR="008862C7" w:rsidRDefault="008862C7">
            <w:pPr>
              <w:tabs>
                <w:tab w:val="left" w:pos="708"/>
              </w:tabs>
              <w:spacing w:after="0" w:line="240" w:lineRule="auto"/>
              <w:jc w:val="center"/>
              <w:rPr>
                <w:rFonts w:ascii="Arial" w:eastAsia="Times New Roman" w:hAnsi="Arial" w:cs="Arial"/>
                <w:b/>
                <w:sz w:val="24"/>
                <w:szCs w:val="24"/>
              </w:rPr>
            </w:pPr>
            <w:r>
              <w:rPr>
                <w:rFonts w:ascii="Arial" w:hAnsi="Arial" w:cs="Arial"/>
                <w:b/>
                <w:sz w:val="24"/>
                <w:szCs w:val="24"/>
              </w:rPr>
              <w:t xml:space="preserve">Matériels agricoles </w:t>
            </w:r>
          </w:p>
        </w:tc>
        <w:tc>
          <w:tcPr>
            <w:tcW w:w="315" w:type="pct"/>
            <w:tcBorders>
              <w:top w:val="single" w:sz="4" w:space="0" w:color="auto"/>
              <w:left w:val="single" w:sz="4" w:space="0" w:color="auto"/>
              <w:bottom w:val="single" w:sz="4" w:space="0" w:color="auto"/>
              <w:right w:val="single" w:sz="4" w:space="0" w:color="auto"/>
            </w:tcBorders>
            <w:hideMark/>
          </w:tcPr>
          <w:p w14:paraId="0393E6F7" w14:textId="77777777" w:rsidR="008862C7" w:rsidRDefault="008862C7">
            <w:pPr>
              <w:tabs>
                <w:tab w:val="left" w:pos="708"/>
              </w:tabs>
              <w:spacing w:after="0" w:line="240" w:lineRule="auto"/>
              <w:jc w:val="center"/>
              <w:rPr>
                <w:rFonts w:ascii="Arial" w:eastAsia="Times New Roman" w:hAnsi="Arial" w:cs="Arial"/>
                <w:b/>
                <w:sz w:val="24"/>
                <w:szCs w:val="24"/>
              </w:rPr>
            </w:pPr>
            <w:r>
              <w:rPr>
                <w:rFonts w:ascii="Arial" w:hAnsi="Arial" w:cs="Arial"/>
                <w:b/>
                <w:sz w:val="24"/>
                <w:szCs w:val="24"/>
              </w:rPr>
              <w:t>Nb.</w:t>
            </w:r>
          </w:p>
        </w:tc>
        <w:tc>
          <w:tcPr>
            <w:tcW w:w="1270" w:type="pct"/>
            <w:tcBorders>
              <w:top w:val="single" w:sz="4" w:space="0" w:color="auto"/>
              <w:left w:val="single" w:sz="4" w:space="0" w:color="auto"/>
              <w:bottom w:val="single" w:sz="4" w:space="0" w:color="auto"/>
              <w:right w:val="single" w:sz="4" w:space="0" w:color="auto"/>
            </w:tcBorders>
            <w:hideMark/>
          </w:tcPr>
          <w:p w14:paraId="5C1055FD" w14:textId="77777777" w:rsidR="008862C7" w:rsidRDefault="008862C7">
            <w:pPr>
              <w:tabs>
                <w:tab w:val="left" w:pos="708"/>
              </w:tabs>
              <w:spacing w:after="0" w:line="240" w:lineRule="auto"/>
              <w:jc w:val="center"/>
              <w:rPr>
                <w:rFonts w:ascii="Arial" w:eastAsia="Times New Roman" w:hAnsi="Arial" w:cs="Arial"/>
                <w:b/>
                <w:sz w:val="24"/>
                <w:szCs w:val="24"/>
              </w:rPr>
            </w:pPr>
            <w:r>
              <w:rPr>
                <w:rFonts w:ascii="Arial" w:hAnsi="Arial" w:cs="Arial"/>
                <w:b/>
                <w:sz w:val="24"/>
                <w:szCs w:val="24"/>
              </w:rPr>
              <w:t>Origine</w:t>
            </w:r>
          </w:p>
        </w:tc>
        <w:tc>
          <w:tcPr>
            <w:tcW w:w="911" w:type="pct"/>
            <w:tcBorders>
              <w:top w:val="single" w:sz="4" w:space="0" w:color="auto"/>
              <w:left w:val="single" w:sz="4" w:space="0" w:color="auto"/>
              <w:bottom w:val="single" w:sz="4" w:space="0" w:color="auto"/>
              <w:right w:val="single" w:sz="4" w:space="0" w:color="auto"/>
            </w:tcBorders>
            <w:hideMark/>
          </w:tcPr>
          <w:p w14:paraId="79BFB6F4" w14:textId="77777777" w:rsidR="008862C7" w:rsidRDefault="008862C7">
            <w:pPr>
              <w:tabs>
                <w:tab w:val="left" w:pos="708"/>
              </w:tabs>
              <w:spacing w:after="0" w:line="240" w:lineRule="auto"/>
              <w:jc w:val="center"/>
              <w:rPr>
                <w:rFonts w:ascii="Arial" w:eastAsia="Times New Roman" w:hAnsi="Arial" w:cs="Arial"/>
                <w:b/>
                <w:sz w:val="24"/>
                <w:szCs w:val="24"/>
              </w:rPr>
            </w:pPr>
            <w:r>
              <w:rPr>
                <w:rFonts w:ascii="Arial" w:hAnsi="Arial" w:cs="Arial"/>
                <w:b/>
                <w:sz w:val="24"/>
                <w:szCs w:val="24"/>
              </w:rPr>
              <w:t xml:space="preserve">PU d’acquisition </w:t>
            </w:r>
          </w:p>
        </w:tc>
        <w:tc>
          <w:tcPr>
            <w:tcW w:w="1141" w:type="pct"/>
            <w:tcBorders>
              <w:top w:val="single" w:sz="4" w:space="0" w:color="auto"/>
              <w:left w:val="single" w:sz="4" w:space="0" w:color="auto"/>
              <w:bottom w:val="single" w:sz="4" w:space="0" w:color="auto"/>
              <w:right w:val="single" w:sz="4" w:space="0" w:color="auto"/>
            </w:tcBorders>
            <w:hideMark/>
          </w:tcPr>
          <w:p w14:paraId="4ADAABFF" w14:textId="77777777" w:rsidR="008862C7" w:rsidRDefault="008862C7">
            <w:pPr>
              <w:tabs>
                <w:tab w:val="left" w:pos="708"/>
              </w:tabs>
              <w:spacing w:after="0" w:line="240" w:lineRule="auto"/>
              <w:jc w:val="center"/>
              <w:rPr>
                <w:rFonts w:ascii="Arial" w:eastAsia="Times New Roman" w:hAnsi="Arial" w:cs="Arial"/>
                <w:b/>
                <w:sz w:val="24"/>
                <w:szCs w:val="24"/>
              </w:rPr>
            </w:pPr>
            <w:r>
              <w:rPr>
                <w:rFonts w:ascii="Arial" w:hAnsi="Arial" w:cs="Arial"/>
                <w:b/>
                <w:sz w:val="24"/>
                <w:szCs w:val="24"/>
              </w:rPr>
              <w:t xml:space="preserve">Observations </w:t>
            </w:r>
          </w:p>
        </w:tc>
      </w:tr>
      <w:tr w:rsidR="008862C7" w14:paraId="54964233" w14:textId="77777777" w:rsidTr="008862C7">
        <w:tc>
          <w:tcPr>
            <w:tcW w:w="1363" w:type="pct"/>
            <w:tcBorders>
              <w:top w:val="single" w:sz="4" w:space="0" w:color="auto"/>
              <w:left w:val="single" w:sz="4" w:space="0" w:color="auto"/>
              <w:bottom w:val="single" w:sz="4" w:space="0" w:color="auto"/>
              <w:right w:val="single" w:sz="4" w:space="0" w:color="auto"/>
            </w:tcBorders>
            <w:hideMark/>
          </w:tcPr>
          <w:p w14:paraId="5B54747E"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Houe</w:t>
            </w:r>
          </w:p>
        </w:tc>
        <w:tc>
          <w:tcPr>
            <w:tcW w:w="315" w:type="pct"/>
            <w:tcBorders>
              <w:top w:val="single" w:sz="4" w:space="0" w:color="auto"/>
              <w:left w:val="single" w:sz="4" w:space="0" w:color="auto"/>
              <w:bottom w:val="single" w:sz="4" w:space="0" w:color="auto"/>
              <w:right w:val="single" w:sz="4" w:space="0" w:color="auto"/>
            </w:tcBorders>
          </w:tcPr>
          <w:p w14:paraId="5205E801"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47A24D39"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38795BE6"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22C75861"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3AFCF9EB" w14:textId="77777777" w:rsidTr="008862C7">
        <w:tc>
          <w:tcPr>
            <w:tcW w:w="1363" w:type="pct"/>
            <w:tcBorders>
              <w:top w:val="single" w:sz="4" w:space="0" w:color="auto"/>
              <w:left w:val="single" w:sz="4" w:space="0" w:color="auto"/>
              <w:bottom w:val="single" w:sz="4" w:space="0" w:color="auto"/>
              <w:right w:val="single" w:sz="4" w:space="0" w:color="auto"/>
            </w:tcBorders>
            <w:hideMark/>
          </w:tcPr>
          <w:p w14:paraId="23768AE0"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Machette</w:t>
            </w:r>
          </w:p>
        </w:tc>
        <w:tc>
          <w:tcPr>
            <w:tcW w:w="315" w:type="pct"/>
            <w:tcBorders>
              <w:top w:val="single" w:sz="4" w:space="0" w:color="auto"/>
              <w:left w:val="single" w:sz="4" w:space="0" w:color="auto"/>
              <w:bottom w:val="single" w:sz="4" w:space="0" w:color="auto"/>
              <w:right w:val="single" w:sz="4" w:space="0" w:color="auto"/>
            </w:tcBorders>
          </w:tcPr>
          <w:p w14:paraId="15BA7FE1"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2EC89FAC"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61A26785"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2E6A3195"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1EB63BF5" w14:textId="77777777" w:rsidTr="008862C7">
        <w:tc>
          <w:tcPr>
            <w:tcW w:w="1363" w:type="pct"/>
            <w:tcBorders>
              <w:top w:val="single" w:sz="4" w:space="0" w:color="auto"/>
              <w:left w:val="single" w:sz="4" w:space="0" w:color="auto"/>
              <w:bottom w:val="single" w:sz="4" w:space="0" w:color="auto"/>
              <w:right w:val="single" w:sz="4" w:space="0" w:color="auto"/>
            </w:tcBorders>
          </w:tcPr>
          <w:p w14:paraId="160C8F94" w14:textId="77777777" w:rsidR="008862C7" w:rsidRDefault="008862C7">
            <w:pPr>
              <w:tabs>
                <w:tab w:val="left" w:pos="708"/>
              </w:tabs>
              <w:spacing w:after="0" w:line="240" w:lineRule="auto"/>
              <w:jc w:val="both"/>
              <w:rPr>
                <w:rFonts w:ascii="Arial" w:eastAsia="Times New Roman" w:hAnsi="Arial" w:cs="Arial"/>
                <w:sz w:val="24"/>
                <w:szCs w:val="24"/>
              </w:rPr>
            </w:pPr>
          </w:p>
        </w:tc>
        <w:tc>
          <w:tcPr>
            <w:tcW w:w="315" w:type="pct"/>
            <w:tcBorders>
              <w:top w:val="single" w:sz="4" w:space="0" w:color="auto"/>
              <w:left w:val="single" w:sz="4" w:space="0" w:color="auto"/>
              <w:bottom w:val="single" w:sz="4" w:space="0" w:color="auto"/>
              <w:right w:val="single" w:sz="4" w:space="0" w:color="auto"/>
            </w:tcBorders>
          </w:tcPr>
          <w:p w14:paraId="7AECE71F"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6D6B7F9A"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500B3426"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58DC83B9"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6CA8B239" w14:textId="77777777" w:rsidTr="008862C7">
        <w:trPr>
          <w:trHeight w:val="298"/>
        </w:trPr>
        <w:tc>
          <w:tcPr>
            <w:tcW w:w="1363" w:type="pct"/>
            <w:tcBorders>
              <w:top w:val="single" w:sz="4" w:space="0" w:color="auto"/>
              <w:left w:val="single" w:sz="4" w:space="0" w:color="auto"/>
              <w:bottom w:val="single" w:sz="4" w:space="0" w:color="auto"/>
              <w:right w:val="single" w:sz="4" w:space="0" w:color="auto"/>
            </w:tcBorders>
            <w:hideMark/>
          </w:tcPr>
          <w:p w14:paraId="5026E11F"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Bœufs d’attelage</w:t>
            </w:r>
          </w:p>
        </w:tc>
        <w:tc>
          <w:tcPr>
            <w:tcW w:w="315" w:type="pct"/>
            <w:tcBorders>
              <w:top w:val="single" w:sz="4" w:space="0" w:color="auto"/>
              <w:left w:val="single" w:sz="4" w:space="0" w:color="auto"/>
              <w:bottom w:val="single" w:sz="4" w:space="0" w:color="auto"/>
              <w:right w:val="single" w:sz="4" w:space="0" w:color="auto"/>
            </w:tcBorders>
          </w:tcPr>
          <w:p w14:paraId="7E974829"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0CB84E4D"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15A087C3"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4A8508A0"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5BCF7F49" w14:textId="77777777" w:rsidTr="008862C7">
        <w:trPr>
          <w:trHeight w:val="190"/>
        </w:trPr>
        <w:tc>
          <w:tcPr>
            <w:tcW w:w="1363" w:type="pct"/>
            <w:tcBorders>
              <w:top w:val="single" w:sz="4" w:space="0" w:color="auto"/>
              <w:left w:val="single" w:sz="4" w:space="0" w:color="auto"/>
              <w:bottom w:val="single" w:sz="4" w:space="0" w:color="auto"/>
              <w:right w:val="single" w:sz="4" w:space="0" w:color="auto"/>
            </w:tcBorders>
            <w:hideMark/>
          </w:tcPr>
          <w:p w14:paraId="1ECA1538"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Charrue </w:t>
            </w:r>
          </w:p>
        </w:tc>
        <w:tc>
          <w:tcPr>
            <w:tcW w:w="315" w:type="pct"/>
            <w:tcBorders>
              <w:top w:val="single" w:sz="4" w:space="0" w:color="auto"/>
              <w:left w:val="single" w:sz="4" w:space="0" w:color="auto"/>
              <w:bottom w:val="single" w:sz="4" w:space="0" w:color="auto"/>
              <w:right w:val="single" w:sz="4" w:space="0" w:color="auto"/>
            </w:tcBorders>
          </w:tcPr>
          <w:p w14:paraId="499CB705"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1C262511"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7E68C661"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148F62D7"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7F3A16D2" w14:textId="77777777" w:rsidTr="008862C7">
        <w:trPr>
          <w:trHeight w:val="194"/>
        </w:trPr>
        <w:tc>
          <w:tcPr>
            <w:tcW w:w="1363" w:type="pct"/>
            <w:tcBorders>
              <w:top w:val="single" w:sz="4" w:space="0" w:color="auto"/>
              <w:left w:val="single" w:sz="4" w:space="0" w:color="auto"/>
              <w:bottom w:val="single" w:sz="4" w:space="0" w:color="auto"/>
              <w:right w:val="single" w:sz="4" w:space="0" w:color="auto"/>
            </w:tcBorders>
            <w:hideMark/>
          </w:tcPr>
          <w:p w14:paraId="425301AA"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Tracteur </w:t>
            </w:r>
          </w:p>
        </w:tc>
        <w:tc>
          <w:tcPr>
            <w:tcW w:w="315" w:type="pct"/>
            <w:tcBorders>
              <w:top w:val="single" w:sz="4" w:space="0" w:color="auto"/>
              <w:left w:val="single" w:sz="4" w:space="0" w:color="auto"/>
              <w:bottom w:val="single" w:sz="4" w:space="0" w:color="auto"/>
              <w:right w:val="single" w:sz="4" w:space="0" w:color="auto"/>
            </w:tcBorders>
          </w:tcPr>
          <w:p w14:paraId="0573B10D"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425BEE7A"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5BD8A558"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214C17CF"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12105AE8" w14:textId="77777777" w:rsidTr="008862C7">
        <w:trPr>
          <w:trHeight w:val="282"/>
        </w:trPr>
        <w:tc>
          <w:tcPr>
            <w:tcW w:w="1363" w:type="pct"/>
            <w:tcBorders>
              <w:top w:val="single" w:sz="4" w:space="0" w:color="auto"/>
              <w:left w:val="single" w:sz="4" w:space="0" w:color="auto"/>
              <w:bottom w:val="single" w:sz="4" w:space="0" w:color="auto"/>
              <w:right w:val="single" w:sz="4" w:space="0" w:color="auto"/>
            </w:tcBorders>
            <w:hideMark/>
          </w:tcPr>
          <w:p w14:paraId="728A6016"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Pulvérisateur</w:t>
            </w:r>
          </w:p>
        </w:tc>
        <w:tc>
          <w:tcPr>
            <w:tcW w:w="315" w:type="pct"/>
            <w:tcBorders>
              <w:top w:val="single" w:sz="4" w:space="0" w:color="auto"/>
              <w:left w:val="single" w:sz="4" w:space="0" w:color="auto"/>
              <w:bottom w:val="single" w:sz="4" w:space="0" w:color="auto"/>
              <w:right w:val="single" w:sz="4" w:space="0" w:color="auto"/>
            </w:tcBorders>
          </w:tcPr>
          <w:p w14:paraId="4195181D"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0FCAEE93"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772F2F4D"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68369C20"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4932141C" w14:textId="77777777" w:rsidTr="008862C7">
        <w:tc>
          <w:tcPr>
            <w:tcW w:w="1363" w:type="pct"/>
            <w:tcBorders>
              <w:top w:val="single" w:sz="4" w:space="0" w:color="auto"/>
              <w:left w:val="single" w:sz="4" w:space="0" w:color="auto"/>
              <w:bottom w:val="single" w:sz="4" w:space="0" w:color="auto"/>
              <w:right w:val="single" w:sz="4" w:space="0" w:color="auto"/>
            </w:tcBorders>
            <w:hideMark/>
          </w:tcPr>
          <w:p w14:paraId="187C439C"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Charrette</w:t>
            </w:r>
          </w:p>
        </w:tc>
        <w:tc>
          <w:tcPr>
            <w:tcW w:w="315" w:type="pct"/>
            <w:tcBorders>
              <w:top w:val="single" w:sz="4" w:space="0" w:color="auto"/>
              <w:left w:val="single" w:sz="4" w:space="0" w:color="auto"/>
              <w:bottom w:val="single" w:sz="4" w:space="0" w:color="auto"/>
              <w:right w:val="single" w:sz="4" w:space="0" w:color="auto"/>
            </w:tcBorders>
          </w:tcPr>
          <w:p w14:paraId="723A7C87"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48C84479"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45F7B27E"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4A877220"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2A23A464" w14:textId="77777777" w:rsidTr="008862C7">
        <w:tc>
          <w:tcPr>
            <w:tcW w:w="1363" w:type="pct"/>
            <w:tcBorders>
              <w:top w:val="single" w:sz="4" w:space="0" w:color="auto"/>
              <w:left w:val="single" w:sz="4" w:space="0" w:color="auto"/>
              <w:bottom w:val="single" w:sz="4" w:space="0" w:color="auto"/>
              <w:right w:val="single" w:sz="4" w:space="0" w:color="auto"/>
            </w:tcBorders>
          </w:tcPr>
          <w:p w14:paraId="213A51E3" w14:textId="77777777" w:rsidR="008862C7" w:rsidRDefault="008862C7">
            <w:pPr>
              <w:tabs>
                <w:tab w:val="left" w:pos="708"/>
              </w:tabs>
              <w:spacing w:after="0" w:line="240" w:lineRule="auto"/>
              <w:jc w:val="both"/>
              <w:rPr>
                <w:rFonts w:ascii="Arial" w:eastAsia="Times New Roman" w:hAnsi="Arial" w:cs="Arial"/>
                <w:sz w:val="24"/>
                <w:szCs w:val="24"/>
              </w:rPr>
            </w:pPr>
          </w:p>
        </w:tc>
        <w:tc>
          <w:tcPr>
            <w:tcW w:w="315" w:type="pct"/>
            <w:tcBorders>
              <w:top w:val="single" w:sz="4" w:space="0" w:color="auto"/>
              <w:left w:val="single" w:sz="4" w:space="0" w:color="auto"/>
              <w:bottom w:val="single" w:sz="4" w:space="0" w:color="auto"/>
              <w:right w:val="single" w:sz="4" w:space="0" w:color="auto"/>
            </w:tcBorders>
          </w:tcPr>
          <w:p w14:paraId="55643187" w14:textId="77777777" w:rsidR="008862C7" w:rsidRDefault="008862C7">
            <w:pPr>
              <w:tabs>
                <w:tab w:val="left" w:pos="708"/>
              </w:tabs>
              <w:spacing w:after="0" w:line="240" w:lineRule="auto"/>
              <w:jc w:val="both"/>
              <w:rPr>
                <w:rFonts w:ascii="Arial" w:eastAsia="Times New Roman" w:hAnsi="Arial" w:cs="Arial"/>
                <w:sz w:val="24"/>
                <w:szCs w:val="24"/>
              </w:rPr>
            </w:pPr>
          </w:p>
        </w:tc>
        <w:tc>
          <w:tcPr>
            <w:tcW w:w="1270" w:type="pct"/>
            <w:tcBorders>
              <w:top w:val="single" w:sz="4" w:space="0" w:color="auto"/>
              <w:left w:val="single" w:sz="4" w:space="0" w:color="auto"/>
              <w:bottom w:val="single" w:sz="4" w:space="0" w:color="auto"/>
              <w:right w:val="single" w:sz="4" w:space="0" w:color="auto"/>
            </w:tcBorders>
          </w:tcPr>
          <w:p w14:paraId="7FCCED7E" w14:textId="77777777" w:rsidR="008862C7" w:rsidRDefault="008862C7">
            <w:pPr>
              <w:tabs>
                <w:tab w:val="left" w:pos="708"/>
              </w:tabs>
              <w:spacing w:after="0" w:line="240" w:lineRule="auto"/>
              <w:jc w:val="both"/>
              <w:rPr>
                <w:rFonts w:ascii="Arial" w:eastAsia="Times New Roman" w:hAnsi="Arial" w:cs="Arial"/>
                <w:sz w:val="24"/>
                <w:szCs w:val="24"/>
              </w:rPr>
            </w:pPr>
          </w:p>
        </w:tc>
        <w:tc>
          <w:tcPr>
            <w:tcW w:w="911" w:type="pct"/>
            <w:tcBorders>
              <w:top w:val="single" w:sz="4" w:space="0" w:color="auto"/>
              <w:left w:val="single" w:sz="4" w:space="0" w:color="auto"/>
              <w:bottom w:val="single" w:sz="4" w:space="0" w:color="auto"/>
              <w:right w:val="single" w:sz="4" w:space="0" w:color="auto"/>
            </w:tcBorders>
          </w:tcPr>
          <w:p w14:paraId="73BFF8BA" w14:textId="77777777" w:rsidR="008862C7" w:rsidRDefault="008862C7">
            <w:pPr>
              <w:tabs>
                <w:tab w:val="left" w:pos="708"/>
              </w:tabs>
              <w:spacing w:after="0" w:line="240" w:lineRule="auto"/>
              <w:jc w:val="both"/>
              <w:rPr>
                <w:rFonts w:ascii="Arial" w:eastAsia="Times New Roman" w:hAnsi="Arial" w:cs="Arial"/>
                <w:sz w:val="24"/>
                <w:szCs w:val="24"/>
              </w:rPr>
            </w:pPr>
          </w:p>
        </w:tc>
        <w:tc>
          <w:tcPr>
            <w:tcW w:w="1141" w:type="pct"/>
            <w:tcBorders>
              <w:top w:val="single" w:sz="4" w:space="0" w:color="auto"/>
              <w:left w:val="single" w:sz="4" w:space="0" w:color="auto"/>
              <w:bottom w:val="single" w:sz="4" w:space="0" w:color="auto"/>
              <w:right w:val="single" w:sz="4" w:space="0" w:color="auto"/>
            </w:tcBorders>
          </w:tcPr>
          <w:p w14:paraId="26B5DE73"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3466562A" w14:textId="77777777" w:rsidR="008862C7" w:rsidRDefault="008862C7" w:rsidP="008862C7">
      <w:pPr>
        <w:pStyle w:val="Paragraphedeliste"/>
        <w:numPr>
          <w:ilvl w:val="0"/>
          <w:numId w:val="50"/>
        </w:numPr>
        <w:spacing w:after="0" w:line="240" w:lineRule="auto"/>
        <w:jc w:val="both"/>
        <w:rPr>
          <w:rFonts w:ascii="Arial" w:hAnsi="Arial" w:cs="Arial"/>
          <w:b/>
          <w:sz w:val="24"/>
          <w:szCs w:val="24"/>
        </w:rPr>
      </w:pPr>
      <w:r>
        <w:rPr>
          <w:rFonts w:ascii="Arial" w:hAnsi="Arial" w:cs="Arial"/>
          <w:b/>
          <w:sz w:val="24"/>
          <w:szCs w:val="24"/>
        </w:rPr>
        <w:t>Intrants</w:t>
      </w:r>
    </w:p>
    <w:p w14:paraId="550447D2"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12. Semences utilisées et prix d’acquisition</w:t>
      </w:r>
    </w:p>
    <w:p w14:paraId="204436D5"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Source d’approvisionnement - Quantité utilisée (kg, cuvette) : </w:t>
      </w:r>
    </w:p>
    <w:p w14:paraId="73F8404C"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Prix unitaire FCFA : </w:t>
      </w:r>
    </w:p>
    <w:p w14:paraId="15C7A949"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13. Engrais utilisés et prix d’acquisition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110"/>
        <w:gridCol w:w="2376"/>
        <w:gridCol w:w="2254"/>
      </w:tblGrid>
      <w:tr w:rsidR="008862C7" w14:paraId="700470BC" w14:textId="77777777" w:rsidTr="008862C7">
        <w:tc>
          <w:tcPr>
            <w:tcW w:w="1800" w:type="dxa"/>
            <w:tcBorders>
              <w:top w:val="single" w:sz="4" w:space="0" w:color="auto"/>
              <w:left w:val="single" w:sz="4" w:space="0" w:color="auto"/>
              <w:bottom w:val="single" w:sz="4" w:space="0" w:color="auto"/>
              <w:right w:val="single" w:sz="4" w:space="0" w:color="auto"/>
            </w:tcBorders>
            <w:hideMark/>
          </w:tcPr>
          <w:p w14:paraId="27B60ACC"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Types d’engrais</w:t>
            </w:r>
          </w:p>
        </w:tc>
        <w:tc>
          <w:tcPr>
            <w:tcW w:w="3110" w:type="dxa"/>
            <w:tcBorders>
              <w:top w:val="single" w:sz="4" w:space="0" w:color="auto"/>
              <w:left w:val="single" w:sz="4" w:space="0" w:color="auto"/>
              <w:bottom w:val="single" w:sz="4" w:space="0" w:color="auto"/>
              <w:right w:val="single" w:sz="4" w:space="0" w:color="auto"/>
            </w:tcBorders>
            <w:hideMark/>
          </w:tcPr>
          <w:p w14:paraId="0DC8ED35"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Source d’approvisionnement</w:t>
            </w:r>
          </w:p>
        </w:tc>
        <w:tc>
          <w:tcPr>
            <w:tcW w:w="2376" w:type="dxa"/>
            <w:tcBorders>
              <w:top w:val="single" w:sz="4" w:space="0" w:color="auto"/>
              <w:left w:val="single" w:sz="4" w:space="0" w:color="auto"/>
              <w:bottom w:val="single" w:sz="4" w:space="0" w:color="auto"/>
              <w:right w:val="single" w:sz="4" w:space="0" w:color="auto"/>
            </w:tcBorders>
            <w:hideMark/>
          </w:tcPr>
          <w:p w14:paraId="7040CD76"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Quantité utilisée (kg)</w:t>
            </w:r>
          </w:p>
        </w:tc>
        <w:tc>
          <w:tcPr>
            <w:tcW w:w="2254" w:type="dxa"/>
            <w:tcBorders>
              <w:top w:val="single" w:sz="4" w:space="0" w:color="auto"/>
              <w:left w:val="single" w:sz="4" w:space="0" w:color="auto"/>
              <w:bottom w:val="single" w:sz="4" w:space="0" w:color="auto"/>
              <w:right w:val="single" w:sz="4" w:space="0" w:color="auto"/>
            </w:tcBorders>
            <w:hideMark/>
          </w:tcPr>
          <w:p w14:paraId="01172573"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Prix unitaire FCFA</w:t>
            </w:r>
          </w:p>
        </w:tc>
      </w:tr>
      <w:tr w:rsidR="008862C7" w14:paraId="5756F5B7" w14:textId="77777777" w:rsidTr="008862C7">
        <w:tc>
          <w:tcPr>
            <w:tcW w:w="1800" w:type="dxa"/>
            <w:tcBorders>
              <w:top w:val="single" w:sz="4" w:space="0" w:color="auto"/>
              <w:left w:val="single" w:sz="4" w:space="0" w:color="auto"/>
              <w:bottom w:val="single" w:sz="4" w:space="0" w:color="auto"/>
              <w:right w:val="single" w:sz="4" w:space="0" w:color="auto"/>
            </w:tcBorders>
            <w:hideMark/>
          </w:tcPr>
          <w:p w14:paraId="7565D2D5"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NPK</w:t>
            </w:r>
          </w:p>
        </w:tc>
        <w:tc>
          <w:tcPr>
            <w:tcW w:w="3110" w:type="dxa"/>
            <w:tcBorders>
              <w:top w:val="single" w:sz="4" w:space="0" w:color="auto"/>
              <w:left w:val="single" w:sz="4" w:space="0" w:color="auto"/>
              <w:bottom w:val="single" w:sz="4" w:space="0" w:color="auto"/>
              <w:right w:val="single" w:sz="4" w:space="0" w:color="auto"/>
            </w:tcBorders>
          </w:tcPr>
          <w:p w14:paraId="5E562864" w14:textId="77777777" w:rsidR="008862C7" w:rsidRDefault="008862C7">
            <w:pPr>
              <w:tabs>
                <w:tab w:val="left" w:pos="708"/>
              </w:tabs>
              <w:spacing w:after="0" w:line="240" w:lineRule="auto"/>
              <w:jc w:val="both"/>
              <w:rPr>
                <w:rFonts w:ascii="Arial" w:eastAsia="Times New Roman" w:hAnsi="Arial" w:cs="Arial"/>
                <w:sz w:val="24"/>
                <w:szCs w:val="24"/>
              </w:rPr>
            </w:pPr>
          </w:p>
        </w:tc>
        <w:tc>
          <w:tcPr>
            <w:tcW w:w="2376" w:type="dxa"/>
            <w:tcBorders>
              <w:top w:val="single" w:sz="4" w:space="0" w:color="auto"/>
              <w:left w:val="single" w:sz="4" w:space="0" w:color="auto"/>
              <w:bottom w:val="single" w:sz="4" w:space="0" w:color="auto"/>
              <w:right w:val="single" w:sz="4" w:space="0" w:color="auto"/>
            </w:tcBorders>
          </w:tcPr>
          <w:p w14:paraId="2A587DA4" w14:textId="77777777" w:rsidR="008862C7" w:rsidRDefault="008862C7">
            <w:pPr>
              <w:tabs>
                <w:tab w:val="left" w:pos="708"/>
              </w:tabs>
              <w:spacing w:after="0" w:line="240" w:lineRule="auto"/>
              <w:jc w:val="both"/>
              <w:rPr>
                <w:rFonts w:ascii="Arial" w:eastAsia="Times New Roman" w:hAnsi="Arial" w:cs="Arial"/>
                <w:sz w:val="24"/>
                <w:szCs w:val="24"/>
              </w:rPr>
            </w:pPr>
          </w:p>
        </w:tc>
        <w:tc>
          <w:tcPr>
            <w:tcW w:w="2254" w:type="dxa"/>
            <w:tcBorders>
              <w:top w:val="single" w:sz="4" w:space="0" w:color="auto"/>
              <w:left w:val="single" w:sz="4" w:space="0" w:color="auto"/>
              <w:bottom w:val="single" w:sz="4" w:space="0" w:color="auto"/>
              <w:right w:val="single" w:sz="4" w:space="0" w:color="auto"/>
            </w:tcBorders>
          </w:tcPr>
          <w:p w14:paraId="1FD8B2FA"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3676F6A4" w14:textId="77777777" w:rsidTr="008862C7">
        <w:tc>
          <w:tcPr>
            <w:tcW w:w="1800" w:type="dxa"/>
            <w:tcBorders>
              <w:top w:val="single" w:sz="4" w:space="0" w:color="auto"/>
              <w:left w:val="single" w:sz="4" w:space="0" w:color="auto"/>
              <w:bottom w:val="single" w:sz="4" w:space="0" w:color="auto"/>
              <w:right w:val="single" w:sz="4" w:space="0" w:color="auto"/>
            </w:tcBorders>
            <w:hideMark/>
          </w:tcPr>
          <w:p w14:paraId="3E1D3F9A"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Urée </w:t>
            </w:r>
          </w:p>
        </w:tc>
        <w:tc>
          <w:tcPr>
            <w:tcW w:w="3110" w:type="dxa"/>
            <w:tcBorders>
              <w:top w:val="single" w:sz="4" w:space="0" w:color="auto"/>
              <w:left w:val="single" w:sz="4" w:space="0" w:color="auto"/>
              <w:bottom w:val="single" w:sz="4" w:space="0" w:color="auto"/>
              <w:right w:val="single" w:sz="4" w:space="0" w:color="auto"/>
            </w:tcBorders>
          </w:tcPr>
          <w:p w14:paraId="031DD3C9" w14:textId="77777777" w:rsidR="008862C7" w:rsidRDefault="008862C7">
            <w:pPr>
              <w:tabs>
                <w:tab w:val="left" w:pos="708"/>
              </w:tabs>
              <w:spacing w:after="0" w:line="240" w:lineRule="auto"/>
              <w:jc w:val="both"/>
              <w:rPr>
                <w:rFonts w:ascii="Arial" w:eastAsia="Times New Roman" w:hAnsi="Arial" w:cs="Arial"/>
                <w:sz w:val="24"/>
                <w:szCs w:val="24"/>
              </w:rPr>
            </w:pPr>
          </w:p>
        </w:tc>
        <w:tc>
          <w:tcPr>
            <w:tcW w:w="2376" w:type="dxa"/>
            <w:tcBorders>
              <w:top w:val="single" w:sz="4" w:space="0" w:color="auto"/>
              <w:left w:val="single" w:sz="4" w:space="0" w:color="auto"/>
              <w:bottom w:val="single" w:sz="4" w:space="0" w:color="auto"/>
              <w:right w:val="single" w:sz="4" w:space="0" w:color="auto"/>
            </w:tcBorders>
          </w:tcPr>
          <w:p w14:paraId="2A527B85" w14:textId="77777777" w:rsidR="008862C7" w:rsidRDefault="008862C7">
            <w:pPr>
              <w:tabs>
                <w:tab w:val="left" w:pos="708"/>
              </w:tabs>
              <w:spacing w:after="0" w:line="240" w:lineRule="auto"/>
              <w:jc w:val="both"/>
              <w:rPr>
                <w:rFonts w:ascii="Arial" w:eastAsia="Times New Roman" w:hAnsi="Arial" w:cs="Arial"/>
                <w:sz w:val="24"/>
                <w:szCs w:val="24"/>
              </w:rPr>
            </w:pPr>
          </w:p>
        </w:tc>
        <w:tc>
          <w:tcPr>
            <w:tcW w:w="2254" w:type="dxa"/>
            <w:tcBorders>
              <w:top w:val="single" w:sz="4" w:space="0" w:color="auto"/>
              <w:left w:val="single" w:sz="4" w:space="0" w:color="auto"/>
              <w:bottom w:val="single" w:sz="4" w:space="0" w:color="auto"/>
              <w:right w:val="single" w:sz="4" w:space="0" w:color="auto"/>
            </w:tcBorders>
          </w:tcPr>
          <w:p w14:paraId="39596B52"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0CE0C0DB" w14:textId="77777777" w:rsidR="008862C7" w:rsidRDefault="008862C7" w:rsidP="008862C7">
      <w:pPr>
        <w:spacing w:after="0" w:line="240" w:lineRule="auto"/>
        <w:jc w:val="both"/>
        <w:rPr>
          <w:rFonts w:ascii="Arial" w:eastAsia="Times New Roman" w:hAnsi="Arial" w:cs="Arial"/>
          <w:sz w:val="24"/>
          <w:szCs w:val="24"/>
        </w:rPr>
      </w:pPr>
      <w:r>
        <w:rPr>
          <w:rFonts w:ascii="Arial" w:hAnsi="Arial" w:cs="Arial"/>
          <w:sz w:val="24"/>
          <w:szCs w:val="24"/>
        </w:rPr>
        <w:t>14. Produits phytosanitaires et prix d’acquisition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925"/>
        <w:gridCol w:w="2470"/>
        <w:gridCol w:w="2160"/>
      </w:tblGrid>
      <w:tr w:rsidR="008862C7" w14:paraId="6C420141" w14:textId="77777777" w:rsidTr="008862C7">
        <w:tc>
          <w:tcPr>
            <w:tcW w:w="1985" w:type="dxa"/>
            <w:tcBorders>
              <w:top w:val="single" w:sz="4" w:space="0" w:color="auto"/>
              <w:left w:val="single" w:sz="4" w:space="0" w:color="auto"/>
              <w:bottom w:val="single" w:sz="4" w:space="0" w:color="auto"/>
              <w:right w:val="single" w:sz="4" w:space="0" w:color="auto"/>
            </w:tcBorders>
            <w:hideMark/>
          </w:tcPr>
          <w:p w14:paraId="25534BC8"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Types de pesticides</w:t>
            </w:r>
          </w:p>
        </w:tc>
        <w:tc>
          <w:tcPr>
            <w:tcW w:w="2925" w:type="dxa"/>
            <w:tcBorders>
              <w:top w:val="single" w:sz="4" w:space="0" w:color="auto"/>
              <w:left w:val="single" w:sz="4" w:space="0" w:color="auto"/>
              <w:bottom w:val="single" w:sz="4" w:space="0" w:color="auto"/>
              <w:right w:val="single" w:sz="4" w:space="0" w:color="auto"/>
            </w:tcBorders>
            <w:hideMark/>
          </w:tcPr>
          <w:p w14:paraId="078EF04E"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Source d’approvisionnement.</w:t>
            </w:r>
          </w:p>
        </w:tc>
        <w:tc>
          <w:tcPr>
            <w:tcW w:w="2470" w:type="dxa"/>
            <w:tcBorders>
              <w:top w:val="single" w:sz="4" w:space="0" w:color="auto"/>
              <w:left w:val="single" w:sz="4" w:space="0" w:color="auto"/>
              <w:bottom w:val="single" w:sz="4" w:space="0" w:color="auto"/>
              <w:right w:val="single" w:sz="4" w:space="0" w:color="auto"/>
            </w:tcBorders>
            <w:hideMark/>
          </w:tcPr>
          <w:p w14:paraId="11A5A01A"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Quantité utilisée (litre)</w:t>
            </w:r>
          </w:p>
        </w:tc>
        <w:tc>
          <w:tcPr>
            <w:tcW w:w="2160" w:type="dxa"/>
            <w:tcBorders>
              <w:top w:val="single" w:sz="4" w:space="0" w:color="auto"/>
              <w:left w:val="single" w:sz="4" w:space="0" w:color="auto"/>
              <w:bottom w:val="single" w:sz="4" w:space="0" w:color="auto"/>
              <w:right w:val="single" w:sz="4" w:space="0" w:color="auto"/>
            </w:tcBorders>
            <w:hideMark/>
          </w:tcPr>
          <w:p w14:paraId="19FBCF07" w14:textId="77777777" w:rsidR="008862C7" w:rsidRDefault="008862C7">
            <w:pPr>
              <w:tabs>
                <w:tab w:val="left" w:pos="708"/>
              </w:tabs>
              <w:spacing w:after="0" w:line="240" w:lineRule="auto"/>
              <w:jc w:val="center"/>
              <w:rPr>
                <w:rFonts w:ascii="Arial" w:eastAsia="Times New Roman" w:hAnsi="Arial" w:cs="Arial"/>
                <w:sz w:val="24"/>
                <w:szCs w:val="24"/>
              </w:rPr>
            </w:pPr>
            <w:r>
              <w:rPr>
                <w:rFonts w:ascii="Arial" w:hAnsi="Arial" w:cs="Arial"/>
                <w:sz w:val="24"/>
                <w:szCs w:val="24"/>
              </w:rPr>
              <w:t>Prix unitaire FCFA</w:t>
            </w:r>
          </w:p>
        </w:tc>
      </w:tr>
      <w:tr w:rsidR="008862C7" w14:paraId="332D44EF" w14:textId="77777777" w:rsidTr="008862C7">
        <w:tc>
          <w:tcPr>
            <w:tcW w:w="1985" w:type="dxa"/>
            <w:tcBorders>
              <w:top w:val="single" w:sz="4" w:space="0" w:color="auto"/>
              <w:left w:val="single" w:sz="4" w:space="0" w:color="auto"/>
              <w:bottom w:val="single" w:sz="4" w:space="0" w:color="auto"/>
              <w:right w:val="single" w:sz="4" w:space="0" w:color="auto"/>
            </w:tcBorders>
            <w:hideMark/>
          </w:tcPr>
          <w:p w14:paraId="3B36FFEB"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Insecticide</w:t>
            </w:r>
          </w:p>
        </w:tc>
        <w:tc>
          <w:tcPr>
            <w:tcW w:w="2925" w:type="dxa"/>
            <w:tcBorders>
              <w:top w:val="single" w:sz="4" w:space="0" w:color="auto"/>
              <w:left w:val="single" w:sz="4" w:space="0" w:color="auto"/>
              <w:bottom w:val="single" w:sz="4" w:space="0" w:color="auto"/>
              <w:right w:val="single" w:sz="4" w:space="0" w:color="auto"/>
            </w:tcBorders>
          </w:tcPr>
          <w:p w14:paraId="4804A407" w14:textId="77777777" w:rsidR="008862C7" w:rsidRDefault="008862C7">
            <w:pPr>
              <w:tabs>
                <w:tab w:val="left" w:pos="708"/>
              </w:tabs>
              <w:spacing w:after="0" w:line="240" w:lineRule="auto"/>
              <w:jc w:val="both"/>
              <w:rPr>
                <w:rFonts w:ascii="Arial" w:eastAsia="Times New Roman" w:hAnsi="Arial" w:cs="Arial"/>
                <w:sz w:val="24"/>
                <w:szCs w:val="24"/>
              </w:rPr>
            </w:pPr>
          </w:p>
        </w:tc>
        <w:tc>
          <w:tcPr>
            <w:tcW w:w="2470" w:type="dxa"/>
            <w:tcBorders>
              <w:top w:val="single" w:sz="4" w:space="0" w:color="auto"/>
              <w:left w:val="single" w:sz="4" w:space="0" w:color="auto"/>
              <w:bottom w:val="single" w:sz="4" w:space="0" w:color="auto"/>
              <w:right w:val="single" w:sz="4" w:space="0" w:color="auto"/>
            </w:tcBorders>
          </w:tcPr>
          <w:p w14:paraId="75156938" w14:textId="77777777" w:rsidR="008862C7" w:rsidRDefault="008862C7">
            <w:pPr>
              <w:tabs>
                <w:tab w:val="left" w:pos="708"/>
              </w:tabs>
              <w:spacing w:after="0" w:line="240" w:lineRule="auto"/>
              <w:jc w:val="both"/>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4" w:space="0" w:color="auto"/>
            </w:tcBorders>
          </w:tcPr>
          <w:p w14:paraId="517290E3"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1BD808F7" w14:textId="77777777" w:rsidTr="008862C7">
        <w:tc>
          <w:tcPr>
            <w:tcW w:w="1985" w:type="dxa"/>
            <w:tcBorders>
              <w:top w:val="single" w:sz="4" w:space="0" w:color="auto"/>
              <w:left w:val="single" w:sz="4" w:space="0" w:color="auto"/>
              <w:bottom w:val="single" w:sz="4" w:space="0" w:color="auto"/>
              <w:right w:val="single" w:sz="4" w:space="0" w:color="auto"/>
            </w:tcBorders>
            <w:hideMark/>
          </w:tcPr>
          <w:p w14:paraId="6ABA50F3"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Fongicide</w:t>
            </w:r>
          </w:p>
        </w:tc>
        <w:tc>
          <w:tcPr>
            <w:tcW w:w="2925" w:type="dxa"/>
            <w:tcBorders>
              <w:top w:val="single" w:sz="4" w:space="0" w:color="auto"/>
              <w:left w:val="single" w:sz="4" w:space="0" w:color="auto"/>
              <w:bottom w:val="single" w:sz="4" w:space="0" w:color="auto"/>
              <w:right w:val="single" w:sz="4" w:space="0" w:color="auto"/>
            </w:tcBorders>
          </w:tcPr>
          <w:p w14:paraId="08C0691A" w14:textId="77777777" w:rsidR="008862C7" w:rsidRDefault="008862C7">
            <w:pPr>
              <w:tabs>
                <w:tab w:val="left" w:pos="708"/>
              </w:tabs>
              <w:spacing w:after="0" w:line="240" w:lineRule="auto"/>
              <w:jc w:val="both"/>
              <w:rPr>
                <w:rFonts w:ascii="Arial" w:eastAsia="Times New Roman" w:hAnsi="Arial" w:cs="Arial"/>
                <w:sz w:val="24"/>
                <w:szCs w:val="24"/>
              </w:rPr>
            </w:pPr>
          </w:p>
        </w:tc>
        <w:tc>
          <w:tcPr>
            <w:tcW w:w="2470" w:type="dxa"/>
            <w:tcBorders>
              <w:top w:val="single" w:sz="4" w:space="0" w:color="auto"/>
              <w:left w:val="single" w:sz="4" w:space="0" w:color="auto"/>
              <w:bottom w:val="single" w:sz="4" w:space="0" w:color="auto"/>
              <w:right w:val="single" w:sz="4" w:space="0" w:color="auto"/>
            </w:tcBorders>
          </w:tcPr>
          <w:p w14:paraId="588CB05C" w14:textId="77777777" w:rsidR="008862C7" w:rsidRDefault="008862C7">
            <w:pPr>
              <w:tabs>
                <w:tab w:val="left" w:pos="708"/>
              </w:tabs>
              <w:spacing w:after="0" w:line="240" w:lineRule="auto"/>
              <w:jc w:val="both"/>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4" w:space="0" w:color="auto"/>
            </w:tcBorders>
          </w:tcPr>
          <w:p w14:paraId="28568FD1"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3C0252AF" w14:textId="77777777" w:rsidTr="008862C7">
        <w:tc>
          <w:tcPr>
            <w:tcW w:w="1985" w:type="dxa"/>
            <w:tcBorders>
              <w:top w:val="single" w:sz="4" w:space="0" w:color="auto"/>
              <w:left w:val="single" w:sz="4" w:space="0" w:color="auto"/>
              <w:bottom w:val="single" w:sz="4" w:space="0" w:color="auto"/>
              <w:right w:val="single" w:sz="4" w:space="0" w:color="auto"/>
            </w:tcBorders>
            <w:hideMark/>
          </w:tcPr>
          <w:p w14:paraId="49DC9C82"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Herbicide</w:t>
            </w:r>
          </w:p>
        </w:tc>
        <w:tc>
          <w:tcPr>
            <w:tcW w:w="2925" w:type="dxa"/>
            <w:tcBorders>
              <w:top w:val="single" w:sz="4" w:space="0" w:color="auto"/>
              <w:left w:val="single" w:sz="4" w:space="0" w:color="auto"/>
              <w:bottom w:val="single" w:sz="4" w:space="0" w:color="auto"/>
              <w:right w:val="single" w:sz="4" w:space="0" w:color="auto"/>
            </w:tcBorders>
          </w:tcPr>
          <w:p w14:paraId="2F6D0A95" w14:textId="77777777" w:rsidR="008862C7" w:rsidRDefault="008862C7">
            <w:pPr>
              <w:tabs>
                <w:tab w:val="left" w:pos="708"/>
              </w:tabs>
              <w:spacing w:after="0" w:line="240" w:lineRule="auto"/>
              <w:jc w:val="both"/>
              <w:rPr>
                <w:rFonts w:ascii="Arial" w:eastAsia="Times New Roman" w:hAnsi="Arial" w:cs="Arial"/>
                <w:sz w:val="24"/>
                <w:szCs w:val="24"/>
              </w:rPr>
            </w:pPr>
          </w:p>
        </w:tc>
        <w:tc>
          <w:tcPr>
            <w:tcW w:w="2470" w:type="dxa"/>
            <w:tcBorders>
              <w:top w:val="single" w:sz="4" w:space="0" w:color="auto"/>
              <w:left w:val="single" w:sz="4" w:space="0" w:color="auto"/>
              <w:bottom w:val="single" w:sz="4" w:space="0" w:color="auto"/>
              <w:right w:val="single" w:sz="4" w:space="0" w:color="auto"/>
            </w:tcBorders>
          </w:tcPr>
          <w:p w14:paraId="053BCA6D" w14:textId="77777777" w:rsidR="008862C7" w:rsidRDefault="008862C7">
            <w:pPr>
              <w:tabs>
                <w:tab w:val="left" w:pos="708"/>
              </w:tabs>
              <w:spacing w:after="0" w:line="240" w:lineRule="auto"/>
              <w:jc w:val="both"/>
              <w:rPr>
                <w:rFonts w:ascii="Arial" w:eastAsia="Times New Roman" w:hAnsi="Arial" w:cs="Arial"/>
                <w:sz w:val="24"/>
                <w:szCs w:val="24"/>
              </w:rPr>
            </w:pPr>
          </w:p>
        </w:tc>
        <w:tc>
          <w:tcPr>
            <w:tcW w:w="2160" w:type="dxa"/>
            <w:tcBorders>
              <w:top w:val="single" w:sz="4" w:space="0" w:color="auto"/>
              <w:left w:val="single" w:sz="4" w:space="0" w:color="auto"/>
              <w:bottom w:val="single" w:sz="4" w:space="0" w:color="auto"/>
              <w:right w:val="single" w:sz="4" w:space="0" w:color="auto"/>
            </w:tcBorders>
          </w:tcPr>
          <w:p w14:paraId="61D17855"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402ADC71" w14:textId="77777777" w:rsidR="008862C7" w:rsidRDefault="008862C7" w:rsidP="008862C7">
      <w:pPr>
        <w:spacing w:after="0" w:line="240" w:lineRule="auto"/>
        <w:jc w:val="both"/>
        <w:rPr>
          <w:rFonts w:ascii="Arial" w:eastAsia="Times New Roman" w:hAnsi="Arial" w:cs="Arial"/>
          <w:sz w:val="24"/>
          <w:szCs w:val="24"/>
        </w:rPr>
      </w:pPr>
      <w:r>
        <w:rPr>
          <w:rFonts w:ascii="Arial" w:hAnsi="Arial" w:cs="Arial"/>
          <w:sz w:val="24"/>
          <w:szCs w:val="24"/>
        </w:rPr>
        <w:t>15. Main-d’œuvre</w:t>
      </w:r>
    </w:p>
    <w:p w14:paraId="47579EDC"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lastRenderedPageBreak/>
        <w:t xml:space="preserve">      - Types de main-d’œuvre utilisée : Familiale   /__/        Extérieure     /__/</w:t>
      </w:r>
    </w:p>
    <w:p w14:paraId="07764687"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Type de main-d’œuvre extérieure : Temporaire /__/  Invitation /__/    </w:t>
      </w:r>
    </w:p>
    <w:p w14:paraId="5F7C4C08"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Nombre de main-d’œuvre extérieure : Invitation : …….. Temporaire : ……  Entraide : …........</w:t>
      </w:r>
    </w:p>
    <w:p w14:paraId="3E7DC87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16. Prix de la main-d’œuvre temporaire par jour : …………………. FCFA/Jour</w:t>
      </w:r>
    </w:p>
    <w:p w14:paraId="7A7F625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17. Coût unitaire d’une invitation aux travaux agricoles : ……        FCFA/Invitation</w:t>
      </w:r>
    </w:p>
    <w:p w14:paraId="03ED0598" w14:textId="77777777" w:rsidR="008862C7" w:rsidRDefault="008862C7" w:rsidP="008862C7">
      <w:pPr>
        <w:pStyle w:val="Paragraphedeliste"/>
        <w:numPr>
          <w:ilvl w:val="0"/>
          <w:numId w:val="50"/>
        </w:numPr>
        <w:spacing w:before="120" w:after="0" w:line="240" w:lineRule="auto"/>
        <w:jc w:val="both"/>
        <w:rPr>
          <w:rFonts w:ascii="Arial" w:hAnsi="Arial" w:cs="Arial"/>
          <w:b/>
          <w:sz w:val="24"/>
          <w:szCs w:val="24"/>
        </w:rPr>
      </w:pPr>
      <w:r>
        <w:rPr>
          <w:rFonts w:ascii="Arial" w:hAnsi="Arial" w:cs="Arial"/>
          <w:b/>
          <w:sz w:val="24"/>
          <w:szCs w:val="24"/>
        </w:rPr>
        <w:t>Systèmes de cultures</w:t>
      </w:r>
    </w:p>
    <w:p w14:paraId="36FC451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18. Pratiques culturales, superficie et production</w:t>
      </w:r>
    </w:p>
    <w:p w14:paraId="06F3C8B8"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Mode de cultures: Manuel     /__/      Attelé    /__/         Motorisé     /__/</w:t>
      </w:r>
    </w:p>
    <w:p w14:paraId="5167FF4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Type de cultures : Monoculture /__/          Associée   /__/  si associée préciser………………………………………….</w:t>
      </w:r>
    </w:p>
    <w:p w14:paraId="1DB8343C"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Superficie Totale en ha : …………… Superficie coton en ha : ……………… Production coton (Kg, …) :………………</w:t>
      </w:r>
    </w:p>
    <w:p w14:paraId="3EB8B08C"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19. Principales rotations culturales avec le coton : </w:t>
      </w:r>
    </w:p>
    <w:p w14:paraId="4E59C107"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Année 1 : … Année 2 : …..  Année 3 : …..  Année 4 : ….... Année 5 : …….....</w:t>
      </w:r>
    </w:p>
    <w:p w14:paraId="644EFF09"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Année 1 : ……Année 2 : ….  Année 3 : ….  Année 4 : …... Année 5 : ……….....</w:t>
      </w:r>
    </w:p>
    <w:p w14:paraId="459ADFC6"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Année 1 : ……Année 2 : …….  Année 3 : …….  Année 4 : ….. Année 5 : …....</w:t>
      </w:r>
    </w:p>
    <w:p w14:paraId="61879129"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20. Itinéraires techniques         - Date de semis : …   - Type de semis : En vrac  /__/      En ligne   /__/</w:t>
      </w:r>
    </w:p>
    <w:p w14:paraId="28D8B0C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Date de récolte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830"/>
        <w:gridCol w:w="962"/>
        <w:gridCol w:w="1403"/>
        <w:gridCol w:w="1534"/>
        <w:gridCol w:w="1017"/>
        <w:gridCol w:w="1852"/>
        <w:gridCol w:w="1044"/>
      </w:tblGrid>
      <w:tr w:rsidR="008862C7" w14:paraId="327F3332"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1C01B44E"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ITK  </w:t>
            </w:r>
          </w:p>
        </w:tc>
        <w:tc>
          <w:tcPr>
            <w:tcW w:w="0" w:type="auto"/>
            <w:tcBorders>
              <w:top w:val="single" w:sz="4" w:space="0" w:color="auto"/>
              <w:left w:val="single" w:sz="4" w:space="0" w:color="auto"/>
              <w:bottom w:val="single" w:sz="4" w:space="0" w:color="auto"/>
              <w:right w:val="single" w:sz="4" w:space="0" w:color="auto"/>
            </w:tcBorders>
            <w:hideMark/>
          </w:tcPr>
          <w:p w14:paraId="086EE62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Ordre  </w:t>
            </w:r>
          </w:p>
        </w:tc>
        <w:tc>
          <w:tcPr>
            <w:tcW w:w="0" w:type="auto"/>
            <w:tcBorders>
              <w:top w:val="single" w:sz="4" w:space="0" w:color="auto"/>
              <w:left w:val="single" w:sz="4" w:space="0" w:color="auto"/>
              <w:bottom w:val="single" w:sz="4" w:space="0" w:color="auto"/>
              <w:right w:val="single" w:sz="4" w:space="0" w:color="auto"/>
            </w:tcBorders>
            <w:hideMark/>
          </w:tcPr>
          <w:p w14:paraId="218073DC"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Date 1</w:t>
            </w:r>
            <w:r>
              <w:rPr>
                <w:rFonts w:ascii="Arial" w:hAnsi="Arial" w:cs="Arial"/>
                <w:sz w:val="24"/>
                <w:szCs w:val="24"/>
                <w:vertAlign w:val="superscript"/>
              </w:rPr>
              <w:t>er</w:t>
            </w:r>
            <w:r>
              <w:rPr>
                <w:rFonts w:ascii="Arial" w:hAnsi="Arial" w:cs="Arial"/>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7E984E7"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Date Dernier </w:t>
            </w:r>
          </w:p>
        </w:tc>
        <w:tc>
          <w:tcPr>
            <w:tcW w:w="0" w:type="auto"/>
            <w:tcBorders>
              <w:top w:val="single" w:sz="4" w:space="0" w:color="auto"/>
              <w:left w:val="single" w:sz="4" w:space="0" w:color="auto"/>
              <w:bottom w:val="single" w:sz="4" w:space="0" w:color="auto"/>
              <w:right w:val="single" w:sz="4" w:space="0" w:color="auto"/>
            </w:tcBorders>
            <w:hideMark/>
          </w:tcPr>
          <w:p w14:paraId="349C84C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Nombre prévu </w:t>
            </w:r>
          </w:p>
        </w:tc>
        <w:tc>
          <w:tcPr>
            <w:tcW w:w="0" w:type="auto"/>
            <w:tcBorders>
              <w:top w:val="single" w:sz="4" w:space="0" w:color="auto"/>
              <w:left w:val="single" w:sz="4" w:space="0" w:color="auto"/>
              <w:bottom w:val="single" w:sz="4" w:space="0" w:color="auto"/>
              <w:right w:val="single" w:sz="4" w:space="0" w:color="auto"/>
            </w:tcBorders>
            <w:hideMark/>
          </w:tcPr>
          <w:p w14:paraId="739ED7F3"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Réalisé </w:t>
            </w:r>
          </w:p>
        </w:tc>
        <w:tc>
          <w:tcPr>
            <w:tcW w:w="0" w:type="auto"/>
            <w:tcBorders>
              <w:top w:val="single" w:sz="4" w:space="0" w:color="auto"/>
              <w:left w:val="single" w:sz="4" w:space="0" w:color="auto"/>
              <w:bottom w:val="single" w:sz="4" w:space="0" w:color="auto"/>
              <w:right w:val="single" w:sz="4" w:space="0" w:color="auto"/>
            </w:tcBorders>
            <w:hideMark/>
          </w:tcPr>
          <w:p w14:paraId="2FCF89AD"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Demande en M.O</w:t>
            </w:r>
          </w:p>
        </w:tc>
        <w:tc>
          <w:tcPr>
            <w:tcW w:w="0" w:type="auto"/>
            <w:tcBorders>
              <w:top w:val="single" w:sz="4" w:space="0" w:color="auto"/>
              <w:left w:val="single" w:sz="4" w:space="0" w:color="auto"/>
              <w:bottom w:val="single" w:sz="4" w:space="0" w:color="auto"/>
              <w:right w:val="single" w:sz="4" w:space="0" w:color="auto"/>
            </w:tcBorders>
            <w:hideMark/>
          </w:tcPr>
          <w:p w14:paraId="47E18A30"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Période </w:t>
            </w:r>
          </w:p>
        </w:tc>
      </w:tr>
      <w:tr w:rsidR="008862C7" w14:paraId="203AB1E7"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54DBE43F" w14:textId="77777777" w:rsidR="008862C7" w:rsidRDefault="008862C7">
            <w:pPr>
              <w:tabs>
                <w:tab w:val="left" w:pos="284"/>
                <w:tab w:val="left" w:pos="708"/>
              </w:tabs>
              <w:spacing w:after="0" w:line="240" w:lineRule="auto"/>
              <w:jc w:val="both"/>
              <w:rPr>
                <w:rFonts w:ascii="Arial" w:eastAsia="Times New Roman" w:hAnsi="Arial" w:cs="Arial"/>
                <w:sz w:val="24"/>
                <w:szCs w:val="24"/>
              </w:rPr>
            </w:pPr>
            <w:r>
              <w:rPr>
                <w:rFonts w:ascii="Arial" w:hAnsi="Arial" w:cs="Arial"/>
                <w:sz w:val="24"/>
                <w:szCs w:val="24"/>
              </w:rPr>
              <w:t>Sarclage</w:t>
            </w:r>
          </w:p>
        </w:tc>
        <w:tc>
          <w:tcPr>
            <w:tcW w:w="0" w:type="auto"/>
            <w:tcBorders>
              <w:top w:val="single" w:sz="4" w:space="0" w:color="auto"/>
              <w:left w:val="single" w:sz="4" w:space="0" w:color="auto"/>
              <w:bottom w:val="single" w:sz="4" w:space="0" w:color="auto"/>
              <w:right w:val="single" w:sz="4" w:space="0" w:color="auto"/>
            </w:tcBorders>
          </w:tcPr>
          <w:p w14:paraId="12D031F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81A5601"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624CD1"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729A959"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4527063"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9AE2A27"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994101B"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4657A6F6"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06C7B972" w14:textId="77777777" w:rsidR="008862C7" w:rsidRDefault="008862C7">
            <w:pPr>
              <w:tabs>
                <w:tab w:val="left" w:pos="284"/>
                <w:tab w:val="left" w:pos="708"/>
              </w:tabs>
              <w:spacing w:after="0" w:line="240" w:lineRule="auto"/>
              <w:jc w:val="both"/>
              <w:rPr>
                <w:rFonts w:ascii="Arial" w:eastAsia="Times New Roman" w:hAnsi="Arial" w:cs="Arial"/>
                <w:sz w:val="24"/>
                <w:szCs w:val="24"/>
              </w:rPr>
            </w:pPr>
            <w:r>
              <w:rPr>
                <w:rFonts w:ascii="Arial" w:hAnsi="Arial" w:cs="Arial"/>
                <w:sz w:val="24"/>
                <w:szCs w:val="24"/>
              </w:rPr>
              <w:t>Fumure</w:t>
            </w:r>
          </w:p>
        </w:tc>
        <w:tc>
          <w:tcPr>
            <w:tcW w:w="0" w:type="auto"/>
            <w:tcBorders>
              <w:top w:val="single" w:sz="4" w:space="0" w:color="auto"/>
              <w:left w:val="single" w:sz="4" w:space="0" w:color="auto"/>
              <w:bottom w:val="single" w:sz="4" w:space="0" w:color="auto"/>
              <w:right w:val="single" w:sz="4" w:space="0" w:color="auto"/>
            </w:tcBorders>
          </w:tcPr>
          <w:p w14:paraId="37220BAD"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026CDB5"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BAE54C5"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F6F65D"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2561DB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CBF87DE"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ACC2FEF"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71862CD6"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2BACFB9E" w14:textId="77777777" w:rsidR="008862C7" w:rsidRDefault="008862C7">
            <w:pPr>
              <w:tabs>
                <w:tab w:val="left" w:pos="284"/>
                <w:tab w:val="left" w:pos="708"/>
              </w:tabs>
              <w:spacing w:after="0" w:line="240" w:lineRule="auto"/>
              <w:jc w:val="both"/>
              <w:rPr>
                <w:rFonts w:ascii="Arial" w:eastAsia="Times New Roman" w:hAnsi="Arial" w:cs="Arial"/>
                <w:sz w:val="24"/>
                <w:szCs w:val="24"/>
              </w:rPr>
            </w:pPr>
            <w:r>
              <w:rPr>
                <w:rFonts w:ascii="Arial" w:hAnsi="Arial" w:cs="Arial"/>
                <w:sz w:val="24"/>
                <w:szCs w:val="24"/>
              </w:rPr>
              <w:t>Semis</w:t>
            </w:r>
          </w:p>
        </w:tc>
        <w:tc>
          <w:tcPr>
            <w:tcW w:w="0" w:type="auto"/>
            <w:tcBorders>
              <w:top w:val="single" w:sz="4" w:space="0" w:color="auto"/>
              <w:left w:val="single" w:sz="4" w:space="0" w:color="auto"/>
              <w:bottom w:val="single" w:sz="4" w:space="0" w:color="auto"/>
              <w:right w:val="single" w:sz="4" w:space="0" w:color="auto"/>
            </w:tcBorders>
          </w:tcPr>
          <w:p w14:paraId="263DA47B"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5DBD27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D26A3AE"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E6232B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8413F20"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A1F6685"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1ACE97C"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785E79BF"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4372F212" w14:textId="77777777" w:rsidR="008862C7" w:rsidRDefault="008862C7">
            <w:pPr>
              <w:tabs>
                <w:tab w:val="left" w:pos="284"/>
                <w:tab w:val="left" w:pos="708"/>
              </w:tabs>
              <w:spacing w:after="0" w:line="240" w:lineRule="auto"/>
              <w:jc w:val="both"/>
              <w:rPr>
                <w:rFonts w:ascii="Arial" w:eastAsia="Times New Roman" w:hAnsi="Arial" w:cs="Arial"/>
                <w:sz w:val="24"/>
                <w:szCs w:val="24"/>
              </w:rPr>
            </w:pPr>
            <w:r>
              <w:rPr>
                <w:rFonts w:ascii="Arial" w:hAnsi="Arial" w:cs="Arial"/>
                <w:sz w:val="24"/>
                <w:szCs w:val="24"/>
              </w:rPr>
              <w:t>Labour</w:t>
            </w:r>
          </w:p>
        </w:tc>
        <w:tc>
          <w:tcPr>
            <w:tcW w:w="0" w:type="auto"/>
            <w:tcBorders>
              <w:top w:val="single" w:sz="4" w:space="0" w:color="auto"/>
              <w:left w:val="single" w:sz="4" w:space="0" w:color="auto"/>
              <w:bottom w:val="single" w:sz="4" w:space="0" w:color="auto"/>
              <w:right w:val="single" w:sz="4" w:space="0" w:color="auto"/>
            </w:tcBorders>
          </w:tcPr>
          <w:p w14:paraId="2BBD7EC6"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FB52A6E"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4296FCB"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4B26A34"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BA13438"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25D0E54"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6FB7905"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5D5A685C" w14:textId="77777777" w:rsidTr="008862C7">
        <w:trPr>
          <w:trHeight w:val="208"/>
        </w:trPr>
        <w:tc>
          <w:tcPr>
            <w:tcW w:w="0" w:type="auto"/>
            <w:tcBorders>
              <w:top w:val="single" w:sz="4" w:space="0" w:color="auto"/>
              <w:left w:val="single" w:sz="4" w:space="0" w:color="auto"/>
              <w:bottom w:val="single" w:sz="4" w:space="0" w:color="auto"/>
              <w:right w:val="single" w:sz="4" w:space="0" w:color="auto"/>
            </w:tcBorders>
            <w:hideMark/>
          </w:tcPr>
          <w:p w14:paraId="5B7198C9" w14:textId="77777777" w:rsidR="008862C7" w:rsidRDefault="008862C7">
            <w:pPr>
              <w:tabs>
                <w:tab w:val="left" w:pos="284"/>
                <w:tab w:val="left" w:pos="708"/>
              </w:tabs>
              <w:spacing w:after="0" w:line="240" w:lineRule="auto"/>
              <w:jc w:val="both"/>
              <w:rPr>
                <w:rFonts w:ascii="Arial" w:eastAsia="Times New Roman" w:hAnsi="Arial" w:cs="Arial"/>
                <w:sz w:val="24"/>
                <w:szCs w:val="24"/>
              </w:rPr>
            </w:pPr>
            <w:r>
              <w:rPr>
                <w:rFonts w:ascii="Arial" w:hAnsi="Arial" w:cs="Arial"/>
                <w:sz w:val="24"/>
                <w:szCs w:val="24"/>
              </w:rPr>
              <w:t>Défrichement</w:t>
            </w:r>
          </w:p>
        </w:tc>
        <w:tc>
          <w:tcPr>
            <w:tcW w:w="0" w:type="auto"/>
            <w:tcBorders>
              <w:top w:val="single" w:sz="4" w:space="0" w:color="auto"/>
              <w:left w:val="single" w:sz="4" w:space="0" w:color="auto"/>
              <w:bottom w:val="single" w:sz="4" w:space="0" w:color="auto"/>
              <w:right w:val="single" w:sz="4" w:space="0" w:color="auto"/>
            </w:tcBorders>
          </w:tcPr>
          <w:p w14:paraId="2FFF2F5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BC8BC2E"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EE80FCC"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B2CBEA"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45C2CD"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C4EF071"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B6ADAD8"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2CCD00EA" w14:textId="77777777" w:rsidTr="008862C7">
        <w:tc>
          <w:tcPr>
            <w:tcW w:w="0" w:type="auto"/>
            <w:tcBorders>
              <w:top w:val="single" w:sz="4" w:space="0" w:color="auto"/>
              <w:left w:val="single" w:sz="4" w:space="0" w:color="auto"/>
              <w:bottom w:val="single" w:sz="4" w:space="0" w:color="auto"/>
              <w:right w:val="single" w:sz="4" w:space="0" w:color="auto"/>
            </w:tcBorders>
            <w:hideMark/>
          </w:tcPr>
          <w:p w14:paraId="70626DBB"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Traitement Phyto </w:t>
            </w:r>
          </w:p>
        </w:tc>
        <w:tc>
          <w:tcPr>
            <w:tcW w:w="0" w:type="auto"/>
            <w:tcBorders>
              <w:top w:val="single" w:sz="4" w:space="0" w:color="auto"/>
              <w:left w:val="single" w:sz="4" w:space="0" w:color="auto"/>
              <w:bottom w:val="single" w:sz="4" w:space="0" w:color="auto"/>
              <w:right w:val="single" w:sz="4" w:space="0" w:color="auto"/>
            </w:tcBorders>
          </w:tcPr>
          <w:p w14:paraId="0B1896BF"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5BE1F2"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4F7E278"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4B80278"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2436625"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EB28E42" w14:textId="77777777" w:rsidR="008862C7" w:rsidRDefault="008862C7">
            <w:pPr>
              <w:tabs>
                <w:tab w:val="left" w:pos="708"/>
              </w:tabs>
              <w:spacing w:after="0" w:line="240" w:lineRule="auto"/>
              <w:jc w:val="both"/>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3083459"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4FA8EEE4"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1EE19186"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4E987C59"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4AE744CA"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2546C6C9"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2744D8D9"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173FCFC8"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0612E20F"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1D7707FB"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7A79FA4D"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34845F2C"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5543F6EC"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2B6490B4" w14:textId="77777777" w:rsidR="008862C7" w:rsidRDefault="008862C7" w:rsidP="008862C7">
      <w:pPr>
        <w:pStyle w:val="Paragraphedeliste"/>
        <w:spacing w:before="120" w:after="0" w:line="240" w:lineRule="auto"/>
        <w:ind w:left="1080"/>
        <w:jc w:val="both"/>
        <w:rPr>
          <w:rFonts w:ascii="Arial" w:hAnsi="Arial" w:cs="Arial"/>
          <w:b/>
          <w:sz w:val="24"/>
          <w:szCs w:val="24"/>
        </w:rPr>
      </w:pPr>
    </w:p>
    <w:p w14:paraId="4C10227B" w14:textId="77777777" w:rsidR="008862C7" w:rsidRDefault="008862C7" w:rsidP="008862C7">
      <w:pPr>
        <w:spacing w:before="120" w:after="0" w:line="240" w:lineRule="auto"/>
        <w:jc w:val="both"/>
        <w:rPr>
          <w:rFonts w:ascii="Arial" w:hAnsi="Arial" w:cs="Arial"/>
          <w:b/>
          <w:sz w:val="24"/>
          <w:szCs w:val="24"/>
        </w:rPr>
      </w:pPr>
    </w:p>
    <w:p w14:paraId="2207A167" w14:textId="77777777" w:rsidR="008862C7" w:rsidRDefault="008862C7" w:rsidP="008862C7">
      <w:pPr>
        <w:pStyle w:val="Paragraphedeliste"/>
        <w:numPr>
          <w:ilvl w:val="0"/>
          <w:numId w:val="50"/>
        </w:numPr>
        <w:spacing w:before="120" w:after="0" w:line="240" w:lineRule="auto"/>
        <w:jc w:val="both"/>
        <w:rPr>
          <w:rFonts w:ascii="Arial" w:hAnsi="Arial" w:cs="Arial"/>
          <w:b/>
          <w:sz w:val="24"/>
          <w:szCs w:val="24"/>
        </w:rPr>
      </w:pPr>
      <w:r>
        <w:rPr>
          <w:rFonts w:ascii="Arial" w:hAnsi="Arial" w:cs="Arial"/>
          <w:b/>
          <w:sz w:val="24"/>
          <w:szCs w:val="24"/>
        </w:rPr>
        <w:lastRenderedPageBreak/>
        <w:t xml:space="preserve">Gestion de la production du coton </w:t>
      </w:r>
    </w:p>
    <w:p w14:paraId="19C7A24B"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21. Quelles sont en dehors du coton, les autres spéculations dans l’exploitation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9"/>
        <w:gridCol w:w="1284"/>
        <w:gridCol w:w="1244"/>
        <w:gridCol w:w="1991"/>
        <w:gridCol w:w="1124"/>
        <w:gridCol w:w="1142"/>
        <w:gridCol w:w="1380"/>
      </w:tblGrid>
      <w:tr w:rsidR="008862C7" w14:paraId="484F9B3C"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1AA9E1BA"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Spéculation</w:t>
            </w:r>
          </w:p>
        </w:tc>
        <w:tc>
          <w:tcPr>
            <w:tcW w:w="552" w:type="pct"/>
            <w:tcBorders>
              <w:top w:val="single" w:sz="8" w:space="0" w:color="auto"/>
              <w:left w:val="single" w:sz="8" w:space="0" w:color="auto"/>
              <w:bottom w:val="single" w:sz="8" w:space="0" w:color="auto"/>
              <w:right w:val="single" w:sz="8" w:space="0" w:color="auto"/>
            </w:tcBorders>
            <w:vAlign w:val="center"/>
            <w:hideMark/>
          </w:tcPr>
          <w:p w14:paraId="0245652E"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 xml:space="preserve">Superficie (en Ha) </w:t>
            </w:r>
          </w:p>
        </w:tc>
        <w:tc>
          <w:tcPr>
            <w:tcW w:w="620" w:type="pct"/>
            <w:tcBorders>
              <w:top w:val="single" w:sz="8" w:space="0" w:color="auto"/>
              <w:left w:val="single" w:sz="8" w:space="0" w:color="auto"/>
              <w:bottom w:val="single" w:sz="8" w:space="0" w:color="auto"/>
              <w:right w:val="single" w:sz="8" w:space="0" w:color="auto"/>
            </w:tcBorders>
            <w:vAlign w:val="center"/>
            <w:hideMark/>
          </w:tcPr>
          <w:p w14:paraId="3B474990"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Quantités</w:t>
            </w:r>
          </w:p>
          <w:p w14:paraId="38DDE777"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(Cuvette, Kg, …)</w:t>
            </w:r>
          </w:p>
        </w:tc>
        <w:tc>
          <w:tcPr>
            <w:tcW w:w="552" w:type="pct"/>
            <w:tcBorders>
              <w:top w:val="single" w:sz="8" w:space="0" w:color="auto"/>
              <w:left w:val="single" w:sz="8" w:space="0" w:color="auto"/>
              <w:bottom w:val="single" w:sz="8" w:space="0" w:color="auto"/>
              <w:right w:val="single" w:sz="8" w:space="0" w:color="auto"/>
            </w:tcBorders>
            <w:vAlign w:val="center"/>
            <w:hideMark/>
          </w:tcPr>
          <w:p w14:paraId="34059C05"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 xml:space="preserve">Quantité autoconsommée </w:t>
            </w:r>
          </w:p>
        </w:tc>
        <w:tc>
          <w:tcPr>
            <w:tcW w:w="620" w:type="pct"/>
            <w:tcBorders>
              <w:top w:val="single" w:sz="8" w:space="0" w:color="auto"/>
              <w:left w:val="single" w:sz="8" w:space="0" w:color="auto"/>
              <w:bottom w:val="single" w:sz="8" w:space="0" w:color="auto"/>
              <w:right w:val="single" w:sz="8" w:space="0" w:color="auto"/>
            </w:tcBorders>
            <w:hideMark/>
          </w:tcPr>
          <w:p w14:paraId="563F32D9"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 xml:space="preserve">Quantité vendu </w:t>
            </w:r>
          </w:p>
        </w:tc>
        <w:tc>
          <w:tcPr>
            <w:tcW w:w="689" w:type="pct"/>
            <w:tcBorders>
              <w:top w:val="single" w:sz="8" w:space="0" w:color="auto"/>
              <w:left w:val="single" w:sz="8" w:space="0" w:color="auto"/>
              <w:bottom w:val="single" w:sz="8" w:space="0" w:color="auto"/>
              <w:right w:val="single" w:sz="8" w:space="0" w:color="auto"/>
            </w:tcBorders>
            <w:hideMark/>
          </w:tcPr>
          <w:p w14:paraId="518E902A"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 xml:space="preserve">Prix unitaire </w:t>
            </w:r>
          </w:p>
          <w:p w14:paraId="653D7339"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(kg, cuvette)</w:t>
            </w:r>
          </w:p>
        </w:tc>
        <w:tc>
          <w:tcPr>
            <w:tcW w:w="742" w:type="pct"/>
            <w:tcBorders>
              <w:top w:val="single" w:sz="8" w:space="0" w:color="auto"/>
              <w:left w:val="single" w:sz="8" w:space="0" w:color="auto"/>
              <w:bottom w:val="single" w:sz="8" w:space="0" w:color="auto"/>
              <w:right w:val="single" w:sz="8" w:space="0" w:color="auto"/>
            </w:tcBorders>
            <w:vAlign w:val="center"/>
            <w:hideMark/>
          </w:tcPr>
          <w:p w14:paraId="017A34FE"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Lieu de vente (en Km)</w:t>
            </w:r>
          </w:p>
        </w:tc>
      </w:tr>
      <w:tr w:rsidR="008862C7" w14:paraId="5A3A3391"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31033806"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Manioc</w:t>
            </w:r>
          </w:p>
        </w:tc>
        <w:tc>
          <w:tcPr>
            <w:tcW w:w="552" w:type="pct"/>
            <w:tcBorders>
              <w:top w:val="single" w:sz="8" w:space="0" w:color="auto"/>
              <w:left w:val="single" w:sz="8" w:space="0" w:color="auto"/>
              <w:bottom w:val="single" w:sz="8" w:space="0" w:color="auto"/>
              <w:right w:val="single" w:sz="8" w:space="0" w:color="auto"/>
            </w:tcBorders>
            <w:vAlign w:val="center"/>
          </w:tcPr>
          <w:p w14:paraId="6388FA58"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18F8FCB4"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23034D19"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50B18B67"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463DC7A8"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4B215EAF" w14:textId="77777777" w:rsidR="008862C7" w:rsidRDefault="008862C7">
            <w:pPr>
              <w:pStyle w:val="Paragraphedeliste"/>
              <w:spacing w:after="0" w:line="240" w:lineRule="auto"/>
              <w:ind w:left="0"/>
              <w:jc w:val="both"/>
              <w:rPr>
                <w:rFonts w:ascii="Arial" w:hAnsi="Arial" w:cs="Arial"/>
                <w:sz w:val="24"/>
                <w:szCs w:val="24"/>
              </w:rPr>
            </w:pPr>
          </w:p>
        </w:tc>
      </w:tr>
      <w:tr w:rsidR="008862C7" w14:paraId="39E7FA99"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05D93345"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Arachide</w:t>
            </w:r>
          </w:p>
        </w:tc>
        <w:tc>
          <w:tcPr>
            <w:tcW w:w="552" w:type="pct"/>
            <w:tcBorders>
              <w:top w:val="single" w:sz="8" w:space="0" w:color="auto"/>
              <w:left w:val="single" w:sz="8" w:space="0" w:color="auto"/>
              <w:bottom w:val="single" w:sz="8" w:space="0" w:color="auto"/>
              <w:right w:val="single" w:sz="8" w:space="0" w:color="auto"/>
            </w:tcBorders>
            <w:vAlign w:val="center"/>
          </w:tcPr>
          <w:p w14:paraId="78909FA0"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5F48BADA"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0435359C"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0856512E"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72750B54"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0F408982" w14:textId="77777777" w:rsidR="008862C7" w:rsidRDefault="008862C7">
            <w:pPr>
              <w:pStyle w:val="Paragraphedeliste"/>
              <w:spacing w:after="0" w:line="240" w:lineRule="auto"/>
              <w:ind w:left="0"/>
              <w:jc w:val="both"/>
              <w:rPr>
                <w:rFonts w:ascii="Arial" w:hAnsi="Arial" w:cs="Arial"/>
                <w:sz w:val="24"/>
                <w:szCs w:val="24"/>
              </w:rPr>
            </w:pPr>
          </w:p>
        </w:tc>
      </w:tr>
      <w:tr w:rsidR="008862C7" w14:paraId="55817E07"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1385862B"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Sorgho</w:t>
            </w:r>
          </w:p>
        </w:tc>
        <w:tc>
          <w:tcPr>
            <w:tcW w:w="552" w:type="pct"/>
            <w:tcBorders>
              <w:top w:val="single" w:sz="8" w:space="0" w:color="auto"/>
              <w:left w:val="single" w:sz="8" w:space="0" w:color="auto"/>
              <w:bottom w:val="single" w:sz="8" w:space="0" w:color="auto"/>
              <w:right w:val="single" w:sz="8" w:space="0" w:color="auto"/>
            </w:tcBorders>
            <w:vAlign w:val="center"/>
          </w:tcPr>
          <w:p w14:paraId="0478D726"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2AE270C6"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4C0D1699"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2D28CE0A"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11752309"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55CDDC19" w14:textId="77777777" w:rsidR="008862C7" w:rsidRDefault="008862C7">
            <w:pPr>
              <w:pStyle w:val="Paragraphedeliste"/>
              <w:spacing w:after="0" w:line="240" w:lineRule="auto"/>
              <w:ind w:left="0"/>
              <w:jc w:val="both"/>
              <w:rPr>
                <w:rFonts w:ascii="Arial" w:hAnsi="Arial" w:cs="Arial"/>
                <w:sz w:val="24"/>
                <w:szCs w:val="24"/>
              </w:rPr>
            </w:pPr>
          </w:p>
        </w:tc>
      </w:tr>
      <w:tr w:rsidR="008862C7" w14:paraId="054FE773"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63CCAF4D"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Maïs</w:t>
            </w:r>
          </w:p>
        </w:tc>
        <w:tc>
          <w:tcPr>
            <w:tcW w:w="552" w:type="pct"/>
            <w:tcBorders>
              <w:top w:val="single" w:sz="8" w:space="0" w:color="auto"/>
              <w:left w:val="single" w:sz="8" w:space="0" w:color="auto"/>
              <w:bottom w:val="single" w:sz="8" w:space="0" w:color="auto"/>
              <w:right w:val="single" w:sz="8" w:space="0" w:color="auto"/>
            </w:tcBorders>
            <w:vAlign w:val="center"/>
          </w:tcPr>
          <w:p w14:paraId="3E6E183B"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20A4618F"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5D3F616C"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63894818"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249FB516"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1DF2C3D8" w14:textId="77777777" w:rsidR="008862C7" w:rsidRDefault="008862C7">
            <w:pPr>
              <w:pStyle w:val="Paragraphedeliste"/>
              <w:spacing w:after="0" w:line="240" w:lineRule="auto"/>
              <w:ind w:left="0"/>
              <w:jc w:val="both"/>
              <w:rPr>
                <w:rFonts w:ascii="Arial" w:hAnsi="Arial" w:cs="Arial"/>
                <w:sz w:val="24"/>
                <w:szCs w:val="24"/>
              </w:rPr>
            </w:pPr>
          </w:p>
        </w:tc>
      </w:tr>
      <w:tr w:rsidR="008862C7" w14:paraId="1804D0DE"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656EE02C"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Courge</w:t>
            </w:r>
          </w:p>
        </w:tc>
        <w:tc>
          <w:tcPr>
            <w:tcW w:w="552" w:type="pct"/>
            <w:tcBorders>
              <w:top w:val="single" w:sz="8" w:space="0" w:color="auto"/>
              <w:left w:val="single" w:sz="8" w:space="0" w:color="auto"/>
              <w:bottom w:val="single" w:sz="8" w:space="0" w:color="auto"/>
              <w:right w:val="single" w:sz="8" w:space="0" w:color="auto"/>
            </w:tcBorders>
            <w:vAlign w:val="center"/>
          </w:tcPr>
          <w:p w14:paraId="699AD711"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74399445"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5FFA06E3"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15E71AFE"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5E0344A9"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3E6DDEB0" w14:textId="77777777" w:rsidR="008862C7" w:rsidRDefault="008862C7">
            <w:pPr>
              <w:pStyle w:val="Paragraphedeliste"/>
              <w:spacing w:after="0" w:line="240" w:lineRule="auto"/>
              <w:ind w:left="0"/>
              <w:jc w:val="both"/>
              <w:rPr>
                <w:rFonts w:ascii="Arial" w:hAnsi="Arial" w:cs="Arial"/>
                <w:sz w:val="24"/>
                <w:szCs w:val="24"/>
              </w:rPr>
            </w:pPr>
          </w:p>
        </w:tc>
      </w:tr>
      <w:tr w:rsidR="008862C7" w14:paraId="1AE3C6D0"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0BCDA0B4"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Niébé</w:t>
            </w:r>
          </w:p>
        </w:tc>
        <w:tc>
          <w:tcPr>
            <w:tcW w:w="552" w:type="pct"/>
            <w:tcBorders>
              <w:top w:val="single" w:sz="8" w:space="0" w:color="auto"/>
              <w:left w:val="single" w:sz="8" w:space="0" w:color="auto"/>
              <w:bottom w:val="single" w:sz="8" w:space="0" w:color="auto"/>
              <w:right w:val="single" w:sz="8" w:space="0" w:color="auto"/>
            </w:tcBorders>
            <w:vAlign w:val="center"/>
          </w:tcPr>
          <w:p w14:paraId="6A9ADAE0"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51CBBA23"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0FB0A6BC"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06F941DB"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236033F2"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3CB58608" w14:textId="77777777" w:rsidR="008862C7" w:rsidRDefault="008862C7">
            <w:pPr>
              <w:pStyle w:val="Paragraphedeliste"/>
              <w:spacing w:after="0" w:line="240" w:lineRule="auto"/>
              <w:ind w:left="0"/>
              <w:jc w:val="both"/>
              <w:rPr>
                <w:rFonts w:ascii="Arial" w:hAnsi="Arial" w:cs="Arial"/>
                <w:sz w:val="24"/>
                <w:szCs w:val="24"/>
              </w:rPr>
            </w:pPr>
          </w:p>
        </w:tc>
      </w:tr>
      <w:tr w:rsidR="008862C7" w14:paraId="634B9B3C"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2F4ECE3D"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Sésame</w:t>
            </w:r>
          </w:p>
        </w:tc>
        <w:tc>
          <w:tcPr>
            <w:tcW w:w="552" w:type="pct"/>
            <w:tcBorders>
              <w:top w:val="single" w:sz="8" w:space="0" w:color="auto"/>
              <w:left w:val="single" w:sz="8" w:space="0" w:color="auto"/>
              <w:bottom w:val="single" w:sz="8" w:space="0" w:color="auto"/>
              <w:right w:val="single" w:sz="8" w:space="0" w:color="auto"/>
            </w:tcBorders>
            <w:vAlign w:val="center"/>
          </w:tcPr>
          <w:p w14:paraId="7D4AC83B"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38F089FA"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7EEA101C"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74790FA2"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6359B7A8"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03E780FA" w14:textId="77777777" w:rsidR="008862C7" w:rsidRDefault="008862C7">
            <w:pPr>
              <w:pStyle w:val="Paragraphedeliste"/>
              <w:spacing w:after="0" w:line="240" w:lineRule="auto"/>
              <w:ind w:left="0"/>
              <w:jc w:val="both"/>
              <w:rPr>
                <w:rFonts w:ascii="Arial" w:hAnsi="Arial" w:cs="Arial"/>
                <w:sz w:val="24"/>
                <w:szCs w:val="24"/>
              </w:rPr>
            </w:pPr>
          </w:p>
        </w:tc>
      </w:tr>
      <w:tr w:rsidR="008862C7" w14:paraId="6E12FABF" w14:textId="77777777" w:rsidTr="008862C7">
        <w:trPr>
          <w:jc w:val="center"/>
        </w:trPr>
        <w:tc>
          <w:tcPr>
            <w:tcW w:w="1225" w:type="pct"/>
            <w:tcBorders>
              <w:top w:val="single" w:sz="8" w:space="0" w:color="auto"/>
              <w:left w:val="single" w:sz="8" w:space="0" w:color="auto"/>
              <w:bottom w:val="single" w:sz="8" w:space="0" w:color="auto"/>
              <w:right w:val="single" w:sz="8" w:space="0" w:color="auto"/>
            </w:tcBorders>
            <w:vAlign w:val="center"/>
            <w:hideMark/>
          </w:tcPr>
          <w:p w14:paraId="668F3146"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 xml:space="preserve">Riz </w:t>
            </w:r>
          </w:p>
        </w:tc>
        <w:tc>
          <w:tcPr>
            <w:tcW w:w="552" w:type="pct"/>
            <w:tcBorders>
              <w:top w:val="single" w:sz="8" w:space="0" w:color="auto"/>
              <w:left w:val="single" w:sz="8" w:space="0" w:color="auto"/>
              <w:bottom w:val="single" w:sz="8" w:space="0" w:color="auto"/>
              <w:right w:val="single" w:sz="8" w:space="0" w:color="auto"/>
            </w:tcBorders>
            <w:vAlign w:val="center"/>
          </w:tcPr>
          <w:p w14:paraId="1E623A86"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396BF654"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7DD5D193"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0ED5E52C"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3EC58AB2"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3B66B3F8" w14:textId="77777777" w:rsidR="008862C7" w:rsidRDefault="008862C7">
            <w:pPr>
              <w:pStyle w:val="Paragraphedeliste"/>
              <w:spacing w:after="0" w:line="240" w:lineRule="auto"/>
              <w:ind w:left="0"/>
              <w:jc w:val="both"/>
              <w:rPr>
                <w:rFonts w:ascii="Arial" w:hAnsi="Arial" w:cs="Arial"/>
                <w:sz w:val="24"/>
                <w:szCs w:val="24"/>
              </w:rPr>
            </w:pPr>
          </w:p>
        </w:tc>
      </w:tr>
      <w:tr w:rsidR="008862C7" w14:paraId="5F1CE8B6" w14:textId="77777777" w:rsidTr="008862C7">
        <w:trPr>
          <w:jc w:val="center"/>
        </w:trPr>
        <w:tc>
          <w:tcPr>
            <w:tcW w:w="1225" w:type="pct"/>
            <w:vMerge w:val="restart"/>
            <w:tcBorders>
              <w:top w:val="single" w:sz="8" w:space="0" w:color="auto"/>
              <w:left w:val="single" w:sz="8" w:space="0" w:color="auto"/>
              <w:bottom w:val="single" w:sz="8" w:space="0" w:color="auto"/>
              <w:right w:val="single" w:sz="8" w:space="0" w:color="auto"/>
            </w:tcBorders>
            <w:vAlign w:val="center"/>
            <w:hideMark/>
          </w:tcPr>
          <w:p w14:paraId="692A606E" w14:textId="77777777" w:rsidR="008862C7" w:rsidRDefault="008862C7">
            <w:pPr>
              <w:pStyle w:val="Paragraphedeliste"/>
              <w:spacing w:after="0" w:line="240" w:lineRule="auto"/>
              <w:ind w:left="0"/>
              <w:jc w:val="both"/>
              <w:rPr>
                <w:rFonts w:ascii="Arial" w:hAnsi="Arial" w:cs="Arial"/>
                <w:sz w:val="24"/>
                <w:szCs w:val="24"/>
              </w:rPr>
            </w:pPr>
            <w:r>
              <w:rPr>
                <w:rFonts w:ascii="Arial" w:hAnsi="Arial" w:cs="Arial"/>
                <w:sz w:val="24"/>
                <w:szCs w:val="24"/>
              </w:rPr>
              <w:t>activités para-agricoles (à préciser) </w:t>
            </w:r>
          </w:p>
        </w:tc>
        <w:tc>
          <w:tcPr>
            <w:tcW w:w="552" w:type="pct"/>
            <w:tcBorders>
              <w:top w:val="single" w:sz="8" w:space="0" w:color="auto"/>
              <w:left w:val="single" w:sz="8" w:space="0" w:color="auto"/>
              <w:bottom w:val="single" w:sz="8" w:space="0" w:color="auto"/>
              <w:right w:val="single" w:sz="8" w:space="0" w:color="auto"/>
            </w:tcBorders>
            <w:vAlign w:val="center"/>
          </w:tcPr>
          <w:p w14:paraId="19C23D4C"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4BB63E36"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297D80E6"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4EC6C4E1"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3A7BD6F6"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3BF2726F" w14:textId="77777777" w:rsidR="008862C7" w:rsidRDefault="008862C7">
            <w:pPr>
              <w:pStyle w:val="Paragraphedeliste"/>
              <w:spacing w:after="0" w:line="240" w:lineRule="auto"/>
              <w:ind w:left="0"/>
              <w:jc w:val="both"/>
              <w:rPr>
                <w:rFonts w:ascii="Arial" w:hAnsi="Arial" w:cs="Arial"/>
                <w:sz w:val="24"/>
                <w:szCs w:val="24"/>
              </w:rPr>
            </w:pPr>
          </w:p>
        </w:tc>
      </w:tr>
      <w:tr w:rsidR="008862C7" w14:paraId="40C1BCDF" w14:textId="77777777" w:rsidTr="008862C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3186688" w14:textId="77777777" w:rsidR="008862C7" w:rsidRDefault="008862C7">
            <w:pPr>
              <w:spacing w:after="0" w:line="240" w:lineRule="auto"/>
              <w:rPr>
                <w:rFonts w:ascii="Arial" w:eastAsia="Times New Roman"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0A225623"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624F3163"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13269768"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4A8B2E99"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588777CD"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600BD39B" w14:textId="77777777" w:rsidR="008862C7" w:rsidRDefault="008862C7">
            <w:pPr>
              <w:pStyle w:val="Paragraphedeliste"/>
              <w:spacing w:after="0" w:line="240" w:lineRule="auto"/>
              <w:ind w:left="0"/>
              <w:jc w:val="both"/>
              <w:rPr>
                <w:rFonts w:ascii="Arial" w:hAnsi="Arial" w:cs="Arial"/>
                <w:sz w:val="24"/>
                <w:szCs w:val="24"/>
              </w:rPr>
            </w:pPr>
          </w:p>
        </w:tc>
      </w:tr>
      <w:tr w:rsidR="008862C7" w14:paraId="7EFBE3E9" w14:textId="77777777" w:rsidTr="008862C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3778F80" w14:textId="77777777" w:rsidR="008862C7" w:rsidRDefault="008862C7">
            <w:pPr>
              <w:spacing w:after="0" w:line="240" w:lineRule="auto"/>
              <w:rPr>
                <w:rFonts w:ascii="Arial" w:eastAsia="Times New Roman"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7CC90F31"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vAlign w:val="center"/>
          </w:tcPr>
          <w:p w14:paraId="4858C801" w14:textId="77777777" w:rsidR="008862C7" w:rsidRDefault="008862C7">
            <w:pPr>
              <w:pStyle w:val="Paragraphedeliste"/>
              <w:spacing w:after="0" w:line="240" w:lineRule="auto"/>
              <w:ind w:left="0"/>
              <w:jc w:val="both"/>
              <w:rPr>
                <w:rFonts w:ascii="Arial" w:hAnsi="Arial" w:cs="Arial"/>
                <w:sz w:val="24"/>
                <w:szCs w:val="24"/>
              </w:rPr>
            </w:pPr>
          </w:p>
        </w:tc>
        <w:tc>
          <w:tcPr>
            <w:tcW w:w="552" w:type="pct"/>
            <w:tcBorders>
              <w:top w:val="single" w:sz="8" w:space="0" w:color="auto"/>
              <w:left w:val="single" w:sz="8" w:space="0" w:color="auto"/>
              <w:bottom w:val="single" w:sz="8" w:space="0" w:color="auto"/>
              <w:right w:val="single" w:sz="8" w:space="0" w:color="auto"/>
            </w:tcBorders>
            <w:vAlign w:val="center"/>
          </w:tcPr>
          <w:p w14:paraId="10FDBC49" w14:textId="77777777" w:rsidR="008862C7" w:rsidRDefault="008862C7">
            <w:pPr>
              <w:pStyle w:val="Paragraphedeliste"/>
              <w:spacing w:after="0" w:line="240" w:lineRule="auto"/>
              <w:ind w:left="0"/>
              <w:jc w:val="both"/>
              <w:rPr>
                <w:rFonts w:ascii="Arial" w:hAnsi="Arial" w:cs="Arial"/>
                <w:sz w:val="24"/>
                <w:szCs w:val="24"/>
              </w:rPr>
            </w:pPr>
          </w:p>
        </w:tc>
        <w:tc>
          <w:tcPr>
            <w:tcW w:w="620" w:type="pct"/>
            <w:tcBorders>
              <w:top w:val="single" w:sz="8" w:space="0" w:color="auto"/>
              <w:left w:val="single" w:sz="8" w:space="0" w:color="auto"/>
              <w:bottom w:val="single" w:sz="8" w:space="0" w:color="auto"/>
              <w:right w:val="single" w:sz="8" w:space="0" w:color="auto"/>
            </w:tcBorders>
          </w:tcPr>
          <w:p w14:paraId="712D01E7" w14:textId="77777777" w:rsidR="008862C7" w:rsidRDefault="008862C7">
            <w:pPr>
              <w:pStyle w:val="Paragraphedeliste"/>
              <w:spacing w:after="0" w:line="240" w:lineRule="auto"/>
              <w:ind w:left="0"/>
              <w:jc w:val="both"/>
              <w:rPr>
                <w:rFonts w:ascii="Arial" w:hAnsi="Arial" w:cs="Arial"/>
                <w:sz w:val="24"/>
                <w:szCs w:val="24"/>
              </w:rPr>
            </w:pPr>
          </w:p>
        </w:tc>
        <w:tc>
          <w:tcPr>
            <w:tcW w:w="689" w:type="pct"/>
            <w:tcBorders>
              <w:top w:val="single" w:sz="8" w:space="0" w:color="auto"/>
              <w:left w:val="single" w:sz="8" w:space="0" w:color="auto"/>
              <w:bottom w:val="single" w:sz="8" w:space="0" w:color="auto"/>
              <w:right w:val="single" w:sz="8" w:space="0" w:color="auto"/>
            </w:tcBorders>
          </w:tcPr>
          <w:p w14:paraId="66AEDC66" w14:textId="77777777" w:rsidR="008862C7" w:rsidRDefault="008862C7">
            <w:pPr>
              <w:pStyle w:val="Paragraphedeliste"/>
              <w:spacing w:after="0" w:line="240" w:lineRule="auto"/>
              <w:ind w:left="0"/>
              <w:jc w:val="both"/>
              <w:rPr>
                <w:rFonts w:ascii="Arial" w:hAnsi="Arial" w:cs="Arial"/>
                <w:sz w:val="24"/>
                <w:szCs w:val="24"/>
              </w:rPr>
            </w:pPr>
          </w:p>
        </w:tc>
        <w:tc>
          <w:tcPr>
            <w:tcW w:w="742" w:type="pct"/>
            <w:tcBorders>
              <w:top w:val="single" w:sz="8" w:space="0" w:color="auto"/>
              <w:left w:val="single" w:sz="8" w:space="0" w:color="auto"/>
              <w:bottom w:val="single" w:sz="8" w:space="0" w:color="auto"/>
              <w:right w:val="single" w:sz="8" w:space="0" w:color="auto"/>
            </w:tcBorders>
            <w:vAlign w:val="center"/>
          </w:tcPr>
          <w:p w14:paraId="5D4A1B08" w14:textId="77777777" w:rsidR="008862C7" w:rsidRDefault="008862C7">
            <w:pPr>
              <w:pStyle w:val="Paragraphedeliste"/>
              <w:spacing w:after="0" w:line="240" w:lineRule="auto"/>
              <w:ind w:left="0"/>
              <w:jc w:val="both"/>
              <w:rPr>
                <w:rFonts w:ascii="Arial" w:hAnsi="Arial" w:cs="Arial"/>
                <w:sz w:val="24"/>
                <w:szCs w:val="24"/>
              </w:rPr>
            </w:pPr>
          </w:p>
        </w:tc>
      </w:tr>
    </w:tbl>
    <w:p w14:paraId="206351F7" w14:textId="77777777" w:rsidR="008862C7" w:rsidRDefault="008862C7" w:rsidP="008862C7">
      <w:pPr>
        <w:spacing w:before="120" w:after="0" w:line="240" w:lineRule="auto"/>
        <w:jc w:val="both"/>
        <w:rPr>
          <w:rFonts w:ascii="Arial" w:eastAsia="Times New Roman" w:hAnsi="Arial" w:cs="Arial"/>
          <w:sz w:val="24"/>
          <w:szCs w:val="24"/>
        </w:rPr>
      </w:pPr>
      <w:r>
        <w:rPr>
          <w:rFonts w:ascii="Arial" w:hAnsi="Arial" w:cs="Arial"/>
          <w:sz w:val="24"/>
          <w:szCs w:val="24"/>
        </w:rPr>
        <w:t>22. Nombre de jour consacré à la culture du coton : Par semaine /___/   Par Mois /___/</w:t>
      </w:r>
    </w:p>
    <w:p w14:paraId="1D4C2F00" w14:textId="77777777" w:rsidR="008862C7" w:rsidRDefault="008862C7" w:rsidP="008862C7">
      <w:pPr>
        <w:pStyle w:val="Paragraphedeliste"/>
        <w:numPr>
          <w:ilvl w:val="0"/>
          <w:numId w:val="50"/>
        </w:numPr>
        <w:spacing w:before="120" w:after="0" w:line="240" w:lineRule="auto"/>
        <w:jc w:val="both"/>
        <w:rPr>
          <w:rFonts w:ascii="Arial" w:hAnsi="Arial" w:cs="Arial"/>
          <w:b/>
          <w:sz w:val="24"/>
          <w:szCs w:val="24"/>
        </w:rPr>
      </w:pPr>
      <w:r>
        <w:rPr>
          <w:rFonts w:ascii="Arial" w:hAnsi="Arial" w:cs="Arial"/>
          <w:b/>
          <w:sz w:val="24"/>
          <w:szCs w:val="24"/>
        </w:rPr>
        <w:t>Difficultés liées aux activités de production cotonnière</w:t>
      </w:r>
    </w:p>
    <w:p w14:paraId="0EB3C44E"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23. Absence ou faiblesse de structure d’encadrement technique</w:t>
      </w:r>
      <w:r>
        <w:rPr>
          <w:rFonts w:ascii="Arial" w:hAnsi="Arial" w:cs="Arial"/>
          <w:sz w:val="24"/>
          <w:szCs w:val="24"/>
        </w:rPr>
        <w:tab/>
        <w:t>/__/</w:t>
      </w:r>
    </w:p>
    <w:p w14:paraId="217EABBF"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24. Inefficacité d’organisation de producteurs</w:t>
      </w:r>
      <w:r>
        <w:rPr>
          <w:rFonts w:ascii="Arial" w:hAnsi="Arial" w:cs="Arial"/>
          <w:sz w:val="24"/>
          <w:szCs w:val="24"/>
        </w:rPr>
        <w:tab/>
        <w:t>/__/</w:t>
      </w:r>
    </w:p>
    <w:p w14:paraId="138F75D6"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25. Problème d’approvisionnement en semences améliorées :</w:t>
      </w:r>
    </w:p>
    <w:p w14:paraId="01A8561B"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Semences non disponibles /__/</w:t>
      </w:r>
      <w:r>
        <w:rPr>
          <w:rFonts w:ascii="Arial" w:hAnsi="Arial" w:cs="Arial"/>
          <w:sz w:val="24"/>
          <w:szCs w:val="24"/>
        </w:rPr>
        <w:tab/>
        <w:t>- Prix élevé /__/   - Eloignement du lieu de vente /__/</w:t>
      </w:r>
    </w:p>
    <w:p w14:paraId="31FC089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Autres (à préciser) :</w:t>
      </w:r>
    </w:p>
    <w:p w14:paraId="2CE2B7A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26. Problème d’approvisionnement en engrais et produits sanitaires :</w:t>
      </w:r>
    </w:p>
    <w:p w14:paraId="10ACD12F"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Engrais/pesticides non disponibles /__/   - Prix élevé /__/   - Eloignement du lieu de vente /__/</w:t>
      </w:r>
    </w:p>
    <w:p w14:paraId="50E1C0CB"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Autres (à préciser)  27. Problème d’approvisionnement en matériels agricoles :</w:t>
      </w:r>
    </w:p>
    <w:p w14:paraId="7FADFD3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Matériels non disponibles /__/</w:t>
      </w:r>
      <w:r>
        <w:rPr>
          <w:rFonts w:ascii="Arial" w:hAnsi="Arial" w:cs="Arial"/>
          <w:sz w:val="24"/>
          <w:szCs w:val="24"/>
        </w:rPr>
        <w:tab/>
        <w:t>- Prix élevé /__/   - Eloignement du lieu de vente /__/</w:t>
      </w:r>
    </w:p>
    <w:p w14:paraId="50D89B8C"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Autres (à préciser) :</w:t>
      </w:r>
    </w:p>
    <w:p w14:paraId="20D41EE8"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28. Problème de stockage/conservation des produits :</w:t>
      </w:r>
    </w:p>
    <w:p w14:paraId="04B263FB"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Perte liée aux intempéries </w:t>
      </w:r>
      <w:r>
        <w:rPr>
          <w:rFonts w:ascii="Arial" w:hAnsi="Arial" w:cs="Arial"/>
          <w:sz w:val="24"/>
          <w:szCs w:val="24"/>
        </w:rPr>
        <w:tab/>
        <w:t>/__/   - Manque d’unité de stockage adéquate /__/</w:t>
      </w:r>
    </w:p>
    <w:p w14:paraId="4AB2426A"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Autres (à préciser</w:t>
      </w:r>
    </w:p>
    <w:p w14:paraId="33AAB91F"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29. Problème de récolte/écoulement des produits :</w:t>
      </w:r>
    </w:p>
    <w:p w14:paraId="378CA138"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Absence de mains d’œuvre  /__/     - Manque de moyens financiers  /__/</w:t>
      </w:r>
    </w:p>
    <w:p w14:paraId="2911BBB6"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Dégradation des routes /__/</w:t>
      </w:r>
      <w:r>
        <w:rPr>
          <w:rFonts w:ascii="Arial" w:hAnsi="Arial" w:cs="Arial"/>
          <w:sz w:val="24"/>
          <w:szCs w:val="24"/>
        </w:rPr>
        <w:tab/>
        <w:t xml:space="preserve"> - retard dans l’organisation du MAG  /__/    </w:t>
      </w:r>
    </w:p>
    <w:p w14:paraId="285AEAD8"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      - Autres (à préciser) : </w:t>
      </w:r>
    </w:p>
    <w:p w14:paraId="42F01D03"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30. Problème d’information sur la demande des produits/tenu du MAG </w:t>
      </w:r>
      <w:r>
        <w:rPr>
          <w:rFonts w:ascii="Arial" w:hAnsi="Arial" w:cs="Arial"/>
          <w:sz w:val="24"/>
          <w:szCs w:val="24"/>
        </w:rPr>
        <w:tab/>
        <w:t>/__/</w:t>
      </w:r>
    </w:p>
    <w:p w14:paraId="1095CCF1"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31. Problème de collecte des produits</w:t>
      </w:r>
      <w:r>
        <w:rPr>
          <w:rFonts w:ascii="Arial" w:hAnsi="Arial" w:cs="Arial"/>
          <w:sz w:val="24"/>
          <w:szCs w:val="24"/>
        </w:rPr>
        <w:tab/>
        <w:t>/__/</w:t>
      </w:r>
    </w:p>
    <w:p w14:paraId="5DE3ECA6"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lastRenderedPageBreak/>
        <w:t>32. Prix trop bas proposé par l’Etat</w:t>
      </w:r>
      <w:r>
        <w:rPr>
          <w:rFonts w:ascii="Arial" w:hAnsi="Arial" w:cs="Arial"/>
          <w:sz w:val="24"/>
          <w:szCs w:val="24"/>
        </w:rPr>
        <w:tab/>
        <w:t>/__/</w:t>
      </w:r>
    </w:p>
    <w:p w14:paraId="0BFA97DD"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 xml:space="preserve">33. Insécurité </w:t>
      </w:r>
      <w:r>
        <w:rPr>
          <w:rFonts w:ascii="Arial" w:hAnsi="Arial" w:cs="Arial"/>
          <w:sz w:val="24"/>
          <w:szCs w:val="24"/>
        </w:rPr>
        <w:tab/>
        <w:t>dans la zone de production /__/</w:t>
      </w:r>
    </w:p>
    <w:p w14:paraId="27A0C0EB" w14:textId="77777777" w:rsidR="008862C7" w:rsidRDefault="008862C7" w:rsidP="008862C7">
      <w:pPr>
        <w:spacing w:before="120" w:after="0" w:line="240" w:lineRule="auto"/>
        <w:jc w:val="both"/>
        <w:rPr>
          <w:rFonts w:ascii="Arial" w:hAnsi="Arial" w:cs="Arial"/>
          <w:sz w:val="24"/>
          <w:szCs w:val="24"/>
        </w:rPr>
      </w:pPr>
      <w:r>
        <w:rPr>
          <w:rFonts w:ascii="Arial" w:hAnsi="Arial" w:cs="Arial"/>
          <w:sz w:val="24"/>
          <w:szCs w:val="24"/>
        </w:rPr>
        <w:t>34. Manque de crédit</w:t>
      </w:r>
      <w:r>
        <w:rPr>
          <w:rFonts w:ascii="Arial" w:hAnsi="Arial" w:cs="Arial"/>
          <w:sz w:val="24"/>
          <w:szCs w:val="24"/>
        </w:rPr>
        <w:tab/>
        <w:t>/__/</w:t>
      </w:r>
    </w:p>
    <w:p w14:paraId="5D15C3B9" w14:textId="77777777" w:rsidR="008862C7" w:rsidRDefault="008862C7" w:rsidP="008862C7">
      <w:pPr>
        <w:spacing w:before="120" w:after="0" w:line="240" w:lineRule="auto"/>
        <w:jc w:val="both"/>
        <w:rPr>
          <w:rFonts w:ascii="Arial" w:hAnsi="Arial" w:cs="Arial"/>
          <w:b/>
          <w:sz w:val="24"/>
          <w:szCs w:val="24"/>
        </w:rPr>
      </w:pPr>
      <w:r>
        <w:rPr>
          <w:rFonts w:ascii="Arial" w:hAnsi="Arial" w:cs="Arial"/>
          <w:sz w:val="24"/>
          <w:szCs w:val="24"/>
        </w:rPr>
        <w:t xml:space="preserve">35. Autres difficultés à préciser : </w:t>
      </w:r>
      <w:r>
        <w:rPr>
          <w:rFonts w:ascii="Arial" w:hAnsi="Arial" w:cs="Arial"/>
          <w:b/>
          <w:sz w:val="24"/>
          <w:szCs w:val="24"/>
        </w:rPr>
        <w:t>Souhaits du producteur pour améliorer la production cotonnière par ordre de priorité :</w:t>
      </w:r>
    </w:p>
    <w:p w14:paraId="27026D92" w14:textId="77777777" w:rsidR="008862C7" w:rsidRDefault="008862C7" w:rsidP="008862C7">
      <w:pPr>
        <w:pStyle w:val="Paragraphedeliste"/>
        <w:numPr>
          <w:ilvl w:val="0"/>
          <w:numId w:val="50"/>
        </w:numPr>
        <w:spacing w:after="0" w:line="240" w:lineRule="auto"/>
        <w:jc w:val="both"/>
        <w:rPr>
          <w:rFonts w:ascii="Arial" w:hAnsi="Arial" w:cs="Arial"/>
          <w:b/>
          <w:sz w:val="24"/>
          <w:szCs w:val="24"/>
        </w:rPr>
      </w:pPr>
      <w:r>
        <w:rPr>
          <w:rFonts w:ascii="Arial" w:hAnsi="Arial" w:cs="Arial"/>
          <w:b/>
          <w:sz w:val="24"/>
          <w:szCs w:val="24"/>
        </w:rPr>
        <w:t>Observations pertinentes de l’enquêteur</w:t>
      </w:r>
    </w:p>
    <w:p w14:paraId="233239F4" w14:textId="77777777" w:rsidR="008862C7" w:rsidRDefault="008862C7" w:rsidP="008862C7">
      <w:pPr>
        <w:spacing w:after="0" w:line="240" w:lineRule="auto"/>
        <w:jc w:val="both"/>
        <w:rPr>
          <w:rFonts w:ascii="Arial" w:hAnsi="Arial" w:cs="Arial"/>
          <w:sz w:val="24"/>
          <w:szCs w:val="24"/>
        </w:rPr>
      </w:pPr>
      <w:r>
        <w:rPr>
          <w:rFonts w:ascii="Arial" w:hAnsi="Arial" w:cs="Arial"/>
          <w:sz w:val="24"/>
          <w:szCs w:val="24"/>
        </w:rPr>
        <w:t xml:space="preserve">Date de l’enquête : </w:t>
      </w:r>
    </w:p>
    <w:p w14:paraId="58E61D28" w14:textId="77777777" w:rsidR="008862C7" w:rsidRDefault="008862C7" w:rsidP="008862C7">
      <w:pPr>
        <w:spacing w:after="0" w:line="240" w:lineRule="auto"/>
        <w:jc w:val="both"/>
        <w:rPr>
          <w:rFonts w:ascii="Arial" w:hAnsi="Arial" w:cs="Arial"/>
          <w:sz w:val="24"/>
          <w:szCs w:val="24"/>
        </w:rPr>
      </w:pPr>
      <w:r>
        <w:rPr>
          <w:rFonts w:ascii="Arial" w:hAnsi="Arial" w:cs="Arial"/>
          <w:sz w:val="24"/>
          <w:szCs w:val="24"/>
        </w:rPr>
        <w:t xml:space="preserve">Nom de l’enquêté : </w:t>
      </w:r>
    </w:p>
    <w:p w14:paraId="0EF9675E" w14:textId="77777777" w:rsidR="008862C7" w:rsidRDefault="008862C7" w:rsidP="008862C7">
      <w:pPr>
        <w:jc w:val="center"/>
        <w:rPr>
          <w:rFonts w:ascii="Arial" w:hAnsi="Arial" w:cs="Arial"/>
          <w:b/>
          <w:sz w:val="24"/>
          <w:szCs w:val="24"/>
        </w:rPr>
      </w:pPr>
    </w:p>
    <w:p w14:paraId="10FF40D7" w14:textId="77777777" w:rsidR="008862C7" w:rsidRDefault="008862C7" w:rsidP="008862C7">
      <w:pPr>
        <w:jc w:val="center"/>
        <w:rPr>
          <w:rFonts w:ascii="Arial" w:hAnsi="Arial" w:cs="Arial"/>
          <w:b/>
          <w:sz w:val="24"/>
          <w:szCs w:val="24"/>
        </w:rPr>
      </w:pPr>
    </w:p>
    <w:p w14:paraId="2B673AB8" w14:textId="77777777" w:rsidR="008862C7" w:rsidRDefault="008862C7" w:rsidP="008862C7">
      <w:pPr>
        <w:jc w:val="center"/>
        <w:rPr>
          <w:rFonts w:ascii="Arial" w:hAnsi="Arial" w:cs="Arial"/>
          <w:b/>
          <w:sz w:val="24"/>
          <w:szCs w:val="24"/>
        </w:rPr>
      </w:pPr>
    </w:p>
    <w:p w14:paraId="32446AAE" w14:textId="77777777" w:rsidR="008862C7" w:rsidRDefault="008862C7" w:rsidP="008862C7">
      <w:pPr>
        <w:jc w:val="center"/>
        <w:rPr>
          <w:rFonts w:ascii="Arial" w:hAnsi="Arial" w:cs="Arial"/>
          <w:b/>
          <w:sz w:val="24"/>
          <w:szCs w:val="24"/>
        </w:rPr>
      </w:pPr>
    </w:p>
    <w:p w14:paraId="05BD53C8" w14:textId="77777777" w:rsidR="008862C7" w:rsidRDefault="008862C7" w:rsidP="008862C7">
      <w:pPr>
        <w:jc w:val="center"/>
        <w:rPr>
          <w:rFonts w:ascii="Arial" w:hAnsi="Arial" w:cs="Arial"/>
          <w:b/>
          <w:sz w:val="24"/>
          <w:szCs w:val="24"/>
        </w:rPr>
      </w:pPr>
    </w:p>
    <w:p w14:paraId="4B43C678" w14:textId="77777777" w:rsidR="008862C7" w:rsidRDefault="008862C7" w:rsidP="008862C7">
      <w:pPr>
        <w:jc w:val="center"/>
        <w:rPr>
          <w:rFonts w:ascii="Arial" w:hAnsi="Arial" w:cs="Arial"/>
          <w:b/>
          <w:sz w:val="24"/>
          <w:szCs w:val="24"/>
        </w:rPr>
      </w:pPr>
    </w:p>
    <w:p w14:paraId="0221C6E2" w14:textId="77777777" w:rsidR="008862C7" w:rsidRDefault="008862C7" w:rsidP="008862C7">
      <w:pPr>
        <w:jc w:val="center"/>
        <w:rPr>
          <w:rFonts w:ascii="Arial" w:hAnsi="Arial" w:cs="Arial"/>
          <w:b/>
          <w:sz w:val="24"/>
          <w:szCs w:val="24"/>
        </w:rPr>
      </w:pPr>
    </w:p>
    <w:p w14:paraId="64D7850C" w14:textId="77777777" w:rsidR="008862C7" w:rsidRDefault="008862C7" w:rsidP="008862C7">
      <w:pPr>
        <w:jc w:val="center"/>
        <w:rPr>
          <w:rFonts w:ascii="Arial" w:hAnsi="Arial" w:cs="Arial"/>
          <w:b/>
          <w:sz w:val="24"/>
          <w:szCs w:val="24"/>
        </w:rPr>
      </w:pPr>
    </w:p>
    <w:p w14:paraId="3B17F900" w14:textId="77777777" w:rsidR="008862C7" w:rsidRDefault="008862C7" w:rsidP="008862C7">
      <w:pPr>
        <w:jc w:val="center"/>
        <w:rPr>
          <w:rFonts w:ascii="Arial" w:hAnsi="Arial" w:cs="Arial"/>
          <w:b/>
          <w:sz w:val="24"/>
          <w:szCs w:val="24"/>
        </w:rPr>
      </w:pPr>
    </w:p>
    <w:p w14:paraId="21B8451A" w14:textId="77777777" w:rsidR="008862C7" w:rsidRDefault="008862C7" w:rsidP="008862C7">
      <w:pPr>
        <w:jc w:val="center"/>
        <w:rPr>
          <w:rFonts w:ascii="Arial" w:hAnsi="Arial" w:cs="Arial"/>
          <w:b/>
          <w:sz w:val="24"/>
          <w:szCs w:val="24"/>
        </w:rPr>
      </w:pPr>
    </w:p>
    <w:p w14:paraId="353FB097" w14:textId="77777777" w:rsidR="008862C7" w:rsidRDefault="008862C7" w:rsidP="008862C7">
      <w:pPr>
        <w:jc w:val="center"/>
        <w:rPr>
          <w:rFonts w:ascii="Arial" w:hAnsi="Arial" w:cs="Arial"/>
          <w:b/>
          <w:sz w:val="24"/>
          <w:szCs w:val="24"/>
        </w:rPr>
      </w:pPr>
    </w:p>
    <w:p w14:paraId="676668E5" w14:textId="77777777" w:rsidR="0031591B" w:rsidRDefault="0031591B" w:rsidP="008862C7">
      <w:pPr>
        <w:jc w:val="center"/>
        <w:rPr>
          <w:rFonts w:ascii="Arial" w:hAnsi="Arial" w:cs="Arial"/>
          <w:b/>
          <w:sz w:val="24"/>
          <w:szCs w:val="24"/>
        </w:rPr>
      </w:pPr>
    </w:p>
    <w:p w14:paraId="5ED30370" w14:textId="77777777" w:rsidR="0031591B" w:rsidRDefault="0031591B" w:rsidP="008862C7">
      <w:pPr>
        <w:jc w:val="center"/>
        <w:rPr>
          <w:rFonts w:ascii="Arial" w:hAnsi="Arial" w:cs="Arial"/>
          <w:b/>
          <w:sz w:val="24"/>
          <w:szCs w:val="24"/>
        </w:rPr>
      </w:pPr>
    </w:p>
    <w:p w14:paraId="6037CF41" w14:textId="77777777" w:rsidR="0031591B" w:rsidRDefault="0031591B" w:rsidP="008862C7">
      <w:pPr>
        <w:jc w:val="center"/>
        <w:rPr>
          <w:rFonts w:ascii="Arial" w:hAnsi="Arial" w:cs="Arial"/>
          <w:b/>
          <w:sz w:val="24"/>
          <w:szCs w:val="24"/>
        </w:rPr>
      </w:pPr>
    </w:p>
    <w:p w14:paraId="5816DC36" w14:textId="77777777" w:rsidR="0031591B" w:rsidRDefault="0031591B" w:rsidP="008862C7">
      <w:pPr>
        <w:jc w:val="center"/>
        <w:rPr>
          <w:rFonts w:ascii="Arial" w:hAnsi="Arial" w:cs="Arial"/>
          <w:b/>
          <w:sz w:val="24"/>
          <w:szCs w:val="24"/>
        </w:rPr>
      </w:pPr>
    </w:p>
    <w:p w14:paraId="000AD72B" w14:textId="77777777" w:rsidR="0031591B" w:rsidRDefault="0031591B" w:rsidP="008862C7">
      <w:pPr>
        <w:jc w:val="center"/>
        <w:rPr>
          <w:rFonts w:ascii="Arial" w:hAnsi="Arial" w:cs="Arial"/>
          <w:b/>
          <w:sz w:val="24"/>
          <w:szCs w:val="24"/>
        </w:rPr>
      </w:pPr>
    </w:p>
    <w:p w14:paraId="3AED2E0A" w14:textId="77777777" w:rsidR="008862C7" w:rsidRDefault="008862C7" w:rsidP="008862C7">
      <w:pPr>
        <w:jc w:val="center"/>
        <w:rPr>
          <w:rFonts w:ascii="Arial" w:hAnsi="Arial" w:cs="Arial"/>
          <w:b/>
          <w:sz w:val="24"/>
          <w:szCs w:val="24"/>
        </w:rPr>
      </w:pPr>
    </w:p>
    <w:p w14:paraId="380C0FEC" w14:textId="77777777" w:rsidR="008862C7" w:rsidRDefault="008862C7" w:rsidP="008862C7">
      <w:pPr>
        <w:jc w:val="center"/>
        <w:rPr>
          <w:rFonts w:ascii="Arial" w:hAnsi="Arial" w:cs="Arial"/>
          <w:b/>
          <w:sz w:val="24"/>
          <w:szCs w:val="24"/>
        </w:rPr>
      </w:pPr>
    </w:p>
    <w:p w14:paraId="41CBB37D" w14:textId="77777777" w:rsidR="008862C7" w:rsidRDefault="008862C7" w:rsidP="008862C7">
      <w:pPr>
        <w:jc w:val="center"/>
        <w:rPr>
          <w:rFonts w:ascii="Arial" w:hAnsi="Arial" w:cs="Arial"/>
          <w:b/>
          <w:sz w:val="24"/>
          <w:szCs w:val="24"/>
        </w:rPr>
      </w:pPr>
    </w:p>
    <w:p w14:paraId="3EB1ABAF" w14:textId="77777777" w:rsidR="008862C7" w:rsidRDefault="008862C7" w:rsidP="008862C7">
      <w:pPr>
        <w:jc w:val="center"/>
        <w:rPr>
          <w:rFonts w:ascii="Arial" w:hAnsi="Arial" w:cs="Arial"/>
          <w:b/>
          <w:sz w:val="24"/>
          <w:szCs w:val="24"/>
        </w:rPr>
      </w:pPr>
    </w:p>
    <w:p w14:paraId="41143A48" w14:textId="77777777" w:rsidR="008862C7" w:rsidRDefault="008862C7" w:rsidP="008862C7">
      <w:pPr>
        <w:jc w:val="center"/>
        <w:rPr>
          <w:rFonts w:ascii="Arial" w:hAnsi="Arial" w:cs="Arial"/>
          <w:b/>
          <w:sz w:val="24"/>
          <w:szCs w:val="24"/>
        </w:rPr>
      </w:pPr>
    </w:p>
    <w:p w14:paraId="400CB09A" w14:textId="77777777" w:rsidR="008862C7" w:rsidRDefault="008862C7" w:rsidP="008862C7">
      <w:pPr>
        <w:jc w:val="center"/>
        <w:rPr>
          <w:rFonts w:ascii="Arial" w:hAnsi="Arial" w:cs="Arial"/>
          <w:b/>
          <w:sz w:val="24"/>
          <w:szCs w:val="24"/>
        </w:rPr>
      </w:pPr>
    </w:p>
    <w:p w14:paraId="41DFD29F" w14:textId="77777777" w:rsidR="008862C7" w:rsidRDefault="008862C7" w:rsidP="008862C7">
      <w:pPr>
        <w:jc w:val="center"/>
        <w:rPr>
          <w:rFonts w:ascii="Arial" w:hAnsi="Arial" w:cs="Arial"/>
          <w:b/>
          <w:sz w:val="24"/>
          <w:szCs w:val="24"/>
        </w:rPr>
      </w:pPr>
    </w:p>
    <w:p w14:paraId="429FECF6" w14:textId="77777777" w:rsidR="008862C7" w:rsidRDefault="008862C7" w:rsidP="008862C7">
      <w:pPr>
        <w:jc w:val="center"/>
        <w:rPr>
          <w:rFonts w:ascii="Arial" w:hAnsi="Arial" w:cs="Arial"/>
          <w:b/>
          <w:sz w:val="24"/>
          <w:szCs w:val="24"/>
        </w:rPr>
      </w:pPr>
    </w:p>
    <w:p w14:paraId="0C5272FC" w14:textId="77777777" w:rsidR="008862C7" w:rsidRDefault="008862C7" w:rsidP="0031591B">
      <w:pPr>
        <w:rPr>
          <w:rFonts w:ascii="Arial" w:hAnsi="Arial" w:cs="Arial"/>
          <w:b/>
          <w:sz w:val="24"/>
          <w:szCs w:val="24"/>
        </w:rPr>
      </w:pPr>
    </w:p>
    <w:p w14:paraId="5211EA50" w14:textId="77777777" w:rsidR="008862C7" w:rsidRDefault="008862C7" w:rsidP="008862C7">
      <w:pPr>
        <w:pStyle w:val="Titre4"/>
        <w:rPr>
          <w:rFonts w:ascii="Arial" w:hAnsi="Arial" w:cs="Arial"/>
          <w:sz w:val="24"/>
          <w:szCs w:val="24"/>
        </w:rPr>
      </w:pPr>
      <w:bookmarkStart w:id="320" w:name="_Toc395107715"/>
      <w:r>
        <w:rPr>
          <w:rFonts w:ascii="Arial" w:hAnsi="Arial" w:cs="Arial"/>
          <w:sz w:val="24"/>
          <w:szCs w:val="24"/>
        </w:rPr>
        <w:lastRenderedPageBreak/>
        <w:t>ANNEXE 2 : QUESTIONNAIRE D’ENQUETE ADRESSE AUX GIR</w:t>
      </w:r>
      <w:bookmarkEnd w:id="320"/>
    </w:p>
    <w:p w14:paraId="1456E4D1" w14:textId="77777777" w:rsidR="008862C7" w:rsidRDefault="008862C7" w:rsidP="008862C7">
      <w:pPr>
        <w:pStyle w:val="Paragraphedeliste"/>
        <w:numPr>
          <w:ilvl w:val="0"/>
          <w:numId w:val="51"/>
        </w:numPr>
        <w:spacing w:after="0" w:line="360" w:lineRule="auto"/>
        <w:jc w:val="both"/>
        <w:rPr>
          <w:rFonts w:ascii="Arial" w:hAnsi="Arial" w:cs="Arial"/>
          <w:b/>
          <w:sz w:val="24"/>
          <w:szCs w:val="24"/>
        </w:rPr>
      </w:pPr>
      <w:r>
        <w:rPr>
          <w:rFonts w:ascii="Arial" w:hAnsi="Arial" w:cs="Arial"/>
          <w:b/>
          <w:sz w:val="24"/>
          <w:szCs w:val="24"/>
        </w:rPr>
        <w:t>IDENTIFICATION</w:t>
      </w:r>
    </w:p>
    <w:p w14:paraId="6494F306" w14:textId="77777777" w:rsidR="008862C7" w:rsidRDefault="008862C7" w:rsidP="008862C7">
      <w:pPr>
        <w:pStyle w:val="Paragraphedeliste"/>
        <w:numPr>
          <w:ilvl w:val="0"/>
          <w:numId w:val="52"/>
        </w:numPr>
        <w:spacing w:after="0" w:line="360" w:lineRule="auto"/>
        <w:jc w:val="both"/>
        <w:rPr>
          <w:rFonts w:ascii="Arial" w:hAnsi="Arial" w:cs="Arial"/>
          <w:noProof/>
          <w:sz w:val="24"/>
          <w:szCs w:val="24"/>
        </w:rPr>
      </w:pPr>
      <w:r>
        <w:rPr>
          <w:rFonts w:ascii="Arial" w:hAnsi="Arial" w:cs="Arial"/>
          <w:sz w:val="24"/>
          <w:szCs w:val="24"/>
        </w:rPr>
        <w:t>Nom du GIR : Nom du Village Le GIR compte combien de village Composition du bureau du GIR</w:t>
      </w:r>
    </w:p>
    <w:p w14:paraId="413C29DC" w14:textId="77777777" w:rsidR="008862C7" w:rsidRDefault="008862C7" w:rsidP="008862C7">
      <w:pPr>
        <w:pStyle w:val="Paragraphedeliste"/>
        <w:numPr>
          <w:ilvl w:val="0"/>
          <w:numId w:val="52"/>
        </w:numPr>
        <w:spacing w:after="0" w:line="360" w:lineRule="auto"/>
        <w:jc w:val="both"/>
        <w:rPr>
          <w:rFonts w:ascii="Arial" w:hAnsi="Arial" w:cs="Arial"/>
          <w:noProof/>
          <w:sz w:val="24"/>
          <w:szCs w:val="24"/>
        </w:rPr>
      </w:pPr>
      <w:r>
        <w:rPr>
          <w:rFonts w:ascii="Arial" w:hAnsi="Arial" w:cs="Arial"/>
          <w:sz w:val="24"/>
          <w:szCs w:val="24"/>
        </w:rPr>
        <w:t xml:space="preserve">Le GIR compte combien de village ?  </w:t>
      </w:r>
    </w:p>
    <w:p w14:paraId="3C1EC05A" w14:textId="77777777" w:rsidR="008862C7" w:rsidRDefault="008862C7" w:rsidP="008862C7">
      <w:pPr>
        <w:pStyle w:val="Paragraphedeliste"/>
        <w:numPr>
          <w:ilvl w:val="0"/>
          <w:numId w:val="51"/>
        </w:numPr>
        <w:spacing w:after="0" w:line="360" w:lineRule="auto"/>
        <w:jc w:val="both"/>
        <w:rPr>
          <w:rFonts w:ascii="Arial" w:hAnsi="Arial" w:cs="Arial"/>
          <w:b/>
          <w:sz w:val="24"/>
          <w:szCs w:val="24"/>
        </w:rPr>
      </w:pPr>
      <w:r>
        <w:rPr>
          <w:rFonts w:ascii="Arial" w:hAnsi="Arial" w:cs="Arial"/>
          <w:b/>
          <w:sz w:val="24"/>
          <w:szCs w:val="24"/>
        </w:rPr>
        <w:t>FONCTIONNEMENT</w:t>
      </w:r>
    </w:p>
    <w:p w14:paraId="02C617F6"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 est le mandat d’un GIR ?</w:t>
      </w:r>
    </w:p>
    <w:p w14:paraId="0491F4FD"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 xml:space="preserve">D’après vous les élections dans le GIR sont-elles généralement autonome et transparentes ? </w:t>
      </w:r>
    </w:p>
    <w:p w14:paraId="6E703F5D"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 xml:space="preserve">Si non d’où proviendraient les irrégularités ? (à préciser) </w:t>
      </w:r>
    </w:p>
    <w:p w14:paraId="633BBF1F"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 xml:space="preserve">Depuis quand le bureau actuel est-il en place ? </w:t>
      </w:r>
    </w:p>
    <w:p w14:paraId="061FEBFF"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Quelles conditions faut-il remplir pour être membre du GIR ?</w:t>
      </w:r>
    </w:p>
    <w:p w14:paraId="11AD400D"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Quelle est votre appréciation de la gestion du GIR ?</w:t>
      </w:r>
    </w:p>
    <w:p w14:paraId="3E7EDEDB"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D’après vous quels sont les avantages du GIR ?</w:t>
      </w:r>
    </w:p>
    <w:p w14:paraId="243850E0" w14:textId="77777777" w:rsidR="008862C7" w:rsidRDefault="008862C7" w:rsidP="008862C7">
      <w:pPr>
        <w:spacing w:after="0" w:line="360" w:lineRule="auto"/>
        <w:ind w:left="360"/>
        <w:jc w:val="both"/>
        <w:rPr>
          <w:rFonts w:ascii="Arial" w:hAnsi="Arial" w:cs="Arial"/>
          <w:sz w:val="24"/>
          <w:szCs w:val="24"/>
        </w:rPr>
      </w:pPr>
      <w:r>
        <w:rPr>
          <w:rFonts w:ascii="Arial" w:hAnsi="Arial" w:cs="Arial"/>
          <w:sz w:val="24"/>
          <w:szCs w:val="24"/>
        </w:rPr>
        <w:t xml:space="preserve">     Pour vous </w:t>
      </w:r>
    </w:p>
    <w:p w14:paraId="1F8368A2" w14:textId="77777777" w:rsidR="008862C7" w:rsidRDefault="008862C7" w:rsidP="008862C7">
      <w:pPr>
        <w:pStyle w:val="Paragraphedeliste"/>
        <w:spacing w:after="0" w:line="360" w:lineRule="auto"/>
        <w:jc w:val="both"/>
        <w:rPr>
          <w:rFonts w:ascii="Arial" w:hAnsi="Arial" w:cs="Arial"/>
          <w:sz w:val="24"/>
          <w:szCs w:val="24"/>
        </w:rPr>
      </w:pPr>
      <w:r>
        <w:rPr>
          <w:rFonts w:ascii="Arial" w:hAnsi="Arial" w:cs="Arial"/>
          <w:sz w:val="24"/>
          <w:szCs w:val="24"/>
        </w:rPr>
        <w:t>Pour la communauté </w:t>
      </w:r>
    </w:p>
    <w:p w14:paraId="0F51DEBA" w14:textId="77777777" w:rsidR="008862C7" w:rsidRDefault="008862C7" w:rsidP="008862C7">
      <w:pPr>
        <w:pStyle w:val="Paragraphedeliste"/>
        <w:numPr>
          <w:ilvl w:val="0"/>
          <w:numId w:val="51"/>
        </w:numPr>
        <w:spacing w:after="0" w:line="360" w:lineRule="auto"/>
        <w:jc w:val="both"/>
        <w:rPr>
          <w:rFonts w:ascii="Arial" w:hAnsi="Arial" w:cs="Arial"/>
          <w:b/>
          <w:sz w:val="24"/>
          <w:szCs w:val="24"/>
        </w:rPr>
      </w:pPr>
      <w:r>
        <w:rPr>
          <w:rFonts w:ascii="Arial" w:hAnsi="Arial" w:cs="Arial"/>
          <w:b/>
          <w:sz w:val="24"/>
          <w:szCs w:val="24"/>
        </w:rPr>
        <w:t xml:space="preserve">APPROVISIONNEMENT EN INTRANTS ET PRODUCTION </w:t>
      </w:r>
    </w:p>
    <w:p w14:paraId="52DA512C"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Quels moyens de production recevez-vous pour la production du coton </w:t>
      </w:r>
    </w:p>
    <w:p w14:paraId="1C68E964"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Comment définissez-vous ces besoins ?</w:t>
      </w:r>
    </w:p>
    <w:p w14:paraId="7FCE6416"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 quelle période de l’année recevez-vous les intrants ?</w:t>
      </w:r>
    </w:p>
    <w:p w14:paraId="2BE29A20"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 quel moment vous informe-t-on du prix des intrants ?</w:t>
      </w:r>
    </w:p>
    <w:p w14:paraId="2F3F9A76"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Y’aurai-t-il souvent des contestations des paysans sur le montant des crédits ?</w:t>
      </w:r>
    </w:p>
    <w:p w14:paraId="36157CBB"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             Si oui comment réglez-vous ces litiges ?</w:t>
      </w:r>
    </w:p>
    <w:p w14:paraId="715EDFEE"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Quelle est la mesure prévue en cas de non remboursement des crédits associé à la livraison d’intrants ?</w:t>
      </w:r>
    </w:p>
    <w:p w14:paraId="5FC1B109" w14:textId="77777777" w:rsidR="008862C7" w:rsidRDefault="008862C7" w:rsidP="008862C7">
      <w:pPr>
        <w:pStyle w:val="Paragraphedeliste"/>
        <w:numPr>
          <w:ilvl w:val="0"/>
          <w:numId w:val="51"/>
        </w:numPr>
        <w:spacing w:after="0" w:line="360" w:lineRule="auto"/>
        <w:jc w:val="both"/>
        <w:rPr>
          <w:rFonts w:ascii="Arial" w:hAnsi="Arial" w:cs="Arial"/>
          <w:b/>
          <w:sz w:val="24"/>
          <w:szCs w:val="24"/>
        </w:rPr>
      </w:pPr>
      <w:r>
        <w:rPr>
          <w:rFonts w:ascii="Arial" w:hAnsi="Arial" w:cs="Arial"/>
          <w:b/>
          <w:sz w:val="24"/>
          <w:szCs w:val="24"/>
        </w:rPr>
        <w:t>COMMERCIALISATION</w:t>
      </w:r>
    </w:p>
    <w:p w14:paraId="24B17E9D" w14:textId="77777777" w:rsidR="008862C7" w:rsidRDefault="008862C7" w:rsidP="008862C7">
      <w:pPr>
        <w:pStyle w:val="Paragraphedeliste"/>
        <w:numPr>
          <w:ilvl w:val="0"/>
          <w:numId w:val="52"/>
        </w:numPr>
        <w:spacing w:after="0" w:line="360" w:lineRule="auto"/>
        <w:ind w:left="993" w:hanging="425"/>
        <w:jc w:val="both"/>
        <w:rPr>
          <w:rFonts w:ascii="Arial" w:hAnsi="Arial" w:cs="Arial"/>
          <w:sz w:val="24"/>
          <w:szCs w:val="24"/>
        </w:rPr>
      </w:pPr>
      <w:r>
        <w:rPr>
          <w:rFonts w:ascii="Arial" w:hAnsi="Arial" w:cs="Arial"/>
          <w:sz w:val="24"/>
          <w:szCs w:val="24"/>
        </w:rPr>
        <w:t>Comment organisez-vous la collecte de coton graine ?</w:t>
      </w:r>
    </w:p>
    <w:p w14:paraId="4853066E"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 xml:space="preserve">A quel moment de l’année se tienne souvent le marché (à préciser) ?   </w:t>
      </w:r>
    </w:p>
    <w:p w14:paraId="342A890C"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Quels matériels utilisez-vous pour la collecte et Combien vous coûte ces matériels ?</w:t>
      </w:r>
    </w:p>
    <w:tbl>
      <w:tblPr>
        <w:tblW w:w="0" w:type="auto"/>
        <w:jc w:val="center"/>
        <w:tblLook w:val="04A0" w:firstRow="1" w:lastRow="0" w:firstColumn="1" w:lastColumn="0" w:noHBand="0" w:noVBand="1"/>
      </w:tblPr>
      <w:tblGrid>
        <w:gridCol w:w="1520"/>
        <w:gridCol w:w="1466"/>
        <w:gridCol w:w="1466"/>
        <w:gridCol w:w="1466"/>
        <w:gridCol w:w="1467"/>
        <w:gridCol w:w="1467"/>
      </w:tblGrid>
      <w:tr w:rsidR="008862C7" w14:paraId="01E288D8" w14:textId="77777777" w:rsidTr="008862C7">
        <w:trPr>
          <w:jc w:val="center"/>
        </w:trPr>
        <w:tc>
          <w:tcPr>
            <w:tcW w:w="1520" w:type="dxa"/>
            <w:vAlign w:val="center"/>
            <w:hideMark/>
          </w:tcPr>
          <w:p w14:paraId="5ED85817" w14:textId="77777777" w:rsidR="008862C7" w:rsidRDefault="008862C7">
            <w:pPr>
              <w:pStyle w:val="Sansinterligne"/>
              <w:spacing w:line="360" w:lineRule="auto"/>
              <w:jc w:val="both"/>
              <w:rPr>
                <w:rStyle w:val="lev"/>
                <w:rFonts w:ascii="Arial" w:hAnsi="Arial" w:cs="Arial"/>
              </w:rPr>
            </w:pPr>
            <w:r>
              <w:rPr>
                <w:rStyle w:val="lev"/>
                <w:rFonts w:ascii="Arial" w:hAnsi="Arial" w:cs="Arial"/>
              </w:rPr>
              <w:t>Matériels</w:t>
            </w:r>
          </w:p>
        </w:tc>
        <w:tc>
          <w:tcPr>
            <w:tcW w:w="1466" w:type="dxa"/>
            <w:vAlign w:val="center"/>
          </w:tcPr>
          <w:p w14:paraId="2CB8562E" w14:textId="77777777" w:rsidR="008862C7" w:rsidRDefault="008862C7">
            <w:pPr>
              <w:pStyle w:val="Sansinterligne"/>
              <w:spacing w:line="360" w:lineRule="auto"/>
              <w:jc w:val="both"/>
              <w:rPr>
                <w:rStyle w:val="lev"/>
                <w:rFonts w:ascii="Arial" w:hAnsi="Arial" w:cs="Arial"/>
              </w:rPr>
            </w:pPr>
          </w:p>
        </w:tc>
        <w:tc>
          <w:tcPr>
            <w:tcW w:w="1466" w:type="dxa"/>
            <w:vAlign w:val="center"/>
          </w:tcPr>
          <w:p w14:paraId="36CEE4CC" w14:textId="77777777" w:rsidR="008862C7" w:rsidRDefault="008862C7">
            <w:pPr>
              <w:pStyle w:val="Sansinterligne"/>
              <w:spacing w:line="360" w:lineRule="auto"/>
              <w:jc w:val="both"/>
              <w:rPr>
                <w:rStyle w:val="lev"/>
                <w:rFonts w:ascii="Arial" w:hAnsi="Arial" w:cs="Arial"/>
              </w:rPr>
            </w:pPr>
          </w:p>
        </w:tc>
        <w:tc>
          <w:tcPr>
            <w:tcW w:w="1466" w:type="dxa"/>
            <w:vAlign w:val="center"/>
          </w:tcPr>
          <w:p w14:paraId="3A2C47E4" w14:textId="77777777" w:rsidR="008862C7" w:rsidRDefault="008862C7">
            <w:pPr>
              <w:pStyle w:val="Sansinterligne"/>
              <w:spacing w:line="360" w:lineRule="auto"/>
              <w:jc w:val="both"/>
              <w:rPr>
                <w:rStyle w:val="lev"/>
                <w:rFonts w:ascii="Arial" w:hAnsi="Arial" w:cs="Arial"/>
              </w:rPr>
            </w:pPr>
          </w:p>
        </w:tc>
        <w:tc>
          <w:tcPr>
            <w:tcW w:w="1467" w:type="dxa"/>
            <w:vAlign w:val="center"/>
          </w:tcPr>
          <w:p w14:paraId="4FCED13D" w14:textId="77777777" w:rsidR="008862C7" w:rsidRDefault="008862C7">
            <w:pPr>
              <w:pStyle w:val="Sansinterligne"/>
              <w:spacing w:line="360" w:lineRule="auto"/>
              <w:jc w:val="both"/>
              <w:rPr>
                <w:rStyle w:val="lev"/>
                <w:rFonts w:ascii="Arial" w:hAnsi="Arial" w:cs="Arial"/>
              </w:rPr>
            </w:pPr>
          </w:p>
        </w:tc>
        <w:tc>
          <w:tcPr>
            <w:tcW w:w="1467" w:type="dxa"/>
            <w:vAlign w:val="center"/>
          </w:tcPr>
          <w:p w14:paraId="4C3E0214" w14:textId="77777777" w:rsidR="008862C7" w:rsidRDefault="008862C7">
            <w:pPr>
              <w:pStyle w:val="Sansinterligne"/>
              <w:spacing w:line="360" w:lineRule="auto"/>
              <w:jc w:val="both"/>
              <w:rPr>
                <w:rStyle w:val="lev"/>
                <w:rFonts w:ascii="Arial" w:hAnsi="Arial" w:cs="Arial"/>
              </w:rPr>
            </w:pPr>
          </w:p>
        </w:tc>
      </w:tr>
      <w:tr w:rsidR="008862C7" w14:paraId="14EA4F71" w14:textId="77777777" w:rsidTr="008862C7">
        <w:trPr>
          <w:jc w:val="center"/>
        </w:trPr>
        <w:tc>
          <w:tcPr>
            <w:tcW w:w="1520" w:type="dxa"/>
            <w:vAlign w:val="center"/>
            <w:hideMark/>
          </w:tcPr>
          <w:p w14:paraId="6AA87632" w14:textId="77777777" w:rsidR="008862C7" w:rsidRDefault="008862C7">
            <w:pPr>
              <w:pStyle w:val="Sansinterligne"/>
              <w:spacing w:line="360" w:lineRule="auto"/>
              <w:jc w:val="both"/>
              <w:rPr>
                <w:rStyle w:val="lev"/>
                <w:rFonts w:ascii="Arial" w:hAnsi="Arial" w:cs="Arial"/>
              </w:rPr>
            </w:pPr>
            <w:r>
              <w:rPr>
                <w:rStyle w:val="lev"/>
                <w:rFonts w:ascii="Arial" w:hAnsi="Arial" w:cs="Arial"/>
              </w:rPr>
              <w:t>Prix</w:t>
            </w:r>
          </w:p>
        </w:tc>
        <w:tc>
          <w:tcPr>
            <w:tcW w:w="1466" w:type="dxa"/>
            <w:vAlign w:val="center"/>
          </w:tcPr>
          <w:p w14:paraId="5BCB510E" w14:textId="77777777" w:rsidR="008862C7" w:rsidRDefault="008862C7">
            <w:pPr>
              <w:pStyle w:val="Sansinterligne"/>
              <w:spacing w:line="360" w:lineRule="auto"/>
              <w:jc w:val="both"/>
              <w:rPr>
                <w:rStyle w:val="lev"/>
                <w:rFonts w:ascii="Arial" w:hAnsi="Arial" w:cs="Arial"/>
              </w:rPr>
            </w:pPr>
          </w:p>
        </w:tc>
        <w:tc>
          <w:tcPr>
            <w:tcW w:w="1466" w:type="dxa"/>
            <w:vAlign w:val="center"/>
          </w:tcPr>
          <w:p w14:paraId="21F15E5B" w14:textId="77777777" w:rsidR="008862C7" w:rsidRDefault="008862C7">
            <w:pPr>
              <w:pStyle w:val="Sansinterligne"/>
              <w:spacing w:line="360" w:lineRule="auto"/>
              <w:jc w:val="both"/>
              <w:rPr>
                <w:rStyle w:val="lev"/>
                <w:rFonts w:ascii="Arial" w:hAnsi="Arial" w:cs="Arial"/>
              </w:rPr>
            </w:pPr>
          </w:p>
        </w:tc>
        <w:tc>
          <w:tcPr>
            <w:tcW w:w="1466" w:type="dxa"/>
            <w:vAlign w:val="center"/>
          </w:tcPr>
          <w:p w14:paraId="43BD7B7C" w14:textId="77777777" w:rsidR="008862C7" w:rsidRDefault="008862C7">
            <w:pPr>
              <w:pStyle w:val="Sansinterligne"/>
              <w:spacing w:line="360" w:lineRule="auto"/>
              <w:jc w:val="both"/>
              <w:rPr>
                <w:rStyle w:val="lev"/>
                <w:rFonts w:ascii="Arial" w:hAnsi="Arial" w:cs="Arial"/>
              </w:rPr>
            </w:pPr>
          </w:p>
        </w:tc>
        <w:tc>
          <w:tcPr>
            <w:tcW w:w="1467" w:type="dxa"/>
            <w:vAlign w:val="center"/>
          </w:tcPr>
          <w:p w14:paraId="57372740" w14:textId="77777777" w:rsidR="008862C7" w:rsidRDefault="008862C7">
            <w:pPr>
              <w:pStyle w:val="Sansinterligne"/>
              <w:spacing w:line="360" w:lineRule="auto"/>
              <w:jc w:val="both"/>
              <w:rPr>
                <w:rStyle w:val="lev"/>
                <w:rFonts w:ascii="Arial" w:hAnsi="Arial" w:cs="Arial"/>
              </w:rPr>
            </w:pPr>
          </w:p>
        </w:tc>
        <w:tc>
          <w:tcPr>
            <w:tcW w:w="1467" w:type="dxa"/>
            <w:vAlign w:val="center"/>
          </w:tcPr>
          <w:p w14:paraId="79E9AEF8" w14:textId="77777777" w:rsidR="008862C7" w:rsidRDefault="008862C7">
            <w:pPr>
              <w:pStyle w:val="Sansinterligne"/>
              <w:spacing w:line="360" w:lineRule="auto"/>
              <w:jc w:val="both"/>
              <w:rPr>
                <w:rStyle w:val="lev"/>
                <w:rFonts w:ascii="Arial" w:hAnsi="Arial" w:cs="Arial"/>
              </w:rPr>
            </w:pPr>
          </w:p>
        </w:tc>
      </w:tr>
    </w:tbl>
    <w:p w14:paraId="7BF65287"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D’où vous vous procurez de ces matériels et comment ?</w:t>
      </w:r>
    </w:p>
    <w:p w14:paraId="33C8F2E4"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Comment les informations vous parviennent-elle de la cellule coton ?</w:t>
      </w:r>
    </w:p>
    <w:p w14:paraId="3F1AD365"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 quel moment vous informe-t-on du prix de coton graine ?</w:t>
      </w:r>
    </w:p>
    <w:p w14:paraId="032C96DF"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lastRenderedPageBreak/>
        <w:t>Y’a-t-il parfois une différence entre le poids indiqués par le GIR et celui indiqué par la cellule coton ?     OUI               NON</w:t>
      </w:r>
    </w:p>
    <w:p w14:paraId="60A49FEF" w14:textId="77777777" w:rsidR="008862C7" w:rsidRDefault="008862C7" w:rsidP="008862C7">
      <w:pPr>
        <w:pStyle w:val="Paragraphedeliste"/>
        <w:numPr>
          <w:ilvl w:val="0"/>
          <w:numId w:val="52"/>
        </w:numPr>
        <w:tabs>
          <w:tab w:val="left" w:pos="142"/>
          <w:tab w:val="left" w:pos="284"/>
        </w:tabs>
        <w:spacing w:after="0" w:line="360" w:lineRule="auto"/>
        <w:jc w:val="both"/>
        <w:rPr>
          <w:rFonts w:ascii="Arial" w:hAnsi="Arial" w:cs="Arial"/>
          <w:sz w:val="24"/>
          <w:szCs w:val="24"/>
        </w:rPr>
      </w:pPr>
      <w:r>
        <w:rPr>
          <w:rFonts w:ascii="Arial" w:hAnsi="Arial" w:cs="Arial"/>
          <w:sz w:val="24"/>
          <w:szCs w:val="24"/>
        </w:rPr>
        <w:t xml:space="preserve"> Si oui comment réagissez-vous ?</w:t>
      </w:r>
    </w:p>
    <w:p w14:paraId="26987323"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Comment et où vous stockez le coton collecté ?</w:t>
      </w:r>
    </w:p>
    <w:p w14:paraId="4185D1FE"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Pendant combien de temps vous gardez le coton avant d’être enlevé l’année dernière et cette année ?</w:t>
      </w:r>
    </w:p>
    <w:p w14:paraId="45D5D3AA"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 quel moment de l’année recez-vous l’argent de la commercialisation ?</w:t>
      </w:r>
    </w:p>
    <w:p w14:paraId="37260B28"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Avez-vous perçu des ristournes pour les compagnes effectuées ?</w:t>
      </w:r>
    </w:p>
    <w:p w14:paraId="4986D4AC" w14:textId="77777777" w:rsidR="008862C7" w:rsidRDefault="008862C7" w:rsidP="008862C7">
      <w:pPr>
        <w:pStyle w:val="Paragraphedeliste"/>
        <w:spacing w:after="0" w:line="360" w:lineRule="auto"/>
        <w:ind w:left="928"/>
        <w:jc w:val="both"/>
        <w:rPr>
          <w:rFonts w:ascii="Arial" w:hAnsi="Arial" w:cs="Arial"/>
          <w:sz w:val="24"/>
          <w:szCs w:val="24"/>
        </w:rPr>
      </w:pPr>
      <w:r>
        <w:rPr>
          <w:rFonts w:ascii="Arial" w:hAnsi="Arial" w:cs="Arial"/>
          <w:sz w:val="24"/>
          <w:szCs w:val="24"/>
        </w:rPr>
        <w:t>Si oui de quel montant ?</w:t>
      </w:r>
    </w:p>
    <w:p w14:paraId="5499ADD7" w14:textId="77777777" w:rsidR="008862C7" w:rsidRDefault="008862C7" w:rsidP="008862C7">
      <w:pPr>
        <w:pStyle w:val="Paragraphedeliste"/>
        <w:numPr>
          <w:ilvl w:val="0"/>
          <w:numId w:val="51"/>
        </w:numPr>
        <w:spacing w:after="0" w:line="360" w:lineRule="auto"/>
        <w:jc w:val="both"/>
        <w:rPr>
          <w:rFonts w:ascii="Arial" w:hAnsi="Arial" w:cs="Arial"/>
          <w:b/>
          <w:sz w:val="24"/>
          <w:szCs w:val="24"/>
        </w:rPr>
      </w:pPr>
      <w:r>
        <w:rPr>
          <w:rFonts w:ascii="Arial" w:hAnsi="Arial" w:cs="Arial"/>
          <w:b/>
          <w:sz w:val="24"/>
          <w:szCs w:val="24"/>
        </w:rPr>
        <w:t>CONTRAINTES</w:t>
      </w:r>
    </w:p>
    <w:p w14:paraId="26AEE567"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Avez-vous des problèmes dans la gestion et approvisionnement en intrant ?</w:t>
      </w:r>
    </w:p>
    <w:p w14:paraId="1EA36129" w14:textId="77777777" w:rsidR="008862C7" w:rsidRDefault="008862C7" w:rsidP="008862C7">
      <w:pPr>
        <w:pStyle w:val="Paragraphedeliste"/>
        <w:spacing w:after="0" w:line="360" w:lineRule="auto"/>
        <w:ind w:left="928"/>
        <w:jc w:val="both"/>
        <w:rPr>
          <w:rFonts w:ascii="Arial" w:hAnsi="Arial" w:cs="Arial"/>
          <w:sz w:val="24"/>
          <w:szCs w:val="24"/>
        </w:rPr>
      </w:pPr>
      <w:r>
        <w:rPr>
          <w:rFonts w:ascii="Arial" w:hAnsi="Arial" w:cs="Arial"/>
          <w:sz w:val="24"/>
          <w:szCs w:val="24"/>
        </w:rPr>
        <w:t>Si oui lesquels</w:t>
      </w:r>
    </w:p>
    <w:p w14:paraId="7CD312F8" w14:textId="77777777" w:rsidR="008862C7" w:rsidRDefault="008862C7" w:rsidP="008862C7">
      <w:pPr>
        <w:pStyle w:val="Paragraphedeliste"/>
        <w:numPr>
          <w:ilvl w:val="0"/>
          <w:numId w:val="52"/>
        </w:numPr>
        <w:spacing w:after="0" w:line="360" w:lineRule="auto"/>
        <w:jc w:val="both"/>
        <w:rPr>
          <w:rFonts w:ascii="Arial" w:hAnsi="Arial" w:cs="Arial"/>
          <w:sz w:val="24"/>
          <w:szCs w:val="24"/>
        </w:rPr>
      </w:pPr>
      <w:r>
        <w:rPr>
          <w:rFonts w:ascii="Arial" w:hAnsi="Arial" w:cs="Arial"/>
          <w:sz w:val="24"/>
          <w:szCs w:val="24"/>
        </w:rPr>
        <w:t>Quelles sont les difficultés auxquelles vous faite face dans l’organisation du marché </w:t>
      </w:r>
    </w:p>
    <w:p w14:paraId="488BB352" w14:textId="77777777" w:rsidR="008862C7" w:rsidRDefault="008862C7" w:rsidP="008862C7">
      <w:pPr>
        <w:pStyle w:val="Paragraphedeliste"/>
        <w:spacing w:after="0" w:line="360" w:lineRule="auto"/>
        <w:jc w:val="both"/>
        <w:rPr>
          <w:rFonts w:ascii="Arial" w:hAnsi="Arial" w:cs="Arial"/>
          <w:sz w:val="24"/>
          <w:szCs w:val="24"/>
        </w:rPr>
      </w:pPr>
    </w:p>
    <w:p w14:paraId="326B3B1D" w14:textId="77777777" w:rsidR="008862C7" w:rsidRDefault="008862C7" w:rsidP="008862C7">
      <w:pPr>
        <w:rPr>
          <w:rFonts w:ascii="Arial" w:hAnsi="Arial" w:cs="Arial"/>
          <w:sz w:val="24"/>
          <w:szCs w:val="24"/>
        </w:rPr>
      </w:pPr>
    </w:p>
    <w:p w14:paraId="56C797B5" w14:textId="77777777" w:rsidR="008862C7" w:rsidRDefault="008862C7" w:rsidP="008862C7">
      <w:pPr>
        <w:jc w:val="center"/>
        <w:rPr>
          <w:rFonts w:ascii="Arial" w:hAnsi="Arial" w:cs="Arial"/>
          <w:b/>
          <w:sz w:val="24"/>
          <w:szCs w:val="24"/>
        </w:rPr>
      </w:pPr>
    </w:p>
    <w:p w14:paraId="4213E23B" w14:textId="77777777" w:rsidR="008862C7" w:rsidRDefault="008862C7" w:rsidP="008862C7">
      <w:pPr>
        <w:jc w:val="center"/>
        <w:rPr>
          <w:rFonts w:ascii="Arial" w:hAnsi="Arial" w:cs="Arial"/>
          <w:b/>
          <w:sz w:val="24"/>
          <w:szCs w:val="24"/>
        </w:rPr>
      </w:pPr>
    </w:p>
    <w:p w14:paraId="0FDAC55B" w14:textId="77777777" w:rsidR="008862C7" w:rsidRDefault="008862C7" w:rsidP="008862C7">
      <w:pPr>
        <w:jc w:val="center"/>
        <w:rPr>
          <w:rFonts w:ascii="Arial" w:hAnsi="Arial" w:cs="Arial"/>
          <w:b/>
          <w:sz w:val="24"/>
          <w:szCs w:val="24"/>
        </w:rPr>
      </w:pPr>
    </w:p>
    <w:p w14:paraId="56D1F851" w14:textId="77777777" w:rsidR="008862C7" w:rsidRDefault="008862C7" w:rsidP="008862C7">
      <w:pPr>
        <w:jc w:val="center"/>
        <w:rPr>
          <w:rFonts w:ascii="Arial" w:hAnsi="Arial" w:cs="Arial"/>
          <w:b/>
          <w:sz w:val="24"/>
          <w:szCs w:val="24"/>
        </w:rPr>
      </w:pPr>
    </w:p>
    <w:p w14:paraId="50302779" w14:textId="77777777" w:rsidR="008862C7" w:rsidRDefault="008862C7" w:rsidP="008862C7">
      <w:pPr>
        <w:jc w:val="center"/>
        <w:rPr>
          <w:rFonts w:ascii="Arial" w:hAnsi="Arial" w:cs="Arial"/>
          <w:b/>
          <w:sz w:val="24"/>
          <w:szCs w:val="24"/>
        </w:rPr>
      </w:pPr>
    </w:p>
    <w:p w14:paraId="626723F2" w14:textId="77777777" w:rsidR="008862C7" w:rsidRDefault="008862C7" w:rsidP="008862C7">
      <w:pPr>
        <w:jc w:val="center"/>
        <w:rPr>
          <w:rFonts w:ascii="Arial" w:hAnsi="Arial" w:cs="Arial"/>
          <w:b/>
          <w:sz w:val="24"/>
          <w:szCs w:val="24"/>
        </w:rPr>
      </w:pPr>
    </w:p>
    <w:p w14:paraId="29DAF6B3" w14:textId="77777777" w:rsidR="008862C7" w:rsidRDefault="008862C7" w:rsidP="008862C7">
      <w:pPr>
        <w:jc w:val="center"/>
        <w:rPr>
          <w:rFonts w:ascii="Arial" w:hAnsi="Arial" w:cs="Arial"/>
          <w:b/>
          <w:sz w:val="24"/>
          <w:szCs w:val="24"/>
        </w:rPr>
      </w:pPr>
    </w:p>
    <w:p w14:paraId="5036E733" w14:textId="77777777" w:rsidR="008862C7" w:rsidRDefault="008862C7" w:rsidP="008862C7">
      <w:pPr>
        <w:jc w:val="center"/>
        <w:rPr>
          <w:rFonts w:ascii="Arial" w:hAnsi="Arial" w:cs="Arial"/>
          <w:b/>
          <w:sz w:val="24"/>
          <w:szCs w:val="24"/>
        </w:rPr>
      </w:pPr>
    </w:p>
    <w:p w14:paraId="655075E1" w14:textId="77777777" w:rsidR="008862C7" w:rsidRDefault="008862C7" w:rsidP="008862C7">
      <w:pPr>
        <w:jc w:val="center"/>
        <w:rPr>
          <w:rFonts w:ascii="Arial" w:hAnsi="Arial" w:cs="Arial"/>
          <w:b/>
          <w:sz w:val="24"/>
          <w:szCs w:val="24"/>
        </w:rPr>
      </w:pPr>
    </w:p>
    <w:p w14:paraId="5AC71739" w14:textId="77777777" w:rsidR="008862C7" w:rsidRDefault="008862C7" w:rsidP="008862C7">
      <w:pPr>
        <w:jc w:val="center"/>
        <w:rPr>
          <w:rFonts w:ascii="Arial" w:hAnsi="Arial" w:cs="Arial"/>
          <w:b/>
          <w:sz w:val="24"/>
          <w:szCs w:val="24"/>
        </w:rPr>
      </w:pPr>
    </w:p>
    <w:p w14:paraId="22D2C16C" w14:textId="77777777" w:rsidR="008862C7" w:rsidRDefault="008862C7" w:rsidP="008862C7">
      <w:pPr>
        <w:jc w:val="center"/>
        <w:rPr>
          <w:rFonts w:ascii="Arial" w:hAnsi="Arial" w:cs="Arial"/>
          <w:b/>
          <w:sz w:val="24"/>
          <w:szCs w:val="24"/>
        </w:rPr>
      </w:pPr>
    </w:p>
    <w:p w14:paraId="0A530C4D" w14:textId="77777777" w:rsidR="008862C7" w:rsidRDefault="008862C7" w:rsidP="008862C7">
      <w:pPr>
        <w:jc w:val="center"/>
        <w:rPr>
          <w:rFonts w:ascii="Arial" w:hAnsi="Arial" w:cs="Arial"/>
          <w:b/>
          <w:sz w:val="24"/>
          <w:szCs w:val="24"/>
        </w:rPr>
      </w:pPr>
    </w:p>
    <w:p w14:paraId="2F0BA510" w14:textId="77777777" w:rsidR="0031591B" w:rsidRDefault="0031591B" w:rsidP="008862C7">
      <w:pPr>
        <w:jc w:val="center"/>
        <w:rPr>
          <w:rFonts w:ascii="Arial" w:hAnsi="Arial" w:cs="Arial"/>
          <w:b/>
          <w:sz w:val="24"/>
          <w:szCs w:val="24"/>
        </w:rPr>
      </w:pPr>
    </w:p>
    <w:p w14:paraId="6CC82E67" w14:textId="77777777" w:rsidR="0031591B" w:rsidRDefault="0031591B" w:rsidP="008862C7">
      <w:pPr>
        <w:jc w:val="center"/>
        <w:rPr>
          <w:rFonts w:ascii="Arial" w:hAnsi="Arial" w:cs="Arial"/>
          <w:b/>
          <w:sz w:val="24"/>
          <w:szCs w:val="24"/>
        </w:rPr>
      </w:pPr>
    </w:p>
    <w:p w14:paraId="56A90C38" w14:textId="77777777" w:rsidR="0031591B" w:rsidRDefault="0031591B" w:rsidP="008862C7">
      <w:pPr>
        <w:jc w:val="center"/>
        <w:rPr>
          <w:rFonts w:ascii="Arial" w:hAnsi="Arial" w:cs="Arial"/>
          <w:b/>
          <w:sz w:val="24"/>
          <w:szCs w:val="24"/>
        </w:rPr>
      </w:pPr>
    </w:p>
    <w:p w14:paraId="2E46A247" w14:textId="77777777" w:rsidR="0031591B" w:rsidRDefault="0031591B" w:rsidP="008862C7">
      <w:pPr>
        <w:jc w:val="center"/>
        <w:rPr>
          <w:rFonts w:ascii="Arial" w:hAnsi="Arial" w:cs="Arial"/>
          <w:b/>
          <w:sz w:val="24"/>
          <w:szCs w:val="24"/>
        </w:rPr>
      </w:pPr>
    </w:p>
    <w:p w14:paraId="66CC40C7" w14:textId="77777777" w:rsidR="008862C7" w:rsidRDefault="008862C7" w:rsidP="008862C7">
      <w:pPr>
        <w:pStyle w:val="Titre4"/>
        <w:jc w:val="center"/>
        <w:rPr>
          <w:rFonts w:ascii="Arial" w:hAnsi="Arial" w:cs="Arial"/>
          <w:sz w:val="24"/>
          <w:szCs w:val="24"/>
        </w:rPr>
      </w:pPr>
      <w:bookmarkStart w:id="321" w:name="_Toc395107716"/>
      <w:r>
        <w:rPr>
          <w:rFonts w:ascii="Arial" w:hAnsi="Arial" w:cs="Arial"/>
          <w:sz w:val="24"/>
          <w:szCs w:val="24"/>
        </w:rPr>
        <w:lastRenderedPageBreak/>
        <w:t>ANNEXE 3 : GUIDE D’ENTRETIEN SEMI – DIRECTIF A LA SDIC/CELLULE COTON</w:t>
      </w:r>
      <w:bookmarkEnd w:id="321"/>
    </w:p>
    <w:p w14:paraId="44DDFAF8" w14:textId="77777777" w:rsidR="008862C7" w:rsidRDefault="008862C7" w:rsidP="008862C7">
      <w:pPr>
        <w:spacing w:line="360" w:lineRule="auto"/>
        <w:jc w:val="both"/>
        <w:rPr>
          <w:rFonts w:ascii="Arial" w:hAnsi="Arial" w:cs="Arial"/>
          <w:sz w:val="24"/>
          <w:szCs w:val="24"/>
        </w:rPr>
      </w:pPr>
    </w:p>
    <w:p w14:paraId="12F1CC6C"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NOMS ET PRENOMS :……………………………………………………………………………</w:t>
      </w:r>
    </w:p>
    <w:p w14:paraId="613BF3EB"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FONCTION :…………………………………………………………………………………………..</w:t>
      </w:r>
    </w:p>
    <w:p w14:paraId="54097069"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NOM DE L’INSTITUTION /MINISTERE de TUTEL……………………………………</w:t>
      </w:r>
    </w:p>
    <w:p w14:paraId="092A5785" w14:textId="77777777" w:rsidR="008862C7" w:rsidRDefault="008862C7" w:rsidP="008862C7">
      <w:pPr>
        <w:pStyle w:val="Paragraphedeliste"/>
        <w:numPr>
          <w:ilvl w:val="0"/>
          <w:numId w:val="53"/>
        </w:numPr>
        <w:spacing w:after="0" w:line="360" w:lineRule="auto"/>
        <w:jc w:val="both"/>
        <w:rPr>
          <w:rFonts w:ascii="Arial" w:hAnsi="Arial" w:cs="Arial"/>
          <w:b/>
          <w:sz w:val="24"/>
          <w:szCs w:val="24"/>
        </w:rPr>
      </w:pPr>
      <w:r>
        <w:rPr>
          <w:rFonts w:ascii="Arial" w:hAnsi="Arial" w:cs="Arial"/>
          <w:b/>
          <w:sz w:val="24"/>
          <w:szCs w:val="24"/>
        </w:rPr>
        <w:t>PRODUCTION</w:t>
      </w:r>
    </w:p>
    <w:p w14:paraId="386C47F5" w14:textId="77777777" w:rsidR="008862C7" w:rsidRDefault="008862C7" w:rsidP="008862C7">
      <w:pPr>
        <w:pStyle w:val="Paragraphedeliste"/>
        <w:numPr>
          <w:ilvl w:val="1"/>
          <w:numId w:val="54"/>
        </w:numPr>
        <w:spacing w:after="0" w:line="360" w:lineRule="auto"/>
        <w:jc w:val="both"/>
        <w:rPr>
          <w:rFonts w:ascii="Arial" w:hAnsi="Arial" w:cs="Arial"/>
          <w:b/>
          <w:sz w:val="24"/>
          <w:szCs w:val="24"/>
        </w:rPr>
      </w:pPr>
      <w:r>
        <w:rPr>
          <w:rFonts w:ascii="Arial" w:hAnsi="Arial" w:cs="Arial"/>
          <w:b/>
          <w:sz w:val="24"/>
          <w:szCs w:val="24"/>
        </w:rPr>
        <w:t xml:space="preserve">Approvisionnement en intrant </w:t>
      </w:r>
    </w:p>
    <w:p w14:paraId="2D115626"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Quels sont les différents types d’intrants utilisés dans la production cotonnière ainsi que leur rôle ?.......</w:t>
      </w:r>
    </w:p>
    <w:p w14:paraId="0D22C8F9"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Quels sont les acteurs impliqués dans le système d’approvisionnement en intrant, leur origine ainsi que leur rôle respectif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96"/>
        <w:gridCol w:w="2024"/>
        <w:gridCol w:w="3150"/>
      </w:tblGrid>
      <w:tr w:rsidR="008862C7" w14:paraId="7A337499" w14:textId="77777777" w:rsidTr="008862C7">
        <w:tc>
          <w:tcPr>
            <w:tcW w:w="2376" w:type="dxa"/>
            <w:tcBorders>
              <w:top w:val="single" w:sz="4" w:space="0" w:color="auto"/>
              <w:left w:val="single" w:sz="4" w:space="0" w:color="auto"/>
              <w:bottom w:val="single" w:sz="4" w:space="0" w:color="auto"/>
              <w:right w:val="single" w:sz="4" w:space="0" w:color="auto"/>
            </w:tcBorders>
            <w:hideMark/>
          </w:tcPr>
          <w:p w14:paraId="0A84B1C8"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Acteurs </w:t>
            </w:r>
          </w:p>
        </w:tc>
        <w:tc>
          <w:tcPr>
            <w:tcW w:w="2796" w:type="dxa"/>
            <w:tcBorders>
              <w:top w:val="single" w:sz="4" w:space="0" w:color="auto"/>
              <w:left w:val="single" w:sz="4" w:space="0" w:color="auto"/>
              <w:bottom w:val="single" w:sz="4" w:space="0" w:color="auto"/>
              <w:right w:val="single" w:sz="4" w:space="0" w:color="auto"/>
            </w:tcBorders>
            <w:hideMark/>
          </w:tcPr>
          <w:p w14:paraId="1FA4F76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Rôle </w:t>
            </w:r>
          </w:p>
        </w:tc>
        <w:tc>
          <w:tcPr>
            <w:tcW w:w="2024" w:type="dxa"/>
            <w:tcBorders>
              <w:top w:val="single" w:sz="4" w:space="0" w:color="auto"/>
              <w:left w:val="single" w:sz="4" w:space="0" w:color="auto"/>
              <w:bottom w:val="single" w:sz="4" w:space="0" w:color="auto"/>
              <w:right w:val="single" w:sz="4" w:space="0" w:color="auto"/>
            </w:tcBorders>
            <w:hideMark/>
          </w:tcPr>
          <w:p w14:paraId="16B44200"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Acteurs</w:t>
            </w:r>
          </w:p>
        </w:tc>
        <w:tc>
          <w:tcPr>
            <w:tcW w:w="3150" w:type="dxa"/>
            <w:tcBorders>
              <w:top w:val="single" w:sz="4" w:space="0" w:color="auto"/>
              <w:left w:val="single" w:sz="4" w:space="0" w:color="auto"/>
              <w:bottom w:val="single" w:sz="4" w:space="0" w:color="auto"/>
              <w:right w:val="single" w:sz="4" w:space="0" w:color="auto"/>
            </w:tcBorders>
            <w:hideMark/>
          </w:tcPr>
          <w:p w14:paraId="1C54BF16"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Rôle </w:t>
            </w:r>
          </w:p>
        </w:tc>
      </w:tr>
      <w:tr w:rsidR="008862C7" w14:paraId="11797D76" w14:textId="77777777" w:rsidTr="008862C7">
        <w:tc>
          <w:tcPr>
            <w:tcW w:w="2376" w:type="dxa"/>
            <w:tcBorders>
              <w:top w:val="single" w:sz="4" w:space="0" w:color="auto"/>
              <w:left w:val="single" w:sz="4" w:space="0" w:color="auto"/>
              <w:bottom w:val="single" w:sz="4" w:space="0" w:color="auto"/>
              <w:right w:val="single" w:sz="4" w:space="0" w:color="auto"/>
            </w:tcBorders>
            <w:hideMark/>
          </w:tcPr>
          <w:p w14:paraId="230D07F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1</w:t>
            </w:r>
          </w:p>
        </w:tc>
        <w:tc>
          <w:tcPr>
            <w:tcW w:w="2796" w:type="dxa"/>
            <w:tcBorders>
              <w:top w:val="single" w:sz="4" w:space="0" w:color="auto"/>
              <w:left w:val="single" w:sz="4" w:space="0" w:color="auto"/>
              <w:bottom w:val="single" w:sz="4" w:space="0" w:color="auto"/>
              <w:right w:val="single" w:sz="4" w:space="0" w:color="auto"/>
            </w:tcBorders>
          </w:tcPr>
          <w:p w14:paraId="45F78EA2" w14:textId="77777777" w:rsidR="008862C7" w:rsidRDefault="008862C7">
            <w:pPr>
              <w:tabs>
                <w:tab w:val="left" w:pos="708"/>
              </w:tabs>
              <w:spacing w:after="0" w:line="240" w:lineRule="auto"/>
              <w:jc w:val="both"/>
              <w:rPr>
                <w:rFonts w:ascii="Arial" w:eastAsia="Times New Roman" w:hAnsi="Arial" w:cs="Arial"/>
                <w:sz w:val="24"/>
                <w:szCs w:val="24"/>
              </w:rPr>
            </w:pPr>
          </w:p>
        </w:tc>
        <w:tc>
          <w:tcPr>
            <w:tcW w:w="2024" w:type="dxa"/>
            <w:tcBorders>
              <w:top w:val="single" w:sz="4" w:space="0" w:color="auto"/>
              <w:left w:val="single" w:sz="4" w:space="0" w:color="auto"/>
              <w:bottom w:val="single" w:sz="4" w:space="0" w:color="auto"/>
              <w:right w:val="single" w:sz="4" w:space="0" w:color="auto"/>
            </w:tcBorders>
            <w:hideMark/>
          </w:tcPr>
          <w:p w14:paraId="4527B903"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3</w:t>
            </w:r>
          </w:p>
        </w:tc>
        <w:tc>
          <w:tcPr>
            <w:tcW w:w="3150" w:type="dxa"/>
            <w:tcBorders>
              <w:top w:val="single" w:sz="4" w:space="0" w:color="auto"/>
              <w:left w:val="single" w:sz="4" w:space="0" w:color="auto"/>
              <w:bottom w:val="single" w:sz="4" w:space="0" w:color="auto"/>
              <w:right w:val="single" w:sz="4" w:space="0" w:color="auto"/>
            </w:tcBorders>
          </w:tcPr>
          <w:p w14:paraId="1FF191F7"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6C858D78" w14:textId="77777777" w:rsidTr="008862C7">
        <w:tc>
          <w:tcPr>
            <w:tcW w:w="2376" w:type="dxa"/>
            <w:tcBorders>
              <w:top w:val="single" w:sz="4" w:space="0" w:color="auto"/>
              <w:left w:val="single" w:sz="4" w:space="0" w:color="auto"/>
              <w:bottom w:val="single" w:sz="4" w:space="0" w:color="auto"/>
              <w:right w:val="single" w:sz="4" w:space="0" w:color="auto"/>
            </w:tcBorders>
            <w:hideMark/>
          </w:tcPr>
          <w:p w14:paraId="7CCECB57"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2</w:t>
            </w:r>
          </w:p>
        </w:tc>
        <w:tc>
          <w:tcPr>
            <w:tcW w:w="2796" w:type="dxa"/>
            <w:tcBorders>
              <w:top w:val="single" w:sz="4" w:space="0" w:color="auto"/>
              <w:left w:val="single" w:sz="4" w:space="0" w:color="auto"/>
              <w:bottom w:val="single" w:sz="4" w:space="0" w:color="auto"/>
              <w:right w:val="single" w:sz="4" w:space="0" w:color="auto"/>
            </w:tcBorders>
          </w:tcPr>
          <w:p w14:paraId="245BC0A5" w14:textId="77777777" w:rsidR="008862C7" w:rsidRDefault="008862C7">
            <w:pPr>
              <w:tabs>
                <w:tab w:val="left" w:pos="708"/>
              </w:tabs>
              <w:spacing w:after="0" w:line="240" w:lineRule="auto"/>
              <w:jc w:val="both"/>
              <w:rPr>
                <w:rFonts w:ascii="Arial" w:eastAsia="Times New Roman" w:hAnsi="Arial" w:cs="Arial"/>
                <w:sz w:val="24"/>
                <w:szCs w:val="24"/>
              </w:rPr>
            </w:pPr>
          </w:p>
        </w:tc>
        <w:tc>
          <w:tcPr>
            <w:tcW w:w="2024" w:type="dxa"/>
            <w:tcBorders>
              <w:top w:val="single" w:sz="4" w:space="0" w:color="auto"/>
              <w:left w:val="single" w:sz="4" w:space="0" w:color="auto"/>
              <w:bottom w:val="single" w:sz="4" w:space="0" w:color="auto"/>
              <w:right w:val="single" w:sz="4" w:space="0" w:color="auto"/>
            </w:tcBorders>
            <w:hideMark/>
          </w:tcPr>
          <w:p w14:paraId="6EFA2D1D"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4</w:t>
            </w:r>
          </w:p>
        </w:tc>
        <w:tc>
          <w:tcPr>
            <w:tcW w:w="3150" w:type="dxa"/>
            <w:tcBorders>
              <w:top w:val="single" w:sz="4" w:space="0" w:color="auto"/>
              <w:left w:val="single" w:sz="4" w:space="0" w:color="auto"/>
              <w:bottom w:val="single" w:sz="4" w:space="0" w:color="auto"/>
              <w:right w:val="single" w:sz="4" w:space="0" w:color="auto"/>
            </w:tcBorders>
          </w:tcPr>
          <w:p w14:paraId="0EA1B410"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5A91359E"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Comment s’organise l’approvisionnement en intrant ?</w:t>
      </w:r>
    </w:p>
    <w:p w14:paraId="0FC2E683"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Quel est la structure du coût d’acquisition des intrants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378"/>
        <w:gridCol w:w="3583"/>
        <w:gridCol w:w="1591"/>
      </w:tblGrid>
      <w:tr w:rsidR="008862C7" w14:paraId="5793B7C1" w14:textId="77777777" w:rsidTr="008862C7">
        <w:tc>
          <w:tcPr>
            <w:tcW w:w="3794" w:type="dxa"/>
            <w:tcBorders>
              <w:top w:val="single" w:sz="4" w:space="0" w:color="auto"/>
              <w:left w:val="single" w:sz="4" w:space="0" w:color="auto"/>
              <w:bottom w:val="single" w:sz="4" w:space="0" w:color="auto"/>
              <w:right w:val="single" w:sz="4" w:space="0" w:color="auto"/>
            </w:tcBorders>
            <w:hideMark/>
          </w:tcPr>
          <w:p w14:paraId="4311E996"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Libelle </w:t>
            </w:r>
          </w:p>
        </w:tc>
        <w:tc>
          <w:tcPr>
            <w:tcW w:w="1378" w:type="dxa"/>
            <w:tcBorders>
              <w:top w:val="single" w:sz="4" w:space="0" w:color="auto"/>
              <w:left w:val="single" w:sz="4" w:space="0" w:color="auto"/>
              <w:bottom w:val="single" w:sz="4" w:space="0" w:color="auto"/>
              <w:right w:val="single" w:sz="4" w:space="0" w:color="auto"/>
            </w:tcBorders>
            <w:hideMark/>
          </w:tcPr>
          <w:p w14:paraId="213AE99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Coût </w:t>
            </w:r>
          </w:p>
        </w:tc>
        <w:tc>
          <w:tcPr>
            <w:tcW w:w="3583" w:type="dxa"/>
            <w:tcBorders>
              <w:top w:val="single" w:sz="4" w:space="0" w:color="auto"/>
              <w:left w:val="single" w:sz="4" w:space="0" w:color="auto"/>
              <w:bottom w:val="single" w:sz="4" w:space="0" w:color="auto"/>
              <w:right w:val="single" w:sz="4" w:space="0" w:color="auto"/>
            </w:tcBorders>
            <w:hideMark/>
          </w:tcPr>
          <w:p w14:paraId="6C205EB5"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Libelle </w:t>
            </w:r>
          </w:p>
        </w:tc>
        <w:tc>
          <w:tcPr>
            <w:tcW w:w="1591" w:type="dxa"/>
            <w:tcBorders>
              <w:top w:val="single" w:sz="4" w:space="0" w:color="auto"/>
              <w:left w:val="single" w:sz="4" w:space="0" w:color="auto"/>
              <w:bottom w:val="single" w:sz="4" w:space="0" w:color="auto"/>
              <w:right w:val="single" w:sz="4" w:space="0" w:color="auto"/>
            </w:tcBorders>
            <w:hideMark/>
          </w:tcPr>
          <w:p w14:paraId="30DE3493"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 xml:space="preserve">Coût </w:t>
            </w:r>
          </w:p>
        </w:tc>
      </w:tr>
      <w:tr w:rsidR="008862C7" w14:paraId="5C400C3E" w14:textId="77777777" w:rsidTr="008862C7">
        <w:tc>
          <w:tcPr>
            <w:tcW w:w="3794" w:type="dxa"/>
            <w:tcBorders>
              <w:top w:val="single" w:sz="4" w:space="0" w:color="auto"/>
              <w:left w:val="single" w:sz="4" w:space="0" w:color="auto"/>
              <w:bottom w:val="single" w:sz="4" w:space="0" w:color="auto"/>
              <w:right w:val="single" w:sz="4" w:space="0" w:color="auto"/>
            </w:tcBorders>
            <w:hideMark/>
          </w:tcPr>
          <w:p w14:paraId="58FD4479"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1</w:t>
            </w:r>
          </w:p>
        </w:tc>
        <w:tc>
          <w:tcPr>
            <w:tcW w:w="1378" w:type="dxa"/>
            <w:tcBorders>
              <w:top w:val="single" w:sz="4" w:space="0" w:color="auto"/>
              <w:left w:val="single" w:sz="4" w:space="0" w:color="auto"/>
              <w:bottom w:val="single" w:sz="4" w:space="0" w:color="auto"/>
              <w:right w:val="single" w:sz="4" w:space="0" w:color="auto"/>
            </w:tcBorders>
          </w:tcPr>
          <w:p w14:paraId="0738BC3D" w14:textId="77777777" w:rsidR="008862C7" w:rsidRDefault="008862C7">
            <w:pPr>
              <w:tabs>
                <w:tab w:val="left" w:pos="708"/>
              </w:tabs>
              <w:spacing w:after="0" w:line="240" w:lineRule="auto"/>
              <w:jc w:val="both"/>
              <w:rPr>
                <w:rFonts w:ascii="Arial" w:eastAsia="Times New Roman" w:hAnsi="Arial" w:cs="Arial"/>
                <w:sz w:val="24"/>
                <w:szCs w:val="24"/>
              </w:rPr>
            </w:pPr>
          </w:p>
        </w:tc>
        <w:tc>
          <w:tcPr>
            <w:tcW w:w="3583" w:type="dxa"/>
            <w:tcBorders>
              <w:top w:val="single" w:sz="4" w:space="0" w:color="auto"/>
              <w:left w:val="single" w:sz="4" w:space="0" w:color="auto"/>
              <w:bottom w:val="single" w:sz="4" w:space="0" w:color="auto"/>
              <w:right w:val="single" w:sz="4" w:space="0" w:color="auto"/>
            </w:tcBorders>
            <w:hideMark/>
          </w:tcPr>
          <w:p w14:paraId="269A2151"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4</w:t>
            </w:r>
          </w:p>
        </w:tc>
        <w:tc>
          <w:tcPr>
            <w:tcW w:w="1591" w:type="dxa"/>
            <w:tcBorders>
              <w:top w:val="single" w:sz="4" w:space="0" w:color="auto"/>
              <w:left w:val="single" w:sz="4" w:space="0" w:color="auto"/>
              <w:bottom w:val="single" w:sz="4" w:space="0" w:color="auto"/>
              <w:right w:val="single" w:sz="4" w:space="0" w:color="auto"/>
            </w:tcBorders>
          </w:tcPr>
          <w:p w14:paraId="01FCD9E6"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5FB2A469" w14:textId="77777777" w:rsidTr="008862C7">
        <w:tc>
          <w:tcPr>
            <w:tcW w:w="3794" w:type="dxa"/>
            <w:tcBorders>
              <w:top w:val="single" w:sz="4" w:space="0" w:color="auto"/>
              <w:left w:val="single" w:sz="4" w:space="0" w:color="auto"/>
              <w:bottom w:val="single" w:sz="4" w:space="0" w:color="auto"/>
              <w:right w:val="single" w:sz="4" w:space="0" w:color="auto"/>
            </w:tcBorders>
            <w:hideMark/>
          </w:tcPr>
          <w:p w14:paraId="20228F81"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2</w:t>
            </w:r>
          </w:p>
        </w:tc>
        <w:tc>
          <w:tcPr>
            <w:tcW w:w="1378" w:type="dxa"/>
            <w:tcBorders>
              <w:top w:val="single" w:sz="4" w:space="0" w:color="auto"/>
              <w:left w:val="single" w:sz="4" w:space="0" w:color="auto"/>
              <w:bottom w:val="single" w:sz="4" w:space="0" w:color="auto"/>
              <w:right w:val="single" w:sz="4" w:space="0" w:color="auto"/>
            </w:tcBorders>
          </w:tcPr>
          <w:p w14:paraId="68E7FE55" w14:textId="77777777" w:rsidR="008862C7" w:rsidRDefault="008862C7">
            <w:pPr>
              <w:tabs>
                <w:tab w:val="left" w:pos="708"/>
              </w:tabs>
              <w:spacing w:after="0" w:line="240" w:lineRule="auto"/>
              <w:jc w:val="both"/>
              <w:rPr>
                <w:rFonts w:ascii="Arial" w:eastAsia="Times New Roman" w:hAnsi="Arial" w:cs="Arial"/>
                <w:sz w:val="24"/>
                <w:szCs w:val="24"/>
              </w:rPr>
            </w:pPr>
          </w:p>
        </w:tc>
        <w:tc>
          <w:tcPr>
            <w:tcW w:w="3583" w:type="dxa"/>
            <w:tcBorders>
              <w:top w:val="single" w:sz="4" w:space="0" w:color="auto"/>
              <w:left w:val="single" w:sz="4" w:space="0" w:color="auto"/>
              <w:bottom w:val="single" w:sz="4" w:space="0" w:color="auto"/>
              <w:right w:val="single" w:sz="4" w:space="0" w:color="auto"/>
            </w:tcBorders>
            <w:hideMark/>
          </w:tcPr>
          <w:p w14:paraId="2715051B"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5</w:t>
            </w:r>
          </w:p>
        </w:tc>
        <w:tc>
          <w:tcPr>
            <w:tcW w:w="1591" w:type="dxa"/>
            <w:tcBorders>
              <w:top w:val="single" w:sz="4" w:space="0" w:color="auto"/>
              <w:left w:val="single" w:sz="4" w:space="0" w:color="auto"/>
              <w:bottom w:val="single" w:sz="4" w:space="0" w:color="auto"/>
              <w:right w:val="single" w:sz="4" w:space="0" w:color="auto"/>
            </w:tcBorders>
          </w:tcPr>
          <w:p w14:paraId="6C71AACE" w14:textId="77777777" w:rsidR="008862C7" w:rsidRDefault="008862C7">
            <w:pPr>
              <w:tabs>
                <w:tab w:val="left" w:pos="708"/>
              </w:tabs>
              <w:spacing w:after="0" w:line="240" w:lineRule="auto"/>
              <w:jc w:val="both"/>
              <w:rPr>
                <w:rFonts w:ascii="Arial" w:eastAsia="Times New Roman" w:hAnsi="Arial" w:cs="Arial"/>
                <w:sz w:val="24"/>
                <w:szCs w:val="24"/>
              </w:rPr>
            </w:pPr>
          </w:p>
        </w:tc>
      </w:tr>
      <w:tr w:rsidR="008862C7" w14:paraId="5CC4260D" w14:textId="77777777" w:rsidTr="008862C7">
        <w:tc>
          <w:tcPr>
            <w:tcW w:w="3794" w:type="dxa"/>
            <w:tcBorders>
              <w:top w:val="single" w:sz="4" w:space="0" w:color="auto"/>
              <w:left w:val="single" w:sz="4" w:space="0" w:color="auto"/>
              <w:bottom w:val="single" w:sz="4" w:space="0" w:color="auto"/>
              <w:right w:val="single" w:sz="4" w:space="0" w:color="auto"/>
            </w:tcBorders>
            <w:hideMark/>
          </w:tcPr>
          <w:p w14:paraId="635A287C"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14CFFCCF" w14:textId="77777777" w:rsidR="008862C7" w:rsidRDefault="008862C7">
            <w:pPr>
              <w:tabs>
                <w:tab w:val="left" w:pos="708"/>
              </w:tabs>
              <w:spacing w:after="0" w:line="240" w:lineRule="auto"/>
              <w:jc w:val="both"/>
              <w:rPr>
                <w:rFonts w:ascii="Arial" w:eastAsia="Times New Roman" w:hAnsi="Arial" w:cs="Arial"/>
                <w:sz w:val="24"/>
                <w:szCs w:val="24"/>
              </w:rPr>
            </w:pPr>
          </w:p>
        </w:tc>
        <w:tc>
          <w:tcPr>
            <w:tcW w:w="3583" w:type="dxa"/>
            <w:tcBorders>
              <w:top w:val="single" w:sz="4" w:space="0" w:color="auto"/>
              <w:left w:val="single" w:sz="4" w:space="0" w:color="auto"/>
              <w:bottom w:val="single" w:sz="4" w:space="0" w:color="auto"/>
              <w:right w:val="single" w:sz="4" w:space="0" w:color="auto"/>
            </w:tcBorders>
            <w:hideMark/>
          </w:tcPr>
          <w:p w14:paraId="0A2249EC" w14:textId="77777777" w:rsidR="008862C7" w:rsidRDefault="008862C7">
            <w:pPr>
              <w:tabs>
                <w:tab w:val="left" w:pos="708"/>
              </w:tabs>
              <w:spacing w:after="0" w:line="240" w:lineRule="auto"/>
              <w:jc w:val="both"/>
              <w:rPr>
                <w:rFonts w:ascii="Arial" w:eastAsia="Times New Roman" w:hAnsi="Arial" w:cs="Arial"/>
                <w:sz w:val="24"/>
                <w:szCs w:val="24"/>
              </w:rPr>
            </w:pPr>
            <w:r>
              <w:rPr>
                <w:rFonts w:ascii="Arial" w:hAnsi="Arial" w:cs="Arial"/>
                <w:sz w:val="24"/>
                <w:szCs w:val="24"/>
              </w:rPr>
              <w:t>6</w:t>
            </w:r>
          </w:p>
        </w:tc>
        <w:tc>
          <w:tcPr>
            <w:tcW w:w="1591" w:type="dxa"/>
            <w:tcBorders>
              <w:top w:val="single" w:sz="4" w:space="0" w:color="auto"/>
              <w:left w:val="single" w:sz="4" w:space="0" w:color="auto"/>
              <w:bottom w:val="single" w:sz="4" w:space="0" w:color="auto"/>
              <w:right w:val="single" w:sz="4" w:space="0" w:color="auto"/>
            </w:tcBorders>
          </w:tcPr>
          <w:p w14:paraId="607AA977" w14:textId="77777777" w:rsidR="008862C7" w:rsidRDefault="008862C7">
            <w:pPr>
              <w:tabs>
                <w:tab w:val="left" w:pos="708"/>
              </w:tabs>
              <w:spacing w:after="0" w:line="240" w:lineRule="auto"/>
              <w:jc w:val="both"/>
              <w:rPr>
                <w:rFonts w:ascii="Arial" w:eastAsia="Times New Roman" w:hAnsi="Arial" w:cs="Arial"/>
                <w:sz w:val="24"/>
                <w:szCs w:val="24"/>
              </w:rPr>
            </w:pPr>
          </w:p>
        </w:tc>
      </w:tr>
    </w:tbl>
    <w:p w14:paraId="6BF4A92C"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 xml:space="preserve">Quel est coût moyen d’intrant rendu bord champ ? (2000-2012) ? </w:t>
      </w:r>
    </w:p>
    <w:p w14:paraId="240ADEC5"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Les intrants sont ils reçu et acheminé au producteurs à temps ? OUI___ / NON __/</w:t>
      </w:r>
    </w:p>
    <w:p w14:paraId="5010E0B1"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Pourquoi ?...................................................................................................................... Les quantités répond – t – elle à la demande des producteurs ? OUI___ / NON ___/</w:t>
      </w:r>
    </w:p>
    <w:p w14:paraId="3288B7D3"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Quelles sont les causes ?.........................................................................</w:t>
      </w:r>
    </w:p>
    <w:p w14:paraId="4200E51B" w14:textId="77777777" w:rsidR="008862C7" w:rsidRDefault="008862C7" w:rsidP="008862C7">
      <w:pPr>
        <w:pStyle w:val="Paragraphedeliste"/>
        <w:numPr>
          <w:ilvl w:val="0"/>
          <w:numId w:val="55"/>
        </w:numPr>
        <w:spacing w:after="0" w:line="360" w:lineRule="auto"/>
        <w:jc w:val="both"/>
        <w:rPr>
          <w:rFonts w:ascii="Arial" w:hAnsi="Arial" w:cs="Arial"/>
          <w:sz w:val="24"/>
          <w:szCs w:val="24"/>
        </w:rPr>
      </w:pPr>
      <w:r>
        <w:rPr>
          <w:rFonts w:ascii="Arial" w:hAnsi="Arial" w:cs="Arial"/>
          <w:sz w:val="24"/>
          <w:szCs w:val="24"/>
        </w:rPr>
        <w:t xml:space="preserve">Selon vous le système de remboursement des intrants est-il efficace ? oui __/ non __/ </w:t>
      </w:r>
    </w:p>
    <w:p w14:paraId="37621347" w14:textId="77777777" w:rsidR="008862C7" w:rsidRDefault="008862C7" w:rsidP="008862C7">
      <w:pPr>
        <w:pStyle w:val="Paragraphedeliste"/>
        <w:spacing w:after="0" w:line="360" w:lineRule="auto"/>
        <w:jc w:val="both"/>
        <w:rPr>
          <w:rFonts w:ascii="Arial" w:hAnsi="Arial" w:cs="Arial"/>
          <w:b/>
          <w:sz w:val="24"/>
          <w:szCs w:val="24"/>
        </w:rPr>
      </w:pPr>
      <w:r>
        <w:rPr>
          <w:rFonts w:ascii="Arial" w:hAnsi="Arial" w:cs="Arial"/>
          <w:sz w:val="24"/>
          <w:szCs w:val="24"/>
        </w:rPr>
        <w:t xml:space="preserve">Pourquoi ? </w:t>
      </w:r>
      <w:r>
        <w:rPr>
          <w:rFonts w:ascii="Arial" w:hAnsi="Arial" w:cs="Arial"/>
          <w:b/>
          <w:sz w:val="24"/>
          <w:szCs w:val="24"/>
        </w:rPr>
        <w:t>Subventions</w:t>
      </w:r>
    </w:p>
    <w:p w14:paraId="488A55CC"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Bénéficier vous des subventions ? Oui __/  Non __/ si oui quels sont les donateurs et la nature de subventions ?………………………………………</w:t>
      </w:r>
    </w:p>
    <w:p w14:paraId="7E0A4620"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 est le montant des subventions et leur allocation ?</w:t>
      </w:r>
    </w:p>
    <w:p w14:paraId="6B3143B7" w14:textId="77777777" w:rsidR="008862C7" w:rsidRDefault="008862C7" w:rsidP="008862C7">
      <w:pPr>
        <w:spacing w:after="0" w:line="360" w:lineRule="auto"/>
        <w:jc w:val="both"/>
        <w:rPr>
          <w:rFonts w:ascii="Arial" w:hAnsi="Arial" w:cs="Arial"/>
          <w:sz w:val="24"/>
          <w:szCs w:val="24"/>
        </w:rPr>
      </w:pPr>
      <w:r>
        <w:rPr>
          <w:rFonts w:ascii="Arial" w:hAnsi="Arial" w:cs="Arial"/>
          <w:b/>
          <w:sz w:val="24"/>
          <w:szCs w:val="24"/>
        </w:rPr>
        <w:t>Production</w:t>
      </w:r>
    </w:p>
    <w:p w14:paraId="5BFFBAB1"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 est l’évolution de la superficie, du rendement et de la production cotonnière sur les 30 dernières années ?</w:t>
      </w:r>
    </w:p>
    <w:p w14:paraId="7CA9F1D6"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Comment s’organise les compagnes de production cotonnière ?.................</w:t>
      </w:r>
    </w:p>
    <w:p w14:paraId="1EAFA145"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Quels sont les zones de forte production et leur localisation par rapport aux usines ?</w:t>
      </w:r>
    </w:p>
    <w:p w14:paraId="52CA97BA" w14:textId="77777777" w:rsidR="008862C7" w:rsidRDefault="008862C7" w:rsidP="008862C7">
      <w:pPr>
        <w:pStyle w:val="Paragraphedeliste"/>
        <w:numPr>
          <w:ilvl w:val="1"/>
          <w:numId w:val="54"/>
        </w:numPr>
        <w:spacing w:after="0" w:line="360" w:lineRule="auto"/>
        <w:jc w:val="both"/>
        <w:rPr>
          <w:rFonts w:ascii="Arial" w:hAnsi="Arial" w:cs="Arial"/>
          <w:b/>
          <w:sz w:val="24"/>
          <w:szCs w:val="24"/>
        </w:rPr>
      </w:pPr>
      <w:r>
        <w:rPr>
          <w:rFonts w:ascii="Arial" w:hAnsi="Arial" w:cs="Arial"/>
          <w:b/>
          <w:sz w:val="24"/>
          <w:szCs w:val="24"/>
        </w:rPr>
        <w:lastRenderedPageBreak/>
        <w:t>Appui techniques</w:t>
      </w:r>
    </w:p>
    <w:p w14:paraId="412B953C"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Quels types d’appui techniques vous offrez aux producteurs ?</w:t>
      </w:r>
    </w:p>
    <w:p w14:paraId="4008F065"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Sur quelles bases les gestionnaires sont recrutés et quel est leur effectif ?</w:t>
      </w:r>
    </w:p>
    <w:p w14:paraId="31FB251D"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 xml:space="preserve">Comment s’organise leur répartition sur les sites ? </w:t>
      </w:r>
    </w:p>
    <w:p w14:paraId="0ACB9BE3"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Ont – ils les moyens nécessaires à l’exécution de leur tâche ? OUI __/ NON __/</w:t>
      </w:r>
    </w:p>
    <w:p w14:paraId="4027F87B"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Pourquoi ?......................................................................................................................</w:t>
      </w:r>
    </w:p>
    <w:p w14:paraId="5874562E"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 est votre appréciation de la prestation des gestionnaires en termes d’efficacité et de rendement ?</w:t>
      </w:r>
    </w:p>
    <w:p w14:paraId="021B1834" w14:textId="77777777" w:rsidR="008862C7" w:rsidRDefault="008862C7" w:rsidP="008862C7">
      <w:pPr>
        <w:pStyle w:val="Paragraphedeliste"/>
        <w:numPr>
          <w:ilvl w:val="0"/>
          <w:numId w:val="53"/>
        </w:numPr>
        <w:spacing w:after="0" w:line="360" w:lineRule="auto"/>
        <w:jc w:val="both"/>
        <w:rPr>
          <w:rFonts w:ascii="Arial" w:hAnsi="Arial" w:cs="Arial"/>
          <w:b/>
          <w:sz w:val="24"/>
          <w:szCs w:val="24"/>
        </w:rPr>
      </w:pPr>
      <w:r>
        <w:rPr>
          <w:rFonts w:ascii="Arial" w:hAnsi="Arial" w:cs="Arial"/>
          <w:b/>
          <w:sz w:val="24"/>
          <w:szCs w:val="24"/>
        </w:rPr>
        <w:t>ORGANISATION MARCHE LOCAL</w:t>
      </w:r>
    </w:p>
    <w:p w14:paraId="647C2F2C" w14:textId="77777777" w:rsidR="008862C7" w:rsidRDefault="008862C7" w:rsidP="008862C7">
      <w:pPr>
        <w:pStyle w:val="Paragraphedeliste"/>
        <w:numPr>
          <w:ilvl w:val="1"/>
          <w:numId w:val="56"/>
        </w:numPr>
        <w:spacing w:after="0" w:line="360" w:lineRule="auto"/>
        <w:jc w:val="both"/>
        <w:rPr>
          <w:rFonts w:ascii="Arial" w:hAnsi="Arial" w:cs="Arial"/>
          <w:b/>
          <w:i/>
          <w:sz w:val="24"/>
          <w:szCs w:val="24"/>
        </w:rPr>
      </w:pPr>
      <w:r>
        <w:rPr>
          <w:rFonts w:ascii="Arial" w:hAnsi="Arial" w:cs="Arial"/>
          <w:b/>
          <w:i/>
          <w:sz w:val="24"/>
          <w:szCs w:val="24"/>
        </w:rPr>
        <w:t>Acteurs du marché local</w:t>
      </w:r>
    </w:p>
    <w:p w14:paraId="0B2A923E"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Quels sont les principaux acteurs du circuit interne de commercialisation du coton ainsi que leur fonction ?</w:t>
      </w:r>
    </w:p>
    <w:p w14:paraId="7B39042D"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Quel est l’état actuel des relations entre les acteurs de la filière ? TB __/ AB __/ MAUVAISE __/</w:t>
      </w:r>
    </w:p>
    <w:p w14:paraId="55622044" w14:textId="77777777" w:rsidR="008862C7" w:rsidRDefault="008862C7" w:rsidP="008862C7">
      <w:pPr>
        <w:spacing w:after="0" w:line="360" w:lineRule="auto"/>
        <w:jc w:val="both"/>
        <w:rPr>
          <w:rFonts w:ascii="Arial" w:hAnsi="Arial" w:cs="Arial"/>
          <w:sz w:val="24"/>
          <w:szCs w:val="24"/>
        </w:rPr>
      </w:pPr>
      <w:r>
        <w:rPr>
          <w:rFonts w:ascii="Arial" w:hAnsi="Arial" w:cs="Arial"/>
          <w:sz w:val="24"/>
          <w:szCs w:val="24"/>
        </w:rPr>
        <w:t>MEDIOCRE __/</w:t>
      </w:r>
    </w:p>
    <w:p w14:paraId="307CBC87" w14:textId="77777777" w:rsidR="008862C7" w:rsidRDefault="008862C7" w:rsidP="008862C7">
      <w:pPr>
        <w:pStyle w:val="Paragraphedeliste"/>
        <w:numPr>
          <w:ilvl w:val="1"/>
          <w:numId w:val="56"/>
        </w:numPr>
        <w:spacing w:after="0" w:line="360" w:lineRule="auto"/>
        <w:jc w:val="both"/>
        <w:rPr>
          <w:rFonts w:ascii="Arial" w:hAnsi="Arial" w:cs="Arial"/>
          <w:b/>
          <w:i/>
          <w:sz w:val="24"/>
          <w:szCs w:val="24"/>
        </w:rPr>
      </w:pPr>
      <w:r>
        <w:rPr>
          <w:rFonts w:ascii="Arial" w:hAnsi="Arial" w:cs="Arial"/>
          <w:b/>
          <w:i/>
          <w:sz w:val="24"/>
          <w:szCs w:val="24"/>
        </w:rPr>
        <w:t>Marché Auto –Géré (MAG)</w:t>
      </w:r>
    </w:p>
    <w:p w14:paraId="3C594921" w14:textId="77777777" w:rsidR="008862C7" w:rsidRDefault="008862C7" w:rsidP="008862C7">
      <w:pPr>
        <w:pStyle w:val="Paragraphedeliste"/>
        <w:numPr>
          <w:ilvl w:val="0"/>
          <w:numId w:val="57"/>
        </w:numPr>
        <w:spacing w:line="360" w:lineRule="auto"/>
        <w:jc w:val="both"/>
        <w:rPr>
          <w:rFonts w:ascii="Arial" w:hAnsi="Arial" w:cs="Arial"/>
          <w:sz w:val="24"/>
          <w:szCs w:val="24"/>
        </w:rPr>
      </w:pPr>
      <w:r>
        <w:rPr>
          <w:rFonts w:ascii="Arial" w:hAnsi="Arial" w:cs="Arial"/>
          <w:sz w:val="24"/>
          <w:szCs w:val="24"/>
        </w:rPr>
        <w:t>Quels sont les avantages et limites du MAG ?</w:t>
      </w:r>
    </w:p>
    <w:p w14:paraId="485758C5" w14:textId="77777777" w:rsidR="008862C7" w:rsidRDefault="008862C7" w:rsidP="008862C7">
      <w:pPr>
        <w:pStyle w:val="Paragraphedeliste"/>
        <w:numPr>
          <w:ilvl w:val="0"/>
          <w:numId w:val="57"/>
        </w:numPr>
        <w:spacing w:line="360" w:lineRule="auto"/>
        <w:jc w:val="both"/>
        <w:rPr>
          <w:rFonts w:ascii="Arial" w:hAnsi="Arial" w:cs="Arial"/>
          <w:sz w:val="24"/>
          <w:szCs w:val="24"/>
        </w:rPr>
      </w:pPr>
      <w:r>
        <w:rPr>
          <w:rFonts w:ascii="Arial" w:hAnsi="Arial" w:cs="Arial"/>
          <w:sz w:val="24"/>
          <w:szCs w:val="24"/>
        </w:rPr>
        <w:t>Quels sont les principaux coûts qu’induit l’organisation du MAG ?</w:t>
      </w:r>
    </w:p>
    <w:p w14:paraId="59F558FA" w14:textId="77777777" w:rsidR="008862C7" w:rsidRDefault="008862C7" w:rsidP="008862C7">
      <w:pPr>
        <w:pStyle w:val="Paragraphedeliste"/>
        <w:numPr>
          <w:ilvl w:val="0"/>
          <w:numId w:val="57"/>
        </w:numPr>
        <w:spacing w:line="360" w:lineRule="auto"/>
        <w:jc w:val="both"/>
        <w:rPr>
          <w:rFonts w:ascii="Arial" w:hAnsi="Arial" w:cs="Arial"/>
          <w:sz w:val="24"/>
          <w:szCs w:val="24"/>
        </w:rPr>
      </w:pPr>
      <w:r>
        <w:rPr>
          <w:rFonts w:ascii="Arial" w:hAnsi="Arial" w:cs="Arial"/>
          <w:sz w:val="24"/>
          <w:szCs w:val="24"/>
        </w:rPr>
        <w:t>Quel est le nombre de GIR en RCA ?</w:t>
      </w:r>
    </w:p>
    <w:p w14:paraId="34635FBD" w14:textId="77777777" w:rsidR="008862C7" w:rsidRDefault="008862C7" w:rsidP="008862C7">
      <w:pPr>
        <w:pStyle w:val="Paragraphedeliste"/>
        <w:spacing w:line="360" w:lineRule="auto"/>
        <w:jc w:val="both"/>
        <w:rPr>
          <w:rFonts w:ascii="Arial" w:hAnsi="Arial" w:cs="Arial"/>
          <w:sz w:val="24"/>
          <w:szCs w:val="24"/>
        </w:rPr>
      </w:pPr>
      <w:r>
        <w:rPr>
          <w:rFonts w:ascii="Arial" w:hAnsi="Arial" w:cs="Arial"/>
          <w:sz w:val="24"/>
          <w:szCs w:val="24"/>
        </w:rPr>
        <w:t>-dans la zone nord-ouest ?</w:t>
      </w:r>
    </w:p>
    <w:p w14:paraId="635CA53B" w14:textId="77777777" w:rsidR="008862C7" w:rsidRDefault="008862C7" w:rsidP="008862C7">
      <w:pPr>
        <w:pStyle w:val="Paragraphedeliste"/>
        <w:spacing w:line="360" w:lineRule="auto"/>
        <w:jc w:val="both"/>
        <w:rPr>
          <w:rFonts w:ascii="Arial" w:hAnsi="Arial" w:cs="Arial"/>
          <w:sz w:val="24"/>
          <w:szCs w:val="24"/>
        </w:rPr>
      </w:pPr>
      <w:r>
        <w:rPr>
          <w:rFonts w:ascii="Arial" w:hAnsi="Arial" w:cs="Arial"/>
          <w:sz w:val="24"/>
          <w:szCs w:val="24"/>
        </w:rPr>
        <w:t xml:space="preserve">-dans la zone Centre-sud ? </w:t>
      </w:r>
    </w:p>
    <w:p w14:paraId="743BC4E3" w14:textId="77777777" w:rsidR="008862C7" w:rsidRDefault="008862C7" w:rsidP="008862C7">
      <w:pPr>
        <w:pStyle w:val="Paragraphedeliste"/>
        <w:numPr>
          <w:ilvl w:val="0"/>
          <w:numId w:val="57"/>
        </w:numPr>
        <w:spacing w:line="360" w:lineRule="auto"/>
        <w:jc w:val="both"/>
        <w:rPr>
          <w:rFonts w:ascii="Arial" w:hAnsi="Arial" w:cs="Arial"/>
          <w:sz w:val="24"/>
          <w:szCs w:val="24"/>
        </w:rPr>
      </w:pPr>
      <w:r>
        <w:rPr>
          <w:rFonts w:ascii="Arial" w:hAnsi="Arial" w:cs="Arial"/>
          <w:sz w:val="24"/>
          <w:szCs w:val="24"/>
        </w:rPr>
        <w:t xml:space="preserve">Sur quels fonds le coton est acheté chez les paysans </w:t>
      </w:r>
    </w:p>
    <w:p w14:paraId="33FD2D5B" w14:textId="77777777" w:rsidR="008862C7" w:rsidRDefault="008862C7" w:rsidP="008862C7">
      <w:pPr>
        <w:pStyle w:val="Paragraphedeliste"/>
        <w:numPr>
          <w:ilvl w:val="0"/>
          <w:numId w:val="57"/>
        </w:numPr>
        <w:spacing w:line="360" w:lineRule="auto"/>
        <w:jc w:val="both"/>
        <w:rPr>
          <w:rFonts w:ascii="Arial" w:hAnsi="Arial" w:cs="Arial"/>
          <w:sz w:val="24"/>
          <w:szCs w:val="24"/>
        </w:rPr>
      </w:pPr>
      <w:r>
        <w:rPr>
          <w:rFonts w:ascii="Arial" w:hAnsi="Arial" w:cs="Arial"/>
          <w:b/>
          <w:i/>
          <w:sz w:val="24"/>
          <w:szCs w:val="24"/>
        </w:rPr>
        <w:t>Données demandées</w:t>
      </w:r>
      <w:r>
        <w:rPr>
          <w:rFonts w:ascii="Arial" w:hAnsi="Arial" w:cs="Arial"/>
          <w:sz w:val="24"/>
          <w:szCs w:val="24"/>
        </w:rPr>
        <w:t> : volume produit (2000-2011);surface cultivée et rendement à l’ha (2000-2011) ; nombre des motoculteurs (2000-2011) ; Frais de manutention et stockage (2000-2011).</w:t>
      </w:r>
    </w:p>
    <w:p w14:paraId="12C1BD53" w14:textId="77777777" w:rsidR="008862C7" w:rsidRDefault="008862C7" w:rsidP="008862C7">
      <w:pPr>
        <w:pStyle w:val="Paragraphedeliste"/>
        <w:numPr>
          <w:ilvl w:val="1"/>
          <w:numId w:val="56"/>
        </w:numPr>
        <w:spacing w:line="360" w:lineRule="auto"/>
        <w:jc w:val="both"/>
        <w:rPr>
          <w:rFonts w:ascii="Arial" w:hAnsi="Arial" w:cs="Arial"/>
          <w:b/>
          <w:i/>
          <w:sz w:val="24"/>
          <w:szCs w:val="24"/>
        </w:rPr>
      </w:pPr>
      <w:r>
        <w:rPr>
          <w:rFonts w:ascii="Arial" w:hAnsi="Arial" w:cs="Arial"/>
          <w:b/>
          <w:i/>
          <w:sz w:val="24"/>
          <w:szCs w:val="24"/>
        </w:rPr>
        <w:t xml:space="preserve"> Transport</w:t>
      </w:r>
    </w:p>
    <w:p w14:paraId="2D88D4A6"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Comment s’organise l’acheminement du coton graine vers l’usine ?</w:t>
      </w:r>
    </w:p>
    <w:p w14:paraId="7552A052"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Quels avantages y ‘auraient –ils entre le fait que le coton soit transporté à l’usine par des privés ou par la société cotonnière elle-même ?</w:t>
      </w:r>
    </w:p>
    <w:p w14:paraId="7DDD5695"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Comment s’organise l’appel d’offre et le contrat de sous-traitance avec les sociétés de transport</w:t>
      </w:r>
    </w:p>
    <w:p w14:paraId="2F4F8871"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A Combien de Km estimez-vous la distance moyenne parcourue pour collecter le coton produit sur tout le territoire (si possible de 1980 à 2013) ?</w:t>
      </w:r>
    </w:p>
    <w:p w14:paraId="193229B3"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 xml:space="preserve">Quelle serait la cause des variations s’il y en avait ?  </w:t>
      </w:r>
    </w:p>
    <w:p w14:paraId="347678EB"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lastRenderedPageBreak/>
        <w:t>Sur quels fonds le coton est acheté chez les paysans ? combien de temps met généralement la société cotonnière pour collecter tout le coton produit ?</w:t>
      </w:r>
    </w:p>
    <w:p w14:paraId="40098E63" w14:textId="77777777" w:rsidR="008862C7" w:rsidRDefault="008862C7" w:rsidP="008862C7">
      <w:pPr>
        <w:pStyle w:val="Paragraphedeliste"/>
        <w:numPr>
          <w:ilvl w:val="0"/>
          <w:numId w:val="58"/>
        </w:numPr>
        <w:spacing w:line="360" w:lineRule="auto"/>
        <w:jc w:val="both"/>
        <w:rPr>
          <w:rFonts w:ascii="Arial" w:hAnsi="Arial" w:cs="Arial"/>
          <w:sz w:val="24"/>
          <w:szCs w:val="24"/>
        </w:rPr>
      </w:pPr>
      <w:r>
        <w:rPr>
          <w:rFonts w:ascii="Arial" w:hAnsi="Arial" w:cs="Arial"/>
          <w:sz w:val="24"/>
          <w:szCs w:val="24"/>
        </w:rPr>
        <w:t>Sur quel fonds est financé la collecte du coton graine ?</w:t>
      </w:r>
    </w:p>
    <w:p w14:paraId="49A83C96" w14:textId="77777777" w:rsidR="008862C7" w:rsidRDefault="008862C7" w:rsidP="008862C7">
      <w:pPr>
        <w:pStyle w:val="Paragraphedeliste"/>
        <w:numPr>
          <w:ilvl w:val="0"/>
          <w:numId w:val="58"/>
        </w:numPr>
        <w:spacing w:after="0" w:line="360" w:lineRule="auto"/>
        <w:jc w:val="both"/>
        <w:rPr>
          <w:rFonts w:ascii="Arial" w:hAnsi="Arial" w:cs="Arial"/>
          <w:sz w:val="24"/>
          <w:szCs w:val="24"/>
        </w:rPr>
      </w:pPr>
      <w:r>
        <w:rPr>
          <w:rFonts w:ascii="Arial" w:hAnsi="Arial" w:cs="Arial"/>
          <w:sz w:val="24"/>
          <w:szCs w:val="24"/>
        </w:rPr>
        <w:t xml:space="preserve">Quel est ‘état des routes et leurs impacts sur le transport du coton graine ?  </w:t>
      </w:r>
    </w:p>
    <w:p w14:paraId="5629316A" w14:textId="77777777" w:rsidR="008862C7" w:rsidRDefault="008862C7" w:rsidP="008862C7">
      <w:pPr>
        <w:spacing w:after="0" w:line="360" w:lineRule="auto"/>
        <w:jc w:val="both"/>
        <w:rPr>
          <w:rFonts w:ascii="Arial" w:hAnsi="Arial" w:cs="Arial"/>
          <w:sz w:val="24"/>
          <w:szCs w:val="24"/>
        </w:rPr>
      </w:pPr>
      <w:r>
        <w:rPr>
          <w:rFonts w:ascii="Arial" w:hAnsi="Arial" w:cs="Arial"/>
          <w:b/>
          <w:i/>
          <w:sz w:val="24"/>
          <w:szCs w:val="24"/>
          <w:u w:val="single"/>
        </w:rPr>
        <w:t>Données</w:t>
      </w:r>
      <w:r>
        <w:rPr>
          <w:rFonts w:ascii="Arial" w:hAnsi="Arial" w:cs="Arial"/>
          <w:b/>
          <w:sz w:val="24"/>
          <w:szCs w:val="24"/>
        </w:rPr>
        <w:t> :</w:t>
      </w:r>
      <w:r>
        <w:rPr>
          <w:rFonts w:ascii="Arial" w:hAnsi="Arial" w:cs="Arial"/>
          <w:sz w:val="24"/>
          <w:szCs w:val="24"/>
        </w:rPr>
        <w:t xml:space="preserve"> Frais de transport coton graine et gasoil consommé par compagne       </w:t>
      </w:r>
      <w:r>
        <w:rPr>
          <w:rFonts w:ascii="Arial" w:hAnsi="Arial" w:cs="Arial"/>
          <w:sz w:val="24"/>
          <w:szCs w:val="24"/>
        </w:rPr>
        <w:tab/>
      </w:r>
      <w:r>
        <w:rPr>
          <w:rFonts w:ascii="Arial" w:hAnsi="Arial" w:cs="Arial"/>
          <w:sz w:val="24"/>
          <w:szCs w:val="24"/>
        </w:rPr>
        <w:tab/>
        <w:t xml:space="preserve">commerciale (1980 – 2013) ; </w:t>
      </w:r>
    </w:p>
    <w:p w14:paraId="05599111" w14:textId="77777777" w:rsidR="008862C7" w:rsidRDefault="008862C7" w:rsidP="008862C7">
      <w:pPr>
        <w:spacing w:after="0" w:line="360" w:lineRule="auto"/>
        <w:ind w:left="360" w:firstLine="708"/>
        <w:jc w:val="both"/>
        <w:rPr>
          <w:rFonts w:ascii="Arial" w:hAnsi="Arial" w:cs="Arial"/>
          <w:sz w:val="24"/>
          <w:szCs w:val="24"/>
        </w:rPr>
      </w:pPr>
      <w:r>
        <w:rPr>
          <w:rFonts w:ascii="Arial" w:hAnsi="Arial" w:cs="Arial"/>
          <w:sz w:val="24"/>
          <w:szCs w:val="24"/>
        </w:rPr>
        <w:t>Distance totale parcouru par compagne pour la collecte de coton graine et distance moyenne. (1980-2013)</w:t>
      </w:r>
    </w:p>
    <w:p w14:paraId="581EFFAF" w14:textId="77777777" w:rsidR="008862C7" w:rsidRDefault="008862C7" w:rsidP="008862C7">
      <w:pPr>
        <w:pStyle w:val="Paragraphedeliste"/>
        <w:numPr>
          <w:ilvl w:val="1"/>
          <w:numId w:val="56"/>
        </w:numPr>
        <w:spacing w:after="0" w:line="360" w:lineRule="auto"/>
        <w:jc w:val="both"/>
        <w:rPr>
          <w:rFonts w:ascii="Arial" w:hAnsi="Arial" w:cs="Arial"/>
          <w:b/>
          <w:i/>
          <w:sz w:val="24"/>
          <w:szCs w:val="24"/>
        </w:rPr>
      </w:pPr>
      <w:r>
        <w:rPr>
          <w:rFonts w:ascii="Arial" w:hAnsi="Arial" w:cs="Arial"/>
          <w:b/>
          <w:i/>
          <w:sz w:val="24"/>
          <w:szCs w:val="24"/>
        </w:rPr>
        <w:t xml:space="preserve"> Usine</w:t>
      </w:r>
    </w:p>
    <w:p w14:paraId="3843B37E"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 xml:space="preserve">Comment s’organisait le déchargement coton à l’usine et comment cela s’organise-t-il maintenant ? </w:t>
      </w:r>
    </w:p>
    <w:p w14:paraId="1849B73A"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 xml:space="preserve">Quelle qualité de fibre a-t-on généralement en RCA ? et quel est le prix de ces différentes qualités (2000-2011) ? </w:t>
      </w:r>
    </w:p>
    <w:p w14:paraId="5F06E65D"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 xml:space="preserve">Comment le prix intérieur est-il déterminé ? </w:t>
      </w:r>
    </w:p>
    <w:p w14:paraId="26C063C4"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 xml:space="preserve">Les prix permettent-ils à la cellule coton de dégager des profits ? </w:t>
      </w:r>
    </w:p>
    <w:p w14:paraId="3DC011D9"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Quelles sont les charges supportées par la société cotonnière pendant une compagne ?</w:t>
      </w:r>
    </w:p>
    <w:p w14:paraId="0C797BCA"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Les crédits de compagne aux cotonculteurs est-il encore d’actualité ? (2000-2011) ;</w:t>
      </w:r>
    </w:p>
    <w:p w14:paraId="2B8EB293" w14:textId="77777777" w:rsidR="008862C7" w:rsidRDefault="008862C7" w:rsidP="008862C7">
      <w:pPr>
        <w:pStyle w:val="Paragraphedeliste"/>
        <w:numPr>
          <w:ilvl w:val="0"/>
          <w:numId w:val="59"/>
        </w:numPr>
        <w:spacing w:after="0" w:line="360" w:lineRule="auto"/>
        <w:jc w:val="both"/>
        <w:rPr>
          <w:rFonts w:ascii="Arial" w:hAnsi="Arial" w:cs="Arial"/>
          <w:sz w:val="24"/>
          <w:szCs w:val="24"/>
        </w:rPr>
      </w:pPr>
      <w:r>
        <w:rPr>
          <w:rFonts w:ascii="Arial" w:hAnsi="Arial" w:cs="Arial"/>
          <w:sz w:val="24"/>
          <w:szCs w:val="24"/>
        </w:rPr>
        <w:t xml:space="preserve">Quelle est l’organisation de la cellule coton ? quels sont ces principaux bailleurs ? </w:t>
      </w:r>
    </w:p>
    <w:p w14:paraId="1C65821A" w14:textId="77777777" w:rsidR="008862C7" w:rsidRDefault="008862C7" w:rsidP="008862C7">
      <w:pPr>
        <w:spacing w:after="0" w:line="360" w:lineRule="auto"/>
        <w:jc w:val="both"/>
        <w:rPr>
          <w:rFonts w:ascii="Arial" w:hAnsi="Arial" w:cs="Arial"/>
          <w:sz w:val="24"/>
          <w:szCs w:val="24"/>
        </w:rPr>
      </w:pPr>
      <w:r>
        <w:rPr>
          <w:rFonts w:ascii="Arial" w:hAnsi="Arial" w:cs="Arial"/>
          <w:b/>
          <w:i/>
          <w:sz w:val="24"/>
          <w:szCs w:val="24"/>
          <w:u w:val="single"/>
        </w:rPr>
        <w:t>Données</w:t>
      </w:r>
      <w:r>
        <w:rPr>
          <w:rFonts w:ascii="Arial" w:hAnsi="Arial" w:cs="Arial"/>
          <w:b/>
          <w:sz w:val="24"/>
          <w:szCs w:val="24"/>
        </w:rPr>
        <w:t> :</w:t>
      </w:r>
      <w:r>
        <w:rPr>
          <w:rFonts w:ascii="Arial" w:hAnsi="Arial" w:cs="Arial"/>
          <w:sz w:val="24"/>
          <w:szCs w:val="24"/>
        </w:rPr>
        <w:t xml:space="preserve">    -    Prix et volume par qualité de fibres (2000-2011)</w:t>
      </w:r>
    </w:p>
    <w:p w14:paraId="7D3CEAF8" w14:textId="77777777" w:rsidR="008862C7" w:rsidRDefault="008862C7" w:rsidP="008862C7">
      <w:pPr>
        <w:pStyle w:val="Paragraphedeliste"/>
        <w:numPr>
          <w:ilvl w:val="0"/>
          <w:numId w:val="60"/>
        </w:numPr>
        <w:spacing w:after="0" w:line="360" w:lineRule="auto"/>
        <w:jc w:val="both"/>
        <w:rPr>
          <w:rFonts w:ascii="Arial" w:hAnsi="Arial" w:cs="Arial"/>
          <w:sz w:val="24"/>
          <w:szCs w:val="24"/>
        </w:rPr>
      </w:pPr>
      <w:r>
        <w:rPr>
          <w:rFonts w:ascii="Arial" w:hAnsi="Arial" w:cs="Arial"/>
          <w:sz w:val="24"/>
          <w:szCs w:val="24"/>
        </w:rPr>
        <w:t>Prix local du coton graine (2000-2011)</w:t>
      </w:r>
    </w:p>
    <w:p w14:paraId="250F2FE5" w14:textId="77777777" w:rsidR="008862C7" w:rsidRDefault="008862C7" w:rsidP="008862C7">
      <w:pPr>
        <w:pStyle w:val="Paragraphedeliste"/>
        <w:numPr>
          <w:ilvl w:val="0"/>
          <w:numId w:val="60"/>
        </w:numPr>
        <w:spacing w:after="0" w:line="360" w:lineRule="auto"/>
        <w:jc w:val="both"/>
        <w:rPr>
          <w:rFonts w:ascii="Arial" w:hAnsi="Arial" w:cs="Arial"/>
          <w:sz w:val="24"/>
          <w:szCs w:val="24"/>
        </w:rPr>
      </w:pPr>
      <w:r>
        <w:rPr>
          <w:rFonts w:ascii="Arial" w:hAnsi="Arial" w:cs="Arial"/>
          <w:sz w:val="24"/>
          <w:szCs w:val="24"/>
        </w:rPr>
        <w:t>Consommation locale (2000-2011)</w:t>
      </w:r>
    </w:p>
    <w:p w14:paraId="52AD2B26" w14:textId="77777777" w:rsidR="008862C7" w:rsidRDefault="008862C7" w:rsidP="008862C7">
      <w:pPr>
        <w:pStyle w:val="Paragraphedeliste"/>
        <w:numPr>
          <w:ilvl w:val="0"/>
          <w:numId w:val="53"/>
        </w:numPr>
        <w:spacing w:after="0" w:line="360" w:lineRule="auto"/>
        <w:jc w:val="both"/>
        <w:rPr>
          <w:rFonts w:ascii="Arial" w:hAnsi="Arial" w:cs="Arial"/>
          <w:b/>
          <w:sz w:val="24"/>
          <w:szCs w:val="24"/>
        </w:rPr>
      </w:pPr>
      <w:r>
        <w:rPr>
          <w:rFonts w:ascii="Arial" w:hAnsi="Arial" w:cs="Arial"/>
          <w:b/>
          <w:sz w:val="24"/>
          <w:szCs w:val="24"/>
        </w:rPr>
        <w:t xml:space="preserve">MARCHE INTERNATIONAL </w:t>
      </w:r>
    </w:p>
    <w:p w14:paraId="585D2B2B" w14:textId="77777777" w:rsidR="008862C7" w:rsidRDefault="008862C7" w:rsidP="008862C7">
      <w:pPr>
        <w:pStyle w:val="Paragraphedeliste"/>
        <w:numPr>
          <w:ilvl w:val="1"/>
          <w:numId w:val="53"/>
        </w:numPr>
        <w:spacing w:after="0" w:line="360" w:lineRule="auto"/>
        <w:jc w:val="both"/>
        <w:rPr>
          <w:rFonts w:ascii="Arial" w:hAnsi="Arial" w:cs="Arial"/>
          <w:b/>
          <w:i/>
          <w:sz w:val="24"/>
          <w:szCs w:val="24"/>
        </w:rPr>
      </w:pPr>
      <w:r>
        <w:rPr>
          <w:rFonts w:ascii="Arial" w:hAnsi="Arial" w:cs="Arial"/>
          <w:b/>
          <w:i/>
          <w:sz w:val="24"/>
          <w:szCs w:val="24"/>
        </w:rPr>
        <w:t xml:space="preserve"> Les acteurs du marché</w:t>
      </w:r>
    </w:p>
    <w:p w14:paraId="094DECB6" w14:textId="77777777" w:rsidR="008862C7" w:rsidRDefault="008862C7" w:rsidP="008862C7">
      <w:pPr>
        <w:pStyle w:val="Paragraphedeliste"/>
        <w:numPr>
          <w:ilvl w:val="0"/>
          <w:numId w:val="61"/>
        </w:numPr>
        <w:spacing w:after="0" w:line="360" w:lineRule="auto"/>
        <w:jc w:val="both"/>
        <w:rPr>
          <w:rFonts w:ascii="Arial" w:hAnsi="Arial" w:cs="Arial"/>
          <w:sz w:val="24"/>
          <w:szCs w:val="24"/>
        </w:rPr>
      </w:pPr>
      <w:r>
        <w:rPr>
          <w:rFonts w:ascii="Arial" w:hAnsi="Arial" w:cs="Arial"/>
          <w:sz w:val="24"/>
          <w:szCs w:val="24"/>
        </w:rPr>
        <w:t>Quels sont les principaux pays importateurs du coton centrafricain ? (2000-2011) ;</w:t>
      </w:r>
    </w:p>
    <w:p w14:paraId="0D7EBEAA" w14:textId="77777777" w:rsidR="008862C7" w:rsidRDefault="008862C7" w:rsidP="008862C7">
      <w:pPr>
        <w:pStyle w:val="Paragraphedeliste"/>
        <w:numPr>
          <w:ilvl w:val="0"/>
          <w:numId w:val="61"/>
        </w:numPr>
        <w:spacing w:after="0" w:line="360" w:lineRule="auto"/>
        <w:jc w:val="both"/>
        <w:rPr>
          <w:rFonts w:ascii="Arial" w:hAnsi="Arial" w:cs="Arial"/>
          <w:sz w:val="24"/>
          <w:szCs w:val="24"/>
        </w:rPr>
      </w:pPr>
      <w:r>
        <w:rPr>
          <w:rFonts w:ascii="Arial" w:hAnsi="Arial" w:cs="Arial"/>
          <w:sz w:val="24"/>
          <w:szCs w:val="24"/>
        </w:rPr>
        <w:t xml:space="preserve">Comment s’organise la livraison du coton à ces importateurs ? </w:t>
      </w:r>
    </w:p>
    <w:p w14:paraId="52652A3E" w14:textId="77777777" w:rsidR="008862C7" w:rsidRDefault="008862C7" w:rsidP="008862C7">
      <w:pPr>
        <w:pStyle w:val="Paragraphedeliste"/>
        <w:numPr>
          <w:ilvl w:val="0"/>
          <w:numId w:val="61"/>
        </w:numPr>
        <w:spacing w:after="0" w:line="360" w:lineRule="auto"/>
        <w:jc w:val="both"/>
        <w:rPr>
          <w:rFonts w:ascii="Arial" w:hAnsi="Arial" w:cs="Arial"/>
          <w:sz w:val="24"/>
          <w:szCs w:val="24"/>
        </w:rPr>
      </w:pPr>
      <w:r>
        <w:rPr>
          <w:rFonts w:ascii="Arial" w:hAnsi="Arial" w:cs="Arial"/>
          <w:sz w:val="24"/>
          <w:szCs w:val="24"/>
        </w:rPr>
        <w:t xml:space="preserve">Quels sont les acteurs impliqués dans la commercialisation externe du coton centrafricain ? </w:t>
      </w:r>
    </w:p>
    <w:p w14:paraId="0E1265FE" w14:textId="77777777" w:rsidR="008862C7" w:rsidRDefault="008862C7" w:rsidP="008862C7">
      <w:pPr>
        <w:pStyle w:val="Paragraphedeliste"/>
        <w:numPr>
          <w:ilvl w:val="0"/>
          <w:numId w:val="61"/>
        </w:numPr>
        <w:spacing w:after="0" w:line="360" w:lineRule="auto"/>
        <w:jc w:val="both"/>
        <w:rPr>
          <w:rFonts w:ascii="Arial" w:hAnsi="Arial" w:cs="Arial"/>
          <w:sz w:val="24"/>
          <w:szCs w:val="24"/>
        </w:rPr>
      </w:pPr>
      <w:r>
        <w:rPr>
          <w:rFonts w:ascii="Arial" w:hAnsi="Arial" w:cs="Arial"/>
          <w:sz w:val="24"/>
          <w:szCs w:val="24"/>
        </w:rPr>
        <w:t xml:space="preserve">Qu’est-il advenu de la relation SOCADA – CFDT ? est-elle encore d’actualité avec la SDIC ? </w:t>
      </w:r>
    </w:p>
    <w:p w14:paraId="72DF701A" w14:textId="77777777" w:rsidR="008862C7" w:rsidRDefault="008862C7" w:rsidP="008862C7">
      <w:pPr>
        <w:pStyle w:val="Paragraphedeliste"/>
        <w:numPr>
          <w:ilvl w:val="0"/>
          <w:numId w:val="61"/>
        </w:numPr>
        <w:spacing w:after="0" w:line="360" w:lineRule="auto"/>
        <w:jc w:val="both"/>
        <w:rPr>
          <w:rFonts w:ascii="Arial" w:hAnsi="Arial" w:cs="Arial"/>
          <w:sz w:val="24"/>
          <w:szCs w:val="24"/>
        </w:rPr>
      </w:pPr>
      <w:r>
        <w:rPr>
          <w:rFonts w:ascii="Arial" w:hAnsi="Arial" w:cs="Arial"/>
          <w:sz w:val="24"/>
          <w:szCs w:val="24"/>
        </w:rPr>
        <w:t xml:space="preserve">Si non qui assure actuellement le rôle que la CFDT remplissait ? </w:t>
      </w:r>
    </w:p>
    <w:p w14:paraId="00DC8372" w14:textId="77777777" w:rsidR="008862C7" w:rsidRDefault="008862C7" w:rsidP="008862C7">
      <w:pPr>
        <w:pStyle w:val="Paragraphedeliste"/>
        <w:numPr>
          <w:ilvl w:val="1"/>
          <w:numId w:val="53"/>
        </w:numPr>
        <w:spacing w:after="0" w:line="360" w:lineRule="auto"/>
        <w:jc w:val="both"/>
        <w:rPr>
          <w:rFonts w:ascii="Arial" w:hAnsi="Arial" w:cs="Arial"/>
          <w:b/>
          <w:i/>
          <w:sz w:val="24"/>
          <w:szCs w:val="24"/>
        </w:rPr>
      </w:pPr>
      <w:r>
        <w:rPr>
          <w:rFonts w:ascii="Arial" w:hAnsi="Arial" w:cs="Arial"/>
          <w:b/>
          <w:i/>
          <w:sz w:val="24"/>
          <w:szCs w:val="24"/>
        </w:rPr>
        <w:t xml:space="preserve"> Les marchés </w:t>
      </w:r>
    </w:p>
    <w:p w14:paraId="26AB5268" w14:textId="77777777" w:rsidR="008862C7" w:rsidRDefault="008862C7" w:rsidP="008862C7">
      <w:pPr>
        <w:pStyle w:val="Paragraphedeliste"/>
        <w:numPr>
          <w:ilvl w:val="0"/>
          <w:numId w:val="62"/>
        </w:numPr>
        <w:spacing w:after="0" w:line="360" w:lineRule="auto"/>
        <w:jc w:val="both"/>
        <w:rPr>
          <w:rFonts w:ascii="Arial" w:hAnsi="Arial" w:cs="Arial"/>
          <w:sz w:val="24"/>
          <w:szCs w:val="24"/>
        </w:rPr>
      </w:pPr>
      <w:r>
        <w:rPr>
          <w:rFonts w:ascii="Arial" w:hAnsi="Arial" w:cs="Arial"/>
          <w:sz w:val="24"/>
          <w:szCs w:val="24"/>
        </w:rPr>
        <w:t xml:space="preserve">Quels sont les causes des diverses variation qu’enregistre les cours du coton ? </w:t>
      </w:r>
    </w:p>
    <w:p w14:paraId="158516C8" w14:textId="77777777" w:rsidR="008862C7" w:rsidRDefault="008862C7" w:rsidP="008862C7">
      <w:pPr>
        <w:pStyle w:val="Paragraphedeliste"/>
        <w:numPr>
          <w:ilvl w:val="0"/>
          <w:numId w:val="62"/>
        </w:numPr>
        <w:spacing w:after="0" w:line="360" w:lineRule="auto"/>
        <w:jc w:val="both"/>
        <w:rPr>
          <w:rFonts w:ascii="Arial" w:hAnsi="Arial" w:cs="Arial"/>
          <w:sz w:val="24"/>
          <w:szCs w:val="24"/>
        </w:rPr>
      </w:pPr>
      <w:r>
        <w:rPr>
          <w:rFonts w:ascii="Arial" w:hAnsi="Arial" w:cs="Arial"/>
          <w:sz w:val="24"/>
          <w:szCs w:val="24"/>
        </w:rPr>
        <w:t xml:space="preserve">Quels sont les différents systèmes de vente du coton centrafricain ? </w:t>
      </w:r>
    </w:p>
    <w:p w14:paraId="2DC7C213" w14:textId="77777777" w:rsidR="008862C7" w:rsidRDefault="008862C7" w:rsidP="008862C7">
      <w:pPr>
        <w:pStyle w:val="Paragraphedeliste"/>
        <w:numPr>
          <w:ilvl w:val="0"/>
          <w:numId w:val="62"/>
        </w:numPr>
        <w:spacing w:after="0" w:line="360" w:lineRule="auto"/>
        <w:jc w:val="both"/>
        <w:rPr>
          <w:rFonts w:ascii="Arial" w:hAnsi="Arial" w:cs="Arial"/>
          <w:sz w:val="24"/>
          <w:szCs w:val="24"/>
        </w:rPr>
      </w:pPr>
      <w:r>
        <w:rPr>
          <w:rFonts w:ascii="Arial" w:hAnsi="Arial" w:cs="Arial"/>
          <w:sz w:val="24"/>
          <w:szCs w:val="24"/>
        </w:rPr>
        <w:t xml:space="preserve">Quels sont les atouts et faiblesse du coton centrafricain sur le marché mondial ? </w:t>
      </w:r>
    </w:p>
    <w:p w14:paraId="636D12B4" w14:textId="77777777" w:rsidR="008862C7" w:rsidRDefault="008862C7" w:rsidP="008862C7">
      <w:pPr>
        <w:pStyle w:val="Paragraphedeliste"/>
        <w:numPr>
          <w:ilvl w:val="1"/>
          <w:numId w:val="53"/>
        </w:numPr>
        <w:spacing w:after="0" w:line="360" w:lineRule="auto"/>
        <w:jc w:val="both"/>
        <w:rPr>
          <w:rFonts w:ascii="Arial" w:hAnsi="Arial" w:cs="Arial"/>
          <w:b/>
          <w:i/>
          <w:sz w:val="24"/>
          <w:szCs w:val="24"/>
        </w:rPr>
      </w:pPr>
      <w:r>
        <w:rPr>
          <w:rFonts w:ascii="Arial" w:hAnsi="Arial" w:cs="Arial"/>
          <w:b/>
          <w:i/>
          <w:sz w:val="24"/>
          <w:szCs w:val="24"/>
        </w:rPr>
        <w:lastRenderedPageBreak/>
        <w:t xml:space="preserve"> Exportation </w:t>
      </w:r>
    </w:p>
    <w:p w14:paraId="6A7363A2" w14:textId="77777777" w:rsidR="008862C7" w:rsidRDefault="008862C7" w:rsidP="008862C7">
      <w:pPr>
        <w:pStyle w:val="Paragraphedeliste"/>
        <w:numPr>
          <w:ilvl w:val="0"/>
          <w:numId w:val="63"/>
        </w:numPr>
        <w:spacing w:after="0" w:line="360" w:lineRule="auto"/>
        <w:jc w:val="both"/>
        <w:rPr>
          <w:rFonts w:ascii="Arial" w:hAnsi="Arial" w:cs="Arial"/>
          <w:sz w:val="24"/>
          <w:szCs w:val="24"/>
        </w:rPr>
      </w:pPr>
      <w:r>
        <w:rPr>
          <w:rFonts w:ascii="Arial" w:hAnsi="Arial" w:cs="Arial"/>
          <w:sz w:val="24"/>
          <w:szCs w:val="24"/>
        </w:rPr>
        <w:t>Le coton exporté est il soumit à des taxes/subventions ? si oui lesquels si non pourquoi ?</w:t>
      </w:r>
    </w:p>
    <w:p w14:paraId="67C23715" w14:textId="77777777" w:rsidR="008862C7" w:rsidRDefault="008862C7" w:rsidP="008862C7">
      <w:pPr>
        <w:pStyle w:val="Paragraphedeliste"/>
        <w:numPr>
          <w:ilvl w:val="0"/>
          <w:numId w:val="63"/>
        </w:numPr>
        <w:spacing w:after="0" w:line="360" w:lineRule="auto"/>
        <w:jc w:val="both"/>
        <w:rPr>
          <w:rFonts w:ascii="Arial" w:hAnsi="Arial" w:cs="Arial"/>
          <w:sz w:val="24"/>
          <w:szCs w:val="24"/>
        </w:rPr>
      </w:pPr>
      <w:r>
        <w:rPr>
          <w:rFonts w:ascii="Arial" w:hAnsi="Arial" w:cs="Arial"/>
          <w:sz w:val="24"/>
          <w:szCs w:val="24"/>
        </w:rPr>
        <w:t>Quelle est votre appréciation du prix FOB, puis du prix CAF par rapport au prix aux producteurs ? (1980-2013)</w:t>
      </w:r>
    </w:p>
    <w:p w14:paraId="20C81CCA" w14:textId="77777777" w:rsidR="008862C7" w:rsidRDefault="008862C7" w:rsidP="008862C7">
      <w:pPr>
        <w:pStyle w:val="Paragraphedeliste"/>
        <w:numPr>
          <w:ilvl w:val="0"/>
          <w:numId w:val="63"/>
        </w:numPr>
        <w:spacing w:after="0" w:line="360" w:lineRule="auto"/>
        <w:jc w:val="both"/>
        <w:rPr>
          <w:rFonts w:ascii="Arial" w:hAnsi="Arial" w:cs="Arial"/>
          <w:sz w:val="24"/>
          <w:szCs w:val="24"/>
        </w:rPr>
      </w:pPr>
      <w:r>
        <w:rPr>
          <w:rFonts w:ascii="Arial" w:hAnsi="Arial" w:cs="Arial"/>
          <w:sz w:val="24"/>
          <w:szCs w:val="24"/>
        </w:rPr>
        <w:t xml:space="preserve">Même question pour le prix CAF par rapport au prix FOB du coton centrafricain ? </w:t>
      </w:r>
    </w:p>
    <w:p w14:paraId="38052409" w14:textId="77777777" w:rsidR="008862C7" w:rsidRDefault="008862C7" w:rsidP="008862C7">
      <w:pPr>
        <w:pStyle w:val="Paragraphedeliste"/>
        <w:numPr>
          <w:ilvl w:val="0"/>
          <w:numId w:val="63"/>
        </w:numPr>
        <w:spacing w:after="0" w:line="360" w:lineRule="auto"/>
        <w:jc w:val="both"/>
        <w:rPr>
          <w:rFonts w:ascii="Arial" w:hAnsi="Arial" w:cs="Arial"/>
          <w:sz w:val="24"/>
          <w:szCs w:val="24"/>
        </w:rPr>
      </w:pPr>
      <w:r>
        <w:rPr>
          <w:rFonts w:ascii="Arial" w:hAnsi="Arial" w:cs="Arial"/>
          <w:sz w:val="24"/>
          <w:szCs w:val="24"/>
        </w:rPr>
        <w:t>Pourquoi a-t-on préféré vendre le coton centrafricain au prix FOB et non au prix CAF ?</w:t>
      </w:r>
    </w:p>
    <w:p w14:paraId="38443F04" w14:textId="77777777" w:rsidR="008862C7" w:rsidRDefault="008862C7" w:rsidP="008862C7">
      <w:pPr>
        <w:pStyle w:val="Paragraphedeliste"/>
        <w:numPr>
          <w:ilvl w:val="0"/>
          <w:numId w:val="63"/>
        </w:numPr>
        <w:spacing w:after="0" w:line="360" w:lineRule="auto"/>
        <w:jc w:val="both"/>
        <w:rPr>
          <w:rFonts w:ascii="Arial" w:hAnsi="Arial" w:cs="Arial"/>
          <w:sz w:val="24"/>
          <w:szCs w:val="24"/>
        </w:rPr>
      </w:pPr>
      <w:r>
        <w:rPr>
          <w:rFonts w:ascii="Arial" w:hAnsi="Arial" w:cs="Arial"/>
          <w:sz w:val="24"/>
          <w:szCs w:val="24"/>
        </w:rPr>
        <w:t xml:space="preserve">Quelle est l’évolution du volume exporté et du gain de l’exportation du coton centrafricain ? (1980-2013) </w:t>
      </w:r>
    </w:p>
    <w:p w14:paraId="2D325CD0" w14:textId="77777777" w:rsidR="008862C7" w:rsidRDefault="008862C7" w:rsidP="008862C7">
      <w:pPr>
        <w:pStyle w:val="Paragraphedeliste"/>
        <w:numPr>
          <w:ilvl w:val="0"/>
          <w:numId w:val="53"/>
        </w:numPr>
        <w:spacing w:line="360" w:lineRule="auto"/>
        <w:jc w:val="both"/>
        <w:rPr>
          <w:rFonts w:ascii="Arial" w:hAnsi="Arial" w:cs="Arial"/>
          <w:b/>
          <w:sz w:val="24"/>
          <w:szCs w:val="24"/>
        </w:rPr>
      </w:pPr>
      <w:r>
        <w:rPr>
          <w:rFonts w:ascii="Arial" w:hAnsi="Arial" w:cs="Arial"/>
          <w:b/>
          <w:sz w:val="24"/>
          <w:szCs w:val="24"/>
        </w:rPr>
        <w:t xml:space="preserve">COMMERCIALISATION ET MARKETING </w:t>
      </w:r>
    </w:p>
    <w:p w14:paraId="001F61AC" w14:textId="77777777" w:rsidR="008862C7" w:rsidRDefault="008862C7" w:rsidP="008862C7">
      <w:pPr>
        <w:pStyle w:val="Paragraphedeliste"/>
        <w:numPr>
          <w:ilvl w:val="0"/>
          <w:numId w:val="64"/>
        </w:numPr>
        <w:spacing w:after="0" w:line="360" w:lineRule="auto"/>
        <w:jc w:val="both"/>
        <w:rPr>
          <w:rFonts w:ascii="Arial" w:hAnsi="Arial" w:cs="Arial"/>
          <w:sz w:val="24"/>
          <w:szCs w:val="24"/>
        </w:rPr>
      </w:pPr>
      <w:r>
        <w:rPr>
          <w:rFonts w:ascii="Arial" w:hAnsi="Arial" w:cs="Arial"/>
          <w:sz w:val="24"/>
          <w:szCs w:val="24"/>
        </w:rPr>
        <w:t xml:space="preserve">Comment s’établissent les contrats et l’exécution des ventes à l’exportation du coton centrafricain ? </w:t>
      </w:r>
    </w:p>
    <w:p w14:paraId="4EF2A93F" w14:textId="77777777" w:rsidR="008862C7" w:rsidRDefault="008862C7" w:rsidP="008862C7">
      <w:pPr>
        <w:pStyle w:val="Paragraphedeliste"/>
        <w:numPr>
          <w:ilvl w:val="0"/>
          <w:numId w:val="64"/>
        </w:numPr>
        <w:spacing w:after="0" w:line="360" w:lineRule="auto"/>
        <w:jc w:val="both"/>
        <w:rPr>
          <w:rFonts w:ascii="Arial" w:hAnsi="Arial" w:cs="Arial"/>
          <w:sz w:val="24"/>
          <w:szCs w:val="24"/>
        </w:rPr>
      </w:pPr>
      <w:r>
        <w:rPr>
          <w:rFonts w:ascii="Arial" w:hAnsi="Arial" w:cs="Arial"/>
          <w:sz w:val="24"/>
          <w:szCs w:val="24"/>
        </w:rPr>
        <w:t>Quels sont vos principales stratégies en termes de marketing commercial ?</w:t>
      </w:r>
    </w:p>
    <w:p w14:paraId="4E53C4B5" w14:textId="77777777" w:rsidR="008862C7" w:rsidRDefault="008862C7" w:rsidP="008862C7">
      <w:pPr>
        <w:pStyle w:val="Paragraphedeliste"/>
        <w:numPr>
          <w:ilvl w:val="0"/>
          <w:numId w:val="64"/>
        </w:numPr>
        <w:spacing w:after="0" w:line="360" w:lineRule="auto"/>
        <w:jc w:val="both"/>
        <w:rPr>
          <w:rFonts w:ascii="Arial" w:hAnsi="Arial" w:cs="Arial"/>
          <w:sz w:val="24"/>
          <w:szCs w:val="24"/>
        </w:rPr>
      </w:pPr>
      <w:r>
        <w:rPr>
          <w:rFonts w:ascii="Arial" w:hAnsi="Arial" w:cs="Arial"/>
          <w:sz w:val="24"/>
          <w:szCs w:val="24"/>
        </w:rPr>
        <w:t>Quelles sont selon vous, les principaux atouts du coton centrafricain sur le marché mondial ?.............................................................................................................</w:t>
      </w:r>
    </w:p>
    <w:p w14:paraId="7EAE2E6A" w14:textId="77777777" w:rsidR="008862C7" w:rsidRDefault="008862C7" w:rsidP="008862C7">
      <w:pPr>
        <w:pStyle w:val="Paragraphedeliste"/>
        <w:numPr>
          <w:ilvl w:val="0"/>
          <w:numId w:val="64"/>
        </w:numPr>
        <w:spacing w:after="0" w:line="360" w:lineRule="auto"/>
        <w:jc w:val="both"/>
        <w:rPr>
          <w:rFonts w:ascii="Arial" w:hAnsi="Arial" w:cs="Arial"/>
          <w:sz w:val="24"/>
          <w:szCs w:val="24"/>
        </w:rPr>
      </w:pPr>
      <w:r>
        <w:rPr>
          <w:rFonts w:ascii="Arial" w:hAnsi="Arial" w:cs="Arial"/>
          <w:sz w:val="24"/>
          <w:szCs w:val="24"/>
        </w:rPr>
        <w:t>Ses atouts sont-ils exploités dans l’établissement des contrats de vente ?</w:t>
      </w:r>
    </w:p>
    <w:p w14:paraId="7B379077" w14:textId="77777777" w:rsidR="008862C7" w:rsidRDefault="008862C7" w:rsidP="008862C7">
      <w:pPr>
        <w:pStyle w:val="Paragraphedeliste"/>
        <w:numPr>
          <w:ilvl w:val="0"/>
          <w:numId w:val="53"/>
        </w:numPr>
        <w:spacing w:after="0" w:line="360" w:lineRule="auto"/>
        <w:jc w:val="both"/>
        <w:rPr>
          <w:rFonts w:ascii="Arial" w:hAnsi="Arial" w:cs="Arial"/>
          <w:b/>
          <w:sz w:val="24"/>
          <w:szCs w:val="24"/>
        </w:rPr>
      </w:pPr>
      <w:r>
        <w:rPr>
          <w:rFonts w:ascii="Arial" w:hAnsi="Arial" w:cs="Arial"/>
          <w:b/>
          <w:sz w:val="24"/>
          <w:szCs w:val="24"/>
        </w:rPr>
        <w:t xml:space="preserve">CONTRAINTES </w:t>
      </w:r>
    </w:p>
    <w:p w14:paraId="1DAE1E18" w14:textId="77777777" w:rsidR="008862C7" w:rsidRDefault="008862C7" w:rsidP="008862C7">
      <w:pPr>
        <w:pStyle w:val="Paragraphedeliste"/>
        <w:numPr>
          <w:ilvl w:val="0"/>
          <w:numId w:val="65"/>
        </w:numPr>
        <w:spacing w:after="0" w:line="360" w:lineRule="auto"/>
        <w:jc w:val="both"/>
        <w:rPr>
          <w:rFonts w:ascii="Arial" w:hAnsi="Arial" w:cs="Arial"/>
          <w:sz w:val="24"/>
          <w:szCs w:val="24"/>
        </w:rPr>
      </w:pPr>
      <w:r>
        <w:rPr>
          <w:rFonts w:ascii="Arial" w:hAnsi="Arial" w:cs="Arial"/>
          <w:sz w:val="24"/>
          <w:szCs w:val="24"/>
        </w:rPr>
        <w:t>Quelles sont les principales contraintes auxquelles vous faites face dans la filière ?</w:t>
      </w:r>
    </w:p>
    <w:p w14:paraId="3BC531BF" w14:textId="77777777" w:rsidR="008862C7" w:rsidRDefault="008862C7" w:rsidP="008862C7">
      <w:pPr>
        <w:spacing w:line="360" w:lineRule="auto"/>
        <w:ind w:left="360"/>
        <w:jc w:val="both"/>
        <w:rPr>
          <w:rFonts w:ascii="Arial" w:hAnsi="Arial" w:cs="Arial"/>
          <w:sz w:val="24"/>
          <w:szCs w:val="24"/>
        </w:rPr>
      </w:pPr>
    </w:p>
    <w:p w14:paraId="17123A9D" w14:textId="77777777" w:rsidR="008862C7" w:rsidRDefault="008862C7" w:rsidP="008862C7">
      <w:pPr>
        <w:spacing w:line="360" w:lineRule="auto"/>
        <w:ind w:left="360"/>
        <w:jc w:val="both"/>
        <w:rPr>
          <w:rFonts w:ascii="Arial" w:hAnsi="Arial" w:cs="Arial"/>
          <w:sz w:val="24"/>
          <w:szCs w:val="24"/>
        </w:rPr>
      </w:pPr>
    </w:p>
    <w:p w14:paraId="315F64CA" w14:textId="77777777" w:rsidR="0031591B" w:rsidRDefault="0031591B" w:rsidP="008862C7">
      <w:pPr>
        <w:spacing w:line="360" w:lineRule="auto"/>
        <w:ind w:left="360"/>
        <w:jc w:val="both"/>
        <w:rPr>
          <w:rFonts w:ascii="Arial" w:hAnsi="Arial" w:cs="Arial"/>
          <w:sz w:val="24"/>
          <w:szCs w:val="24"/>
        </w:rPr>
      </w:pPr>
    </w:p>
    <w:p w14:paraId="33AA655C" w14:textId="77777777" w:rsidR="0031591B" w:rsidRDefault="0031591B" w:rsidP="008862C7">
      <w:pPr>
        <w:spacing w:line="360" w:lineRule="auto"/>
        <w:ind w:left="360"/>
        <w:jc w:val="both"/>
        <w:rPr>
          <w:rFonts w:ascii="Arial" w:hAnsi="Arial" w:cs="Arial"/>
          <w:sz w:val="24"/>
          <w:szCs w:val="24"/>
        </w:rPr>
      </w:pPr>
    </w:p>
    <w:p w14:paraId="2AFF5B4E" w14:textId="77777777" w:rsidR="0031591B" w:rsidRDefault="0031591B" w:rsidP="008862C7">
      <w:pPr>
        <w:spacing w:line="360" w:lineRule="auto"/>
        <w:ind w:left="360"/>
        <w:jc w:val="both"/>
        <w:rPr>
          <w:rFonts w:ascii="Arial" w:hAnsi="Arial" w:cs="Arial"/>
          <w:sz w:val="24"/>
          <w:szCs w:val="24"/>
        </w:rPr>
      </w:pPr>
    </w:p>
    <w:p w14:paraId="215E93DB" w14:textId="77777777" w:rsidR="0031591B" w:rsidRDefault="0031591B" w:rsidP="008862C7">
      <w:pPr>
        <w:spacing w:line="360" w:lineRule="auto"/>
        <w:ind w:left="360"/>
        <w:jc w:val="both"/>
        <w:rPr>
          <w:rFonts w:ascii="Arial" w:hAnsi="Arial" w:cs="Arial"/>
          <w:sz w:val="24"/>
          <w:szCs w:val="24"/>
        </w:rPr>
      </w:pPr>
    </w:p>
    <w:p w14:paraId="445B0E34" w14:textId="77777777" w:rsidR="0031591B" w:rsidRDefault="0031591B" w:rsidP="008862C7">
      <w:pPr>
        <w:spacing w:line="360" w:lineRule="auto"/>
        <w:ind w:left="360"/>
        <w:jc w:val="both"/>
        <w:rPr>
          <w:rFonts w:ascii="Arial" w:hAnsi="Arial" w:cs="Arial"/>
          <w:sz w:val="24"/>
          <w:szCs w:val="24"/>
        </w:rPr>
      </w:pPr>
    </w:p>
    <w:p w14:paraId="743CABF7" w14:textId="77777777" w:rsidR="0031591B" w:rsidRDefault="0031591B" w:rsidP="008862C7">
      <w:pPr>
        <w:spacing w:line="360" w:lineRule="auto"/>
        <w:ind w:left="360"/>
        <w:jc w:val="both"/>
        <w:rPr>
          <w:rFonts w:ascii="Arial" w:hAnsi="Arial" w:cs="Arial"/>
          <w:sz w:val="24"/>
          <w:szCs w:val="24"/>
        </w:rPr>
      </w:pPr>
    </w:p>
    <w:p w14:paraId="569E2315" w14:textId="77777777" w:rsidR="0031591B" w:rsidRDefault="0031591B" w:rsidP="008862C7">
      <w:pPr>
        <w:spacing w:line="360" w:lineRule="auto"/>
        <w:ind w:left="360"/>
        <w:jc w:val="both"/>
        <w:rPr>
          <w:rFonts w:ascii="Arial" w:hAnsi="Arial" w:cs="Arial"/>
          <w:sz w:val="24"/>
          <w:szCs w:val="24"/>
        </w:rPr>
      </w:pPr>
    </w:p>
    <w:p w14:paraId="0BB4BC51" w14:textId="77777777" w:rsidR="0031591B" w:rsidRDefault="0031591B" w:rsidP="008862C7">
      <w:pPr>
        <w:spacing w:line="360" w:lineRule="auto"/>
        <w:ind w:left="360"/>
        <w:jc w:val="both"/>
        <w:rPr>
          <w:rFonts w:ascii="Arial" w:hAnsi="Arial" w:cs="Arial"/>
          <w:sz w:val="24"/>
          <w:szCs w:val="24"/>
        </w:rPr>
      </w:pPr>
    </w:p>
    <w:p w14:paraId="2FA9212E" w14:textId="77777777" w:rsidR="0031591B" w:rsidRDefault="0031591B" w:rsidP="008862C7">
      <w:pPr>
        <w:spacing w:line="360" w:lineRule="auto"/>
        <w:ind w:left="360"/>
        <w:jc w:val="both"/>
        <w:rPr>
          <w:rFonts w:ascii="Arial" w:hAnsi="Arial" w:cs="Arial"/>
          <w:sz w:val="24"/>
          <w:szCs w:val="24"/>
        </w:rPr>
      </w:pPr>
    </w:p>
    <w:p w14:paraId="066AAC91" w14:textId="77777777" w:rsidR="0031591B" w:rsidRDefault="0031591B" w:rsidP="008862C7">
      <w:pPr>
        <w:spacing w:line="360" w:lineRule="auto"/>
        <w:ind w:left="360"/>
        <w:jc w:val="both"/>
        <w:rPr>
          <w:rFonts w:ascii="Arial" w:hAnsi="Arial" w:cs="Arial"/>
          <w:sz w:val="24"/>
          <w:szCs w:val="24"/>
        </w:rPr>
      </w:pPr>
    </w:p>
    <w:p w14:paraId="456AFBC2" w14:textId="77777777" w:rsidR="008862C7" w:rsidRDefault="008862C7" w:rsidP="008862C7">
      <w:pPr>
        <w:jc w:val="center"/>
        <w:rPr>
          <w:rFonts w:ascii="Arial" w:hAnsi="Arial" w:cs="Arial"/>
          <w:b/>
          <w:sz w:val="24"/>
          <w:szCs w:val="24"/>
        </w:rPr>
      </w:pPr>
      <w:r>
        <w:rPr>
          <w:rFonts w:ascii="Arial" w:hAnsi="Arial" w:cs="Arial"/>
          <w:b/>
          <w:sz w:val="24"/>
          <w:szCs w:val="24"/>
        </w:rPr>
        <w:lastRenderedPageBreak/>
        <w:t xml:space="preserve">TABLE DES MATIERES </w:t>
      </w:r>
    </w:p>
    <w:p w14:paraId="34492D73" w14:textId="77777777" w:rsidR="008862C7" w:rsidRDefault="008862C7" w:rsidP="008862C7">
      <w:pPr>
        <w:pStyle w:val="TM1"/>
        <w:rPr>
          <w:rFonts w:ascii="Calibri" w:hAnsi="Calibri" w:cs="Times New Roman"/>
          <w:b w:val="0"/>
          <w:bCs w:val="0"/>
          <w:caps w:val="0"/>
          <w:sz w:val="22"/>
          <w:szCs w:val="22"/>
        </w:rPr>
      </w:pPr>
      <w:r>
        <w:rPr>
          <w:iCs/>
        </w:rPr>
        <w:fldChar w:fldCharType="begin"/>
      </w:r>
      <w:r>
        <w:rPr>
          <w:iCs/>
        </w:rPr>
        <w:instrText xml:space="preserve"> TOC \o \h \z \u </w:instrText>
      </w:r>
      <w:r>
        <w:rPr>
          <w:iCs/>
        </w:rPr>
        <w:fldChar w:fldCharType="separate"/>
      </w:r>
      <w:hyperlink r:id="rId45" w:anchor="_Toc395107507" w:history="1">
        <w:r>
          <w:rPr>
            <w:rStyle w:val="Lienhypertexte"/>
          </w:rPr>
          <w:t>INTRODUCTION GENERALE</w:t>
        </w:r>
        <w:r>
          <w:rPr>
            <w:rStyle w:val="Lienhypertexte"/>
            <w:webHidden/>
          </w:rPr>
          <w:tab/>
        </w:r>
        <w:r>
          <w:rPr>
            <w:rStyle w:val="Lienhypertexte"/>
            <w:webHidden/>
          </w:rPr>
          <w:fldChar w:fldCharType="begin"/>
        </w:r>
        <w:r>
          <w:rPr>
            <w:rStyle w:val="Lienhypertexte"/>
            <w:webHidden/>
          </w:rPr>
          <w:instrText xml:space="preserve"> PAGEREF _Toc395107507 \h </w:instrText>
        </w:r>
        <w:r>
          <w:rPr>
            <w:rStyle w:val="Lienhypertexte"/>
            <w:webHidden/>
          </w:rPr>
        </w:r>
        <w:r>
          <w:rPr>
            <w:rStyle w:val="Lienhypertexte"/>
            <w:webHidden/>
          </w:rPr>
          <w:fldChar w:fldCharType="separate"/>
        </w:r>
        <w:r w:rsidR="00AF344F">
          <w:rPr>
            <w:rStyle w:val="Lienhypertexte"/>
            <w:webHidden/>
          </w:rPr>
          <w:t>11</w:t>
        </w:r>
        <w:r>
          <w:rPr>
            <w:rStyle w:val="Lienhypertexte"/>
            <w:webHidden/>
          </w:rPr>
          <w:fldChar w:fldCharType="end"/>
        </w:r>
      </w:hyperlink>
    </w:p>
    <w:p w14:paraId="766164CC" w14:textId="77777777" w:rsidR="008862C7" w:rsidRDefault="00EA1CF0" w:rsidP="008862C7">
      <w:pPr>
        <w:pStyle w:val="TM3"/>
        <w:tabs>
          <w:tab w:val="clear" w:pos="708"/>
          <w:tab w:val="left" w:pos="880"/>
          <w:tab w:val="right" w:leader="dot" w:pos="9062"/>
        </w:tabs>
        <w:rPr>
          <w:i w:val="0"/>
          <w:iCs w:val="0"/>
          <w:noProof/>
          <w:sz w:val="22"/>
          <w:szCs w:val="22"/>
        </w:rPr>
      </w:pPr>
      <w:hyperlink r:id="rId46" w:anchor="_Toc395107508" w:history="1">
        <w:r w:rsidR="008862C7">
          <w:rPr>
            <w:rStyle w:val="Lienhypertexte"/>
            <w:rFonts w:ascii="Arial" w:hAnsi="Arial" w:cs="Arial"/>
            <w:b/>
            <w:noProof/>
          </w:rPr>
          <w:t>1.</w:t>
        </w:r>
        <w:r w:rsidR="008862C7">
          <w:rPr>
            <w:rStyle w:val="Lienhypertexte"/>
            <w:i w:val="0"/>
            <w:iCs w:val="0"/>
            <w:noProof/>
            <w:sz w:val="22"/>
            <w:szCs w:val="22"/>
          </w:rPr>
          <w:tab/>
        </w:r>
        <w:r w:rsidR="008862C7">
          <w:rPr>
            <w:rStyle w:val="Lienhypertexte"/>
            <w:rFonts w:ascii="Arial" w:hAnsi="Arial" w:cs="Arial"/>
            <w:b/>
            <w:noProof/>
          </w:rPr>
          <w:t>Contexte de l’étude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_Toc395107508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w:t>
        </w:r>
        <w:r w:rsidR="008862C7">
          <w:rPr>
            <w:rStyle w:val="Lienhypertexte"/>
            <w:noProof/>
            <w:webHidden/>
          </w:rPr>
          <w:fldChar w:fldCharType="end"/>
        </w:r>
      </w:hyperlink>
    </w:p>
    <w:p w14:paraId="1164E604" w14:textId="77777777" w:rsidR="008862C7" w:rsidRDefault="00EA1CF0" w:rsidP="008862C7">
      <w:pPr>
        <w:pStyle w:val="TM3"/>
        <w:tabs>
          <w:tab w:val="clear" w:pos="708"/>
          <w:tab w:val="left" w:pos="880"/>
          <w:tab w:val="right" w:leader="dot" w:pos="9062"/>
        </w:tabs>
        <w:rPr>
          <w:i w:val="0"/>
          <w:iCs w:val="0"/>
          <w:noProof/>
          <w:sz w:val="22"/>
          <w:szCs w:val="22"/>
        </w:rPr>
      </w:pPr>
      <w:hyperlink r:id="rId47" w:anchor="_Toc395107509" w:history="1">
        <w:r w:rsidR="008862C7">
          <w:rPr>
            <w:rStyle w:val="Lienhypertexte"/>
            <w:rFonts w:ascii="Arial" w:hAnsi="Arial" w:cs="Arial"/>
            <w:b/>
            <w:noProof/>
            <w:lang w:bidi="hi-IN"/>
          </w:rPr>
          <w:t>2.</w:t>
        </w:r>
        <w:r w:rsidR="008862C7">
          <w:rPr>
            <w:rStyle w:val="Lienhypertexte"/>
            <w:i w:val="0"/>
            <w:iCs w:val="0"/>
            <w:noProof/>
            <w:sz w:val="22"/>
            <w:szCs w:val="22"/>
          </w:rPr>
          <w:tab/>
        </w:r>
        <w:r w:rsidR="008862C7">
          <w:rPr>
            <w:rStyle w:val="Lienhypertexte"/>
            <w:rFonts w:ascii="Arial" w:hAnsi="Arial" w:cs="Arial"/>
            <w:b/>
            <w:noProof/>
            <w:lang w:bidi="hi-IN"/>
          </w:rPr>
          <w:t>Problématique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_Toc395107509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w:t>
        </w:r>
        <w:r w:rsidR="008862C7">
          <w:rPr>
            <w:rStyle w:val="Lienhypertexte"/>
            <w:noProof/>
            <w:webHidden/>
          </w:rPr>
          <w:fldChar w:fldCharType="end"/>
        </w:r>
      </w:hyperlink>
    </w:p>
    <w:p w14:paraId="66D8DD53" w14:textId="77777777" w:rsidR="008862C7" w:rsidRDefault="00EA1CF0" w:rsidP="008862C7">
      <w:pPr>
        <w:pStyle w:val="TM3"/>
        <w:tabs>
          <w:tab w:val="clear" w:pos="708"/>
          <w:tab w:val="left" w:pos="880"/>
          <w:tab w:val="right" w:leader="dot" w:pos="9062"/>
        </w:tabs>
        <w:rPr>
          <w:i w:val="0"/>
          <w:iCs w:val="0"/>
          <w:noProof/>
          <w:sz w:val="22"/>
          <w:szCs w:val="22"/>
        </w:rPr>
      </w:pPr>
      <w:hyperlink r:id="rId48" w:anchor="_Toc395107510" w:history="1">
        <w:r w:rsidR="008862C7">
          <w:rPr>
            <w:rStyle w:val="Lienhypertexte"/>
            <w:rFonts w:ascii="Arial" w:hAnsi="Arial" w:cs="Arial"/>
            <w:b/>
            <w:noProof/>
            <w:lang w:bidi="hi-IN"/>
          </w:rPr>
          <w:t>3.</w:t>
        </w:r>
        <w:r w:rsidR="008862C7">
          <w:rPr>
            <w:rStyle w:val="Lienhypertexte"/>
            <w:i w:val="0"/>
            <w:iCs w:val="0"/>
            <w:noProof/>
            <w:sz w:val="22"/>
            <w:szCs w:val="22"/>
          </w:rPr>
          <w:tab/>
        </w:r>
        <w:r w:rsidR="008862C7">
          <w:rPr>
            <w:rStyle w:val="Lienhypertexte"/>
            <w:rFonts w:ascii="Arial" w:hAnsi="Arial" w:cs="Arial"/>
            <w:b/>
            <w:noProof/>
            <w:lang w:bidi="hi-IN"/>
          </w:rPr>
          <w:t>Objectifs, hypothèses et modèles d’analyse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w:t>
        </w:r>
        <w:r w:rsidR="008862C7">
          <w:rPr>
            <w:rStyle w:val="Lienhypertexte"/>
            <w:noProof/>
            <w:webHidden/>
          </w:rPr>
          <w:fldChar w:fldCharType="end"/>
        </w:r>
      </w:hyperlink>
    </w:p>
    <w:p w14:paraId="28AFA9FF" w14:textId="77777777" w:rsidR="008862C7" w:rsidRDefault="00EA1CF0" w:rsidP="008862C7">
      <w:pPr>
        <w:pStyle w:val="TM3"/>
        <w:tabs>
          <w:tab w:val="clear" w:pos="708"/>
          <w:tab w:val="left" w:pos="880"/>
          <w:tab w:val="right" w:leader="dot" w:pos="9062"/>
        </w:tabs>
        <w:rPr>
          <w:i w:val="0"/>
          <w:iCs w:val="0"/>
          <w:noProof/>
          <w:sz w:val="22"/>
          <w:szCs w:val="22"/>
        </w:rPr>
      </w:pPr>
      <w:hyperlink r:id="rId49" w:anchor="_Toc395107511" w:history="1">
        <w:r w:rsidR="008862C7">
          <w:rPr>
            <w:rStyle w:val="Lienhypertexte"/>
            <w:rFonts w:ascii="Arial" w:hAnsi="Arial" w:cs="Arial"/>
            <w:b/>
            <w:noProof/>
            <w:lang w:bidi="hi-IN"/>
          </w:rPr>
          <w:t>4.</w:t>
        </w:r>
        <w:r w:rsidR="008862C7">
          <w:rPr>
            <w:rStyle w:val="Lienhypertexte"/>
            <w:i w:val="0"/>
            <w:iCs w:val="0"/>
            <w:noProof/>
            <w:sz w:val="22"/>
            <w:szCs w:val="22"/>
          </w:rPr>
          <w:tab/>
        </w:r>
        <w:r w:rsidR="008862C7">
          <w:rPr>
            <w:rStyle w:val="Lienhypertexte"/>
            <w:rFonts w:ascii="Arial" w:hAnsi="Arial" w:cs="Arial"/>
            <w:b/>
            <w:noProof/>
            <w:lang w:bidi="hi-IN"/>
          </w:rPr>
          <w:t>Méthodologie de l’étude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16</w:t>
        </w:r>
        <w:r w:rsidR="008862C7">
          <w:rPr>
            <w:rStyle w:val="Lienhypertexte"/>
            <w:noProof/>
            <w:webHidden/>
          </w:rPr>
          <w:fldChar w:fldCharType="end"/>
        </w:r>
      </w:hyperlink>
    </w:p>
    <w:p w14:paraId="7619643D" w14:textId="77777777" w:rsidR="008862C7" w:rsidRDefault="00EA1CF0" w:rsidP="008862C7">
      <w:pPr>
        <w:pStyle w:val="TM4"/>
        <w:tabs>
          <w:tab w:val="clear" w:pos="708"/>
          <w:tab w:val="left" w:pos="1320"/>
          <w:tab w:val="right" w:leader="dot" w:pos="9062"/>
        </w:tabs>
        <w:rPr>
          <w:noProof/>
          <w:sz w:val="22"/>
          <w:szCs w:val="22"/>
        </w:rPr>
      </w:pPr>
      <w:hyperlink r:id="rId50" w:anchor="_Toc395107512" w:history="1">
        <w:r w:rsidR="008862C7">
          <w:rPr>
            <w:rStyle w:val="Lienhypertexte"/>
            <w:rFonts w:ascii="Arial" w:eastAsia="WenQuanYi Micro Hei" w:hAnsi="Arial" w:cs="Arial"/>
            <w:b/>
            <w:noProof/>
            <w:lang w:eastAsia="zh-CN" w:bidi="hi-IN"/>
          </w:rPr>
          <w:t>4.1.</w:t>
        </w:r>
        <w:r w:rsidR="008862C7">
          <w:rPr>
            <w:rStyle w:val="Lienhypertexte"/>
            <w:noProof/>
            <w:sz w:val="22"/>
            <w:szCs w:val="22"/>
          </w:rPr>
          <w:tab/>
        </w:r>
        <w:r w:rsidR="008862C7">
          <w:rPr>
            <w:rStyle w:val="Lienhypertexte"/>
            <w:rFonts w:ascii="Arial" w:eastAsia="WenQuanYi Micro Hei" w:hAnsi="Arial" w:cs="Arial"/>
            <w:b/>
            <w:noProof/>
            <w:lang w:eastAsia="zh-CN" w:bidi="hi-IN"/>
          </w:rPr>
          <w:t>Délimitation du champ de l’étude et échantillonnage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17</w:t>
        </w:r>
        <w:r w:rsidR="008862C7">
          <w:rPr>
            <w:rStyle w:val="Lienhypertexte"/>
            <w:noProof/>
            <w:webHidden/>
          </w:rPr>
          <w:fldChar w:fldCharType="end"/>
        </w:r>
      </w:hyperlink>
    </w:p>
    <w:p w14:paraId="472778BD" w14:textId="77777777" w:rsidR="008862C7" w:rsidRDefault="00EA1CF0" w:rsidP="008862C7">
      <w:pPr>
        <w:pStyle w:val="TM4"/>
        <w:tabs>
          <w:tab w:val="clear" w:pos="708"/>
          <w:tab w:val="left" w:pos="1320"/>
          <w:tab w:val="right" w:leader="dot" w:pos="9062"/>
        </w:tabs>
        <w:rPr>
          <w:noProof/>
          <w:sz w:val="22"/>
          <w:szCs w:val="22"/>
        </w:rPr>
      </w:pPr>
      <w:hyperlink r:id="rId51" w:anchor="_Toc395107513" w:history="1">
        <w:r w:rsidR="008862C7">
          <w:rPr>
            <w:rStyle w:val="Lienhypertexte"/>
            <w:rFonts w:ascii="Arial" w:eastAsia="WenQuanYi Micro Hei" w:hAnsi="Arial" w:cs="Arial"/>
            <w:b/>
            <w:noProof/>
            <w:lang w:eastAsia="zh-CN" w:bidi="hi-IN"/>
          </w:rPr>
          <w:t>4.2.</w:t>
        </w:r>
        <w:r w:rsidR="008862C7">
          <w:rPr>
            <w:rStyle w:val="Lienhypertexte"/>
            <w:noProof/>
            <w:sz w:val="22"/>
            <w:szCs w:val="22"/>
          </w:rPr>
          <w:tab/>
        </w:r>
        <w:r w:rsidR="008862C7">
          <w:rPr>
            <w:rStyle w:val="Lienhypertexte"/>
            <w:rFonts w:ascii="Arial" w:eastAsia="WenQuanYi Micro Hei" w:hAnsi="Arial" w:cs="Arial"/>
            <w:b/>
            <w:noProof/>
            <w:lang w:eastAsia="zh-CN"/>
          </w:rPr>
          <w:t xml:space="preserve">Réalisation de l’enquête, </w:t>
        </w:r>
        <w:r w:rsidR="008862C7">
          <w:rPr>
            <w:rStyle w:val="Lienhypertexte"/>
            <w:rFonts w:ascii="Arial" w:eastAsia="WenQuanYi Micro Hei" w:hAnsi="Arial" w:cs="Arial"/>
            <w:b/>
            <w:noProof/>
            <w:lang w:eastAsia="zh-CN" w:bidi="hi-IN"/>
          </w:rPr>
          <w:t>dépouillement et analyse des données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17</w:t>
        </w:r>
        <w:r w:rsidR="008862C7">
          <w:rPr>
            <w:rStyle w:val="Lienhypertexte"/>
            <w:noProof/>
            <w:webHidden/>
          </w:rPr>
          <w:fldChar w:fldCharType="end"/>
        </w:r>
      </w:hyperlink>
    </w:p>
    <w:p w14:paraId="504FB8CF" w14:textId="77777777" w:rsidR="008862C7" w:rsidRDefault="00EA1CF0" w:rsidP="008862C7">
      <w:pPr>
        <w:pStyle w:val="TM3"/>
        <w:tabs>
          <w:tab w:val="clear" w:pos="708"/>
          <w:tab w:val="left" w:pos="880"/>
          <w:tab w:val="right" w:leader="dot" w:pos="9062"/>
        </w:tabs>
        <w:rPr>
          <w:i w:val="0"/>
          <w:iCs w:val="0"/>
          <w:noProof/>
          <w:sz w:val="22"/>
          <w:szCs w:val="22"/>
        </w:rPr>
      </w:pPr>
      <w:hyperlink r:id="rId52" w:anchor="_Toc395107514" w:history="1">
        <w:r w:rsidR="008862C7">
          <w:rPr>
            <w:rStyle w:val="Lienhypertexte"/>
            <w:rFonts w:ascii="Arial" w:hAnsi="Arial" w:cs="Arial"/>
            <w:b/>
            <w:noProof/>
          </w:rPr>
          <w:t>5.</w:t>
        </w:r>
        <w:r w:rsidR="008862C7">
          <w:rPr>
            <w:rStyle w:val="Lienhypertexte"/>
            <w:i w:val="0"/>
            <w:iCs w:val="0"/>
            <w:noProof/>
            <w:sz w:val="22"/>
            <w:szCs w:val="22"/>
          </w:rPr>
          <w:tab/>
        </w:r>
        <w:r w:rsidR="008862C7">
          <w:rPr>
            <w:rStyle w:val="Lienhypertexte"/>
            <w:rFonts w:ascii="Arial" w:hAnsi="Arial" w:cs="Arial"/>
            <w:b/>
            <w:noProof/>
          </w:rPr>
          <w:t>Intérêt du sujet et canevas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18</w:t>
        </w:r>
        <w:r w:rsidR="008862C7">
          <w:rPr>
            <w:rStyle w:val="Lienhypertexte"/>
            <w:noProof/>
            <w:webHidden/>
          </w:rPr>
          <w:fldChar w:fldCharType="end"/>
        </w:r>
      </w:hyperlink>
    </w:p>
    <w:p w14:paraId="1D71C859" w14:textId="77777777" w:rsidR="008862C7" w:rsidRDefault="00EA1CF0" w:rsidP="008862C7">
      <w:pPr>
        <w:pStyle w:val="TM1"/>
        <w:rPr>
          <w:rFonts w:ascii="Calibri" w:hAnsi="Calibri" w:cs="Times New Roman"/>
          <w:b w:val="0"/>
          <w:bCs w:val="0"/>
          <w:caps w:val="0"/>
          <w:sz w:val="22"/>
          <w:szCs w:val="22"/>
        </w:rPr>
      </w:pPr>
      <w:hyperlink r:id="rId53" w:anchor="_Toc395107515" w:history="1">
        <w:r w:rsidR="008862C7">
          <w:rPr>
            <w:rStyle w:val="Lienhypertexte"/>
          </w:rPr>
          <w:t>PREMIERE PARTIE : CADRE CONCEPTUEL ET THEORIQUE DE LA COMPETITIVITE ET DYNAMIQUE DE LA FILIERE COTONNIERE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_Toc395107515 \h </w:instrText>
        </w:r>
        <w:r w:rsidR="008862C7">
          <w:rPr>
            <w:rStyle w:val="Lienhypertexte"/>
            <w:webHidden/>
          </w:rPr>
        </w:r>
        <w:r w:rsidR="008862C7">
          <w:rPr>
            <w:rStyle w:val="Lienhypertexte"/>
            <w:webHidden/>
          </w:rPr>
          <w:fldChar w:fldCharType="separate"/>
        </w:r>
        <w:r w:rsidR="00AF344F">
          <w:rPr>
            <w:rStyle w:val="Lienhypertexte"/>
            <w:webHidden/>
          </w:rPr>
          <w:t>19</w:t>
        </w:r>
        <w:r w:rsidR="008862C7">
          <w:rPr>
            <w:rStyle w:val="Lienhypertexte"/>
            <w:webHidden/>
          </w:rPr>
          <w:fldChar w:fldCharType="end"/>
        </w:r>
      </w:hyperlink>
    </w:p>
    <w:p w14:paraId="311FCE6E" w14:textId="77777777" w:rsidR="008862C7" w:rsidRDefault="00EA1CF0" w:rsidP="008862C7">
      <w:pPr>
        <w:pStyle w:val="TM2"/>
        <w:rPr>
          <w:rFonts w:ascii="Calibri" w:hAnsi="Calibri" w:cs="Times New Roman"/>
          <w:b w:val="0"/>
          <w:sz w:val="22"/>
          <w:szCs w:val="22"/>
          <w:lang w:bidi="ar-SA"/>
        </w:rPr>
      </w:pPr>
      <w:hyperlink r:id="rId54" w:anchor="_Toc395107516" w:history="1">
        <w:r w:rsidR="008862C7">
          <w:rPr>
            <w:rStyle w:val="Lienhypertexte"/>
          </w:rPr>
          <w:t>CHAPITRE I APPROCHE CONCEPTUELLE ET THEORIQUE DE LA COMPETITIVITE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_Toc395107516 \h </w:instrText>
        </w:r>
        <w:r w:rsidR="008862C7">
          <w:rPr>
            <w:rStyle w:val="Lienhypertexte"/>
            <w:webHidden/>
          </w:rPr>
        </w:r>
        <w:r w:rsidR="008862C7">
          <w:rPr>
            <w:rStyle w:val="Lienhypertexte"/>
            <w:webHidden/>
          </w:rPr>
          <w:fldChar w:fldCharType="separate"/>
        </w:r>
        <w:r w:rsidR="00AF344F">
          <w:rPr>
            <w:rStyle w:val="Lienhypertexte"/>
            <w:webHidden/>
          </w:rPr>
          <w:t>21</w:t>
        </w:r>
        <w:r w:rsidR="008862C7">
          <w:rPr>
            <w:rStyle w:val="Lienhypertexte"/>
            <w:webHidden/>
          </w:rPr>
          <w:fldChar w:fldCharType="end"/>
        </w:r>
      </w:hyperlink>
    </w:p>
    <w:p w14:paraId="2C3F3278" w14:textId="77777777" w:rsidR="008862C7" w:rsidRDefault="00EA1CF0" w:rsidP="008862C7">
      <w:pPr>
        <w:pStyle w:val="TM3"/>
        <w:tabs>
          <w:tab w:val="clear" w:pos="708"/>
          <w:tab w:val="right" w:leader="dot" w:pos="9062"/>
        </w:tabs>
        <w:rPr>
          <w:i w:val="0"/>
          <w:iCs w:val="0"/>
          <w:noProof/>
          <w:sz w:val="22"/>
          <w:szCs w:val="22"/>
        </w:rPr>
      </w:pPr>
      <w:hyperlink r:id="rId55" w:anchor="_Toc395107517" w:history="1">
        <w:r w:rsidR="008862C7">
          <w:rPr>
            <w:rStyle w:val="Lienhypertexte"/>
            <w:b/>
            <w:noProof/>
          </w:rPr>
          <w:t>INTRODUCTION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22</w:t>
        </w:r>
        <w:r w:rsidR="008862C7">
          <w:rPr>
            <w:rStyle w:val="Lienhypertexte"/>
            <w:noProof/>
            <w:webHidden/>
          </w:rPr>
          <w:fldChar w:fldCharType="end"/>
        </w:r>
      </w:hyperlink>
    </w:p>
    <w:p w14:paraId="0F7FFDA3" w14:textId="77777777" w:rsidR="008862C7" w:rsidRDefault="00EA1CF0" w:rsidP="008862C7">
      <w:pPr>
        <w:pStyle w:val="TM3"/>
        <w:tabs>
          <w:tab w:val="clear" w:pos="708"/>
          <w:tab w:val="right" w:leader="dot" w:pos="9062"/>
        </w:tabs>
        <w:rPr>
          <w:i w:val="0"/>
          <w:iCs w:val="0"/>
          <w:noProof/>
          <w:sz w:val="22"/>
          <w:szCs w:val="22"/>
        </w:rPr>
      </w:pPr>
      <w:hyperlink r:id="rId56" w:anchor="_Toc395107518" w:history="1">
        <w:r w:rsidR="008862C7">
          <w:rPr>
            <w:rStyle w:val="Lienhypertexte"/>
            <w:b/>
            <w:noProof/>
          </w:rPr>
          <w:t>I. APPROCHE CONCEPTUELLE DE L’ETUDE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22</w:t>
        </w:r>
        <w:r w:rsidR="008862C7">
          <w:rPr>
            <w:rStyle w:val="Lienhypertexte"/>
            <w:noProof/>
            <w:webHidden/>
          </w:rPr>
          <w:fldChar w:fldCharType="end"/>
        </w:r>
      </w:hyperlink>
    </w:p>
    <w:p w14:paraId="3C321A1A" w14:textId="77777777" w:rsidR="008862C7" w:rsidRDefault="00EA1CF0" w:rsidP="008862C7">
      <w:pPr>
        <w:pStyle w:val="TM4"/>
        <w:tabs>
          <w:tab w:val="clear" w:pos="708"/>
          <w:tab w:val="left" w:pos="1320"/>
          <w:tab w:val="right" w:leader="dot" w:pos="9062"/>
        </w:tabs>
        <w:rPr>
          <w:noProof/>
          <w:sz w:val="22"/>
          <w:szCs w:val="22"/>
        </w:rPr>
      </w:pPr>
      <w:hyperlink r:id="rId57" w:anchor="_Toc395107519" w:history="1">
        <w:r w:rsidR="008862C7">
          <w:rPr>
            <w:rStyle w:val="Lienhypertexte"/>
            <w:rFonts w:ascii="Arial" w:hAnsi="Arial" w:cs="Arial"/>
            <w:noProof/>
          </w:rPr>
          <w:t>1.1.</w:t>
        </w:r>
        <w:r w:rsidR="008862C7">
          <w:rPr>
            <w:rStyle w:val="Lienhypertexte"/>
            <w:noProof/>
            <w:sz w:val="22"/>
            <w:szCs w:val="22"/>
          </w:rPr>
          <w:tab/>
        </w:r>
        <w:r w:rsidR="008862C7">
          <w:rPr>
            <w:rStyle w:val="Lienhypertexte"/>
            <w:rFonts w:ascii="Arial" w:hAnsi="Arial" w:cs="Arial"/>
            <w:noProof/>
          </w:rPr>
          <w:t>Définitions, typologie et notions connexes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_Toc395107519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22</w:t>
        </w:r>
        <w:r w:rsidR="008862C7">
          <w:rPr>
            <w:rStyle w:val="Lienhypertexte"/>
            <w:noProof/>
            <w:webHidden/>
          </w:rPr>
          <w:fldChar w:fldCharType="end"/>
        </w:r>
      </w:hyperlink>
    </w:p>
    <w:p w14:paraId="692020A6" w14:textId="77777777" w:rsidR="008862C7" w:rsidRDefault="00EA1CF0" w:rsidP="008862C7">
      <w:pPr>
        <w:pStyle w:val="TM5"/>
        <w:tabs>
          <w:tab w:val="clear" w:pos="708"/>
          <w:tab w:val="left" w:pos="1760"/>
          <w:tab w:val="right" w:leader="dot" w:pos="9062"/>
        </w:tabs>
        <w:rPr>
          <w:noProof/>
          <w:sz w:val="22"/>
          <w:szCs w:val="22"/>
        </w:rPr>
      </w:pPr>
      <w:hyperlink r:id="rId58" w:anchor="_Toc395107520" w:history="1">
        <w:r w:rsidR="008862C7">
          <w:rPr>
            <w:rStyle w:val="Lienhypertexte"/>
            <w:rFonts w:ascii="Arial" w:hAnsi="Arial" w:cs="Arial"/>
            <w:b/>
            <w:noProof/>
            <w:lang w:bidi="hi-IN"/>
          </w:rPr>
          <w:t>1.1.1.</w:t>
        </w:r>
        <w:r w:rsidR="008862C7">
          <w:rPr>
            <w:rStyle w:val="Lienhypertexte"/>
            <w:noProof/>
            <w:sz w:val="22"/>
            <w:szCs w:val="22"/>
          </w:rPr>
          <w:tab/>
        </w:r>
        <w:r w:rsidR="008862C7">
          <w:rPr>
            <w:rStyle w:val="Lienhypertexte"/>
            <w:rFonts w:ascii="Arial" w:hAnsi="Arial" w:cs="Arial"/>
            <w:b/>
            <w:noProof/>
            <w:lang w:bidi="hi-IN"/>
          </w:rPr>
          <w:t>Définitions de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22</w:t>
        </w:r>
        <w:r w:rsidR="008862C7">
          <w:rPr>
            <w:rStyle w:val="Lienhypertexte"/>
            <w:noProof/>
            <w:webHidden/>
          </w:rPr>
          <w:fldChar w:fldCharType="end"/>
        </w:r>
      </w:hyperlink>
    </w:p>
    <w:p w14:paraId="10916BE8" w14:textId="77777777" w:rsidR="008862C7" w:rsidRDefault="00EA1CF0" w:rsidP="008862C7">
      <w:pPr>
        <w:pStyle w:val="TM5"/>
        <w:tabs>
          <w:tab w:val="clear" w:pos="708"/>
          <w:tab w:val="left" w:pos="1760"/>
          <w:tab w:val="right" w:leader="dot" w:pos="9062"/>
        </w:tabs>
        <w:rPr>
          <w:noProof/>
          <w:sz w:val="22"/>
          <w:szCs w:val="22"/>
        </w:rPr>
      </w:pPr>
      <w:hyperlink r:id="rId59" w:anchor="_Toc395107521" w:history="1">
        <w:r w:rsidR="008862C7">
          <w:rPr>
            <w:rStyle w:val="Lienhypertexte"/>
            <w:rFonts w:ascii="Arial" w:hAnsi="Arial" w:cs="Arial"/>
            <w:b/>
            <w:bCs/>
            <w:noProof/>
            <w:lang w:bidi="hi-IN"/>
          </w:rPr>
          <w:t>1.1.2.</w:t>
        </w:r>
        <w:r w:rsidR="008862C7">
          <w:rPr>
            <w:rStyle w:val="Lienhypertexte"/>
            <w:noProof/>
            <w:sz w:val="22"/>
            <w:szCs w:val="22"/>
          </w:rPr>
          <w:tab/>
        </w:r>
        <w:r w:rsidR="008862C7">
          <w:rPr>
            <w:rStyle w:val="Lienhypertexte"/>
            <w:rFonts w:ascii="Arial" w:hAnsi="Arial" w:cs="Arial"/>
            <w:b/>
            <w:bCs/>
            <w:noProof/>
            <w:lang w:bidi="hi-IN"/>
          </w:rPr>
          <w:t>Notions connexes de la compétitivité et typologie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25</w:t>
        </w:r>
        <w:r w:rsidR="008862C7">
          <w:rPr>
            <w:rStyle w:val="Lienhypertexte"/>
            <w:noProof/>
            <w:webHidden/>
          </w:rPr>
          <w:fldChar w:fldCharType="end"/>
        </w:r>
      </w:hyperlink>
    </w:p>
    <w:p w14:paraId="35E55077" w14:textId="77777777" w:rsidR="008862C7" w:rsidRDefault="00EA1CF0" w:rsidP="008862C7">
      <w:pPr>
        <w:pStyle w:val="TM6"/>
        <w:tabs>
          <w:tab w:val="clear" w:pos="708"/>
          <w:tab w:val="left" w:pos="1920"/>
          <w:tab w:val="right" w:leader="dot" w:pos="9062"/>
        </w:tabs>
        <w:rPr>
          <w:noProof/>
          <w:sz w:val="22"/>
          <w:szCs w:val="22"/>
        </w:rPr>
      </w:pPr>
      <w:hyperlink r:id="rId60" w:anchor="_Toc395107522" w:history="1">
        <w:r w:rsidR="008862C7">
          <w:rPr>
            <w:rStyle w:val="Lienhypertexte"/>
            <w:rFonts w:ascii="Arial" w:hAnsi="Arial" w:cs="Arial"/>
            <w:b/>
            <w:bCs/>
            <w:noProof/>
          </w:rPr>
          <w:t>1.1.2.1.</w:t>
        </w:r>
        <w:r w:rsidR="008862C7">
          <w:rPr>
            <w:rStyle w:val="Lienhypertexte"/>
            <w:noProof/>
            <w:sz w:val="22"/>
            <w:szCs w:val="22"/>
          </w:rPr>
          <w:tab/>
        </w:r>
        <w:r w:rsidR="008862C7">
          <w:rPr>
            <w:rStyle w:val="Lienhypertexte"/>
            <w:rFonts w:ascii="Arial" w:hAnsi="Arial" w:cs="Arial"/>
            <w:b/>
            <w:bCs/>
            <w:noProof/>
          </w:rPr>
          <w:t>Notions connexes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25</w:t>
        </w:r>
        <w:r w:rsidR="008862C7">
          <w:rPr>
            <w:rStyle w:val="Lienhypertexte"/>
            <w:noProof/>
            <w:webHidden/>
          </w:rPr>
          <w:fldChar w:fldCharType="end"/>
        </w:r>
      </w:hyperlink>
    </w:p>
    <w:p w14:paraId="394CAD03" w14:textId="77777777" w:rsidR="008862C7" w:rsidRDefault="00EA1CF0" w:rsidP="008862C7">
      <w:pPr>
        <w:pStyle w:val="TM7"/>
        <w:tabs>
          <w:tab w:val="clear" w:pos="708"/>
          <w:tab w:val="left" w:pos="1760"/>
          <w:tab w:val="right" w:leader="dot" w:pos="9062"/>
        </w:tabs>
        <w:rPr>
          <w:noProof/>
          <w:sz w:val="22"/>
          <w:szCs w:val="22"/>
        </w:rPr>
      </w:pPr>
      <w:hyperlink r:id="rId61" w:anchor="_Toc395107523"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Concurrence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25</w:t>
        </w:r>
        <w:r w:rsidR="008862C7">
          <w:rPr>
            <w:rStyle w:val="Lienhypertexte"/>
            <w:noProof/>
            <w:webHidden/>
          </w:rPr>
          <w:fldChar w:fldCharType="end"/>
        </w:r>
      </w:hyperlink>
    </w:p>
    <w:p w14:paraId="4D962661" w14:textId="77777777" w:rsidR="008862C7" w:rsidRDefault="00EA1CF0" w:rsidP="008862C7">
      <w:pPr>
        <w:pStyle w:val="TM7"/>
        <w:tabs>
          <w:tab w:val="clear" w:pos="708"/>
          <w:tab w:val="left" w:pos="1760"/>
          <w:tab w:val="right" w:leader="dot" w:pos="9062"/>
        </w:tabs>
        <w:rPr>
          <w:noProof/>
          <w:sz w:val="22"/>
          <w:szCs w:val="22"/>
        </w:rPr>
      </w:pPr>
      <w:hyperlink r:id="rId62" w:anchor="_Toc395107524"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Relativité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26</w:t>
        </w:r>
        <w:r w:rsidR="008862C7">
          <w:rPr>
            <w:rStyle w:val="Lienhypertexte"/>
            <w:noProof/>
            <w:webHidden/>
          </w:rPr>
          <w:fldChar w:fldCharType="end"/>
        </w:r>
      </w:hyperlink>
    </w:p>
    <w:p w14:paraId="144B2C5C" w14:textId="77777777" w:rsidR="008862C7" w:rsidRDefault="00EA1CF0" w:rsidP="008862C7">
      <w:pPr>
        <w:pStyle w:val="TM7"/>
        <w:tabs>
          <w:tab w:val="clear" w:pos="708"/>
          <w:tab w:val="left" w:pos="1760"/>
          <w:tab w:val="right" w:leader="dot" w:pos="9062"/>
        </w:tabs>
        <w:rPr>
          <w:noProof/>
          <w:sz w:val="22"/>
          <w:szCs w:val="22"/>
        </w:rPr>
      </w:pPr>
      <w:hyperlink r:id="rId63" w:anchor="_Toc395107525"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Avantage concurrentiel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26</w:t>
        </w:r>
        <w:r w:rsidR="008862C7">
          <w:rPr>
            <w:rStyle w:val="Lienhypertexte"/>
            <w:noProof/>
            <w:webHidden/>
          </w:rPr>
          <w:fldChar w:fldCharType="end"/>
        </w:r>
      </w:hyperlink>
    </w:p>
    <w:p w14:paraId="22F18616" w14:textId="77777777" w:rsidR="008862C7" w:rsidRDefault="00EA1CF0" w:rsidP="008862C7">
      <w:pPr>
        <w:pStyle w:val="TM6"/>
        <w:tabs>
          <w:tab w:val="clear" w:pos="708"/>
          <w:tab w:val="left" w:pos="1920"/>
          <w:tab w:val="right" w:leader="dot" w:pos="9062"/>
        </w:tabs>
        <w:rPr>
          <w:noProof/>
          <w:sz w:val="22"/>
          <w:szCs w:val="22"/>
        </w:rPr>
      </w:pPr>
      <w:hyperlink r:id="rId64" w:anchor="_Toc395107526" w:history="1">
        <w:r w:rsidR="008862C7">
          <w:rPr>
            <w:rStyle w:val="Lienhypertexte"/>
            <w:rFonts w:ascii="Arial" w:hAnsi="Arial" w:cs="Arial"/>
            <w:b/>
            <w:noProof/>
          </w:rPr>
          <w:t>1.1.2.2.</w:t>
        </w:r>
        <w:r w:rsidR="008862C7">
          <w:rPr>
            <w:rStyle w:val="Lienhypertexte"/>
            <w:noProof/>
            <w:sz w:val="22"/>
            <w:szCs w:val="22"/>
          </w:rPr>
          <w:tab/>
        </w:r>
        <w:r w:rsidR="008862C7">
          <w:rPr>
            <w:rStyle w:val="Lienhypertexte"/>
            <w:rFonts w:ascii="Arial" w:hAnsi="Arial" w:cs="Arial"/>
            <w:b/>
            <w:noProof/>
          </w:rPr>
          <w:t>Typologie de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26</w:t>
        </w:r>
        <w:r w:rsidR="008862C7">
          <w:rPr>
            <w:rStyle w:val="Lienhypertexte"/>
            <w:noProof/>
            <w:webHidden/>
          </w:rPr>
          <w:fldChar w:fldCharType="end"/>
        </w:r>
      </w:hyperlink>
    </w:p>
    <w:p w14:paraId="26B1CA78" w14:textId="77777777" w:rsidR="008862C7" w:rsidRDefault="00EA1CF0" w:rsidP="008862C7">
      <w:pPr>
        <w:pStyle w:val="TM7"/>
        <w:tabs>
          <w:tab w:val="clear" w:pos="708"/>
          <w:tab w:val="left" w:pos="1760"/>
          <w:tab w:val="right" w:leader="dot" w:pos="9062"/>
        </w:tabs>
        <w:rPr>
          <w:noProof/>
          <w:sz w:val="22"/>
          <w:szCs w:val="22"/>
        </w:rPr>
      </w:pPr>
      <w:hyperlink r:id="rId65" w:anchor="_Toc39510752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Compétitivité-prix</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26</w:t>
        </w:r>
        <w:r w:rsidR="008862C7">
          <w:rPr>
            <w:rStyle w:val="Lienhypertexte"/>
            <w:noProof/>
            <w:webHidden/>
          </w:rPr>
          <w:fldChar w:fldCharType="end"/>
        </w:r>
      </w:hyperlink>
    </w:p>
    <w:p w14:paraId="0DB11438" w14:textId="77777777" w:rsidR="008862C7" w:rsidRDefault="00EA1CF0" w:rsidP="008862C7">
      <w:pPr>
        <w:pStyle w:val="TM7"/>
        <w:tabs>
          <w:tab w:val="clear" w:pos="708"/>
          <w:tab w:val="left" w:pos="1760"/>
          <w:tab w:val="right" w:leader="dot" w:pos="9062"/>
        </w:tabs>
        <w:rPr>
          <w:noProof/>
          <w:sz w:val="22"/>
          <w:szCs w:val="22"/>
        </w:rPr>
      </w:pPr>
      <w:hyperlink r:id="rId66" w:anchor="_Toc39510752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 structurelle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28</w:t>
        </w:r>
        <w:r w:rsidR="008862C7">
          <w:rPr>
            <w:rStyle w:val="Lienhypertexte"/>
            <w:noProof/>
            <w:webHidden/>
          </w:rPr>
          <w:fldChar w:fldCharType="end"/>
        </w:r>
      </w:hyperlink>
    </w:p>
    <w:p w14:paraId="5D616BC7" w14:textId="77777777" w:rsidR="008862C7" w:rsidRDefault="00EA1CF0" w:rsidP="008862C7">
      <w:pPr>
        <w:pStyle w:val="TM7"/>
        <w:tabs>
          <w:tab w:val="clear" w:pos="708"/>
          <w:tab w:val="left" w:pos="1760"/>
          <w:tab w:val="right" w:leader="dot" w:pos="9062"/>
        </w:tabs>
        <w:rPr>
          <w:noProof/>
          <w:sz w:val="22"/>
          <w:szCs w:val="22"/>
        </w:rPr>
      </w:pPr>
      <w:hyperlink r:id="rId67" w:anchor="_Toc39510752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 des filières agricoles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_Toc395107529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28</w:t>
        </w:r>
        <w:r w:rsidR="008862C7">
          <w:rPr>
            <w:rStyle w:val="Lienhypertexte"/>
            <w:noProof/>
            <w:webHidden/>
          </w:rPr>
          <w:fldChar w:fldCharType="end"/>
        </w:r>
      </w:hyperlink>
    </w:p>
    <w:p w14:paraId="7D709D69" w14:textId="77777777" w:rsidR="008862C7" w:rsidRDefault="00EA1CF0" w:rsidP="008862C7">
      <w:pPr>
        <w:pStyle w:val="TM7"/>
        <w:tabs>
          <w:tab w:val="clear" w:pos="708"/>
          <w:tab w:val="left" w:pos="1760"/>
          <w:tab w:val="right" w:leader="dot" w:pos="9062"/>
        </w:tabs>
        <w:rPr>
          <w:noProof/>
          <w:sz w:val="22"/>
          <w:szCs w:val="22"/>
        </w:rPr>
      </w:pPr>
      <w:hyperlink r:id="rId68" w:anchor="_Toc39510753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 des entreprises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30</w:t>
        </w:r>
        <w:r w:rsidR="008862C7">
          <w:rPr>
            <w:rStyle w:val="Lienhypertexte"/>
            <w:noProof/>
            <w:webHidden/>
          </w:rPr>
          <w:fldChar w:fldCharType="end"/>
        </w:r>
      </w:hyperlink>
    </w:p>
    <w:p w14:paraId="6453C977" w14:textId="77777777" w:rsidR="008862C7" w:rsidRDefault="00EA1CF0" w:rsidP="008862C7">
      <w:pPr>
        <w:pStyle w:val="TM7"/>
        <w:tabs>
          <w:tab w:val="clear" w:pos="708"/>
          <w:tab w:val="left" w:pos="1760"/>
          <w:tab w:val="right" w:leader="dot" w:pos="9062"/>
        </w:tabs>
        <w:rPr>
          <w:noProof/>
          <w:sz w:val="22"/>
          <w:szCs w:val="22"/>
        </w:rPr>
      </w:pPr>
      <w:hyperlink r:id="rId69" w:anchor="_Toc39510753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 de la nation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33</w:t>
        </w:r>
        <w:r w:rsidR="008862C7">
          <w:rPr>
            <w:rStyle w:val="Lienhypertexte"/>
            <w:noProof/>
            <w:webHidden/>
          </w:rPr>
          <w:fldChar w:fldCharType="end"/>
        </w:r>
      </w:hyperlink>
    </w:p>
    <w:p w14:paraId="7D64D20A" w14:textId="77777777" w:rsidR="008862C7" w:rsidRDefault="00EA1CF0" w:rsidP="008862C7">
      <w:pPr>
        <w:pStyle w:val="TM7"/>
        <w:tabs>
          <w:tab w:val="clear" w:pos="708"/>
          <w:tab w:val="left" w:pos="1760"/>
          <w:tab w:val="right" w:leader="dot" w:pos="9062"/>
        </w:tabs>
        <w:rPr>
          <w:noProof/>
          <w:sz w:val="22"/>
          <w:szCs w:val="22"/>
        </w:rPr>
      </w:pPr>
      <w:hyperlink r:id="rId70" w:anchor="_Toc39510753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Compétitivité et développement durable.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34</w:t>
        </w:r>
        <w:r w:rsidR="008862C7">
          <w:rPr>
            <w:rStyle w:val="Lienhypertexte"/>
            <w:noProof/>
            <w:webHidden/>
          </w:rPr>
          <w:fldChar w:fldCharType="end"/>
        </w:r>
      </w:hyperlink>
    </w:p>
    <w:p w14:paraId="1FDAB47C" w14:textId="77777777" w:rsidR="008862C7" w:rsidRDefault="00EA1CF0" w:rsidP="008862C7">
      <w:pPr>
        <w:pStyle w:val="TM7"/>
        <w:tabs>
          <w:tab w:val="clear" w:pos="708"/>
          <w:tab w:val="left" w:pos="1760"/>
          <w:tab w:val="right" w:leader="dot" w:pos="9062"/>
        </w:tabs>
        <w:rPr>
          <w:noProof/>
          <w:sz w:val="22"/>
          <w:szCs w:val="22"/>
        </w:rPr>
      </w:pPr>
      <w:hyperlink r:id="rId71" w:anchor="_Toc395107533"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Compétitivité, politique économique et temporalité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35</w:t>
        </w:r>
        <w:r w:rsidR="008862C7">
          <w:rPr>
            <w:rStyle w:val="Lienhypertexte"/>
            <w:noProof/>
            <w:webHidden/>
          </w:rPr>
          <w:fldChar w:fldCharType="end"/>
        </w:r>
      </w:hyperlink>
    </w:p>
    <w:p w14:paraId="244AAD6C" w14:textId="77777777" w:rsidR="008862C7" w:rsidRDefault="00EA1CF0" w:rsidP="008862C7">
      <w:pPr>
        <w:pStyle w:val="TM4"/>
        <w:tabs>
          <w:tab w:val="clear" w:pos="708"/>
          <w:tab w:val="left" w:pos="1320"/>
          <w:tab w:val="right" w:leader="dot" w:pos="9062"/>
        </w:tabs>
        <w:rPr>
          <w:noProof/>
          <w:sz w:val="22"/>
          <w:szCs w:val="22"/>
        </w:rPr>
      </w:pPr>
      <w:hyperlink r:id="rId72" w:anchor="_Toc395107534" w:history="1">
        <w:r w:rsidR="008862C7">
          <w:rPr>
            <w:rStyle w:val="Lienhypertexte"/>
            <w:rFonts w:ascii="Arial" w:hAnsi="Arial" w:cs="Arial"/>
            <w:b/>
            <w:noProof/>
          </w:rPr>
          <w:t>1.2.</w:t>
        </w:r>
        <w:r w:rsidR="008862C7">
          <w:rPr>
            <w:rStyle w:val="Lienhypertexte"/>
            <w:noProof/>
            <w:sz w:val="22"/>
            <w:szCs w:val="22"/>
          </w:rPr>
          <w:tab/>
        </w:r>
        <w:r w:rsidR="008862C7">
          <w:rPr>
            <w:rStyle w:val="Lienhypertexte"/>
            <w:rFonts w:ascii="Arial" w:hAnsi="Arial" w:cs="Arial"/>
            <w:b/>
            <w:noProof/>
          </w:rPr>
          <w:t>Déterminants et indicateur de mesure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35</w:t>
        </w:r>
        <w:r w:rsidR="008862C7">
          <w:rPr>
            <w:rStyle w:val="Lienhypertexte"/>
            <w:noProof/>
            <w:webHidden/>
          </w:rPr>
          <w:fldChar w:fldCharType="end"/>
        </w:r>
      </w:hyperlink>
    </w:p>
    <w:p w14:paraId="5FEBE0CC" w14:textId="77777777" w:rsidR="008862C7" w:rsidRDefault="00EA1CF0" w:rsidP="008862C7">
      <w:pPr>
        <w:pStyle w:val="TM5"/>
        <w:tabs>
          <w:tab w:val="clear" w:pos="708"/>
          <w:tab w:val="left" w:pos="1760"/>
          <w:tab w:val="right" w:leader="dot" w:pos="9062"/>
        </w:tabs>
        <w:rPr>
          <w:noProof/>
          <w:sz w:val="22"/>
          <w:szCs w:val="22"/>
        </w:rPr>
      </w:pPr>
      <w:hyperlink r:id="rId73" w:anchor="_Toc395107535" w:history="1">
        <w:r w:rsidR="008862C7">
          <w:rPr>
            <w:rStyle w:val="Lienhypertexte"/>
            <w:rFonts w:ascii="Arial" w:hAnsi="Arial" w:cs="Arial"/>
            <w:b/>
            <w:noProof/>
          </w:rPr>
          <w:t>1.2.1.</w:t>
        </w:r>
        <w:r w:rsidR="008862C7">
          <w:rPr>
            <w:rStyle w:val="Lienhypertexte"/>
            <w:noProof/>
            <w:sz w:val="22"/>
            <w:szCs w:val="22"/>
          </w:rPr>
          <w:tab/>
        </w:r>
        <w:r w:rsidR="008862C7">
          <w:rPr>
            <w:rStyle w:val="Lienhypertexte"/>
            <w:rFonts w:ascii="Arial" w:hAnsi="Arial" w:cs="Arial"/>
            <w:b/>
            <w:noProof/>
          </w:rPr>
          <w:t>Déterminants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35</w:t>
        </w:r>
        <w:r w:rsidR="008862C7">
          <w:rPr>
            <w:rStyle w:val="Lienhypertexte"/>
            <w:noProof/>
            <w:webHidden/>
          </w:rPr>
          <w:fldChar w:fldCharType="end"/>
        </w:r>
      </w:hyperlink>
    </w:p>
    <w:p w14:paraId="771BE6C5" w14:textId="77777777" w:rsidR="008862C7" w:rsidRDefault="00EA1CF0" w:rsidP="008862C7">
      <w:pPr>
        <w:pStyle w:val="TM6"/>
        <w:tabs>
          <w:tab w:val="clear" w:pos="708"/>
          <w:tab w:val="left" w:pos="1920"/>
          <w:tab w:val="right" w:leader="dot" w:pos="9062"/>
        </w:tabs>
        <w:rPr>
          <w:noProof/>
          <w:sz w:val="22"/>
          <w:szCs w:val="22"/>
        </w:rPr>
      </w:pPr>
      <w:hyperlink r:id="rId74" w:anchor="_Toc395107536" w:history="1">
        <w:r w:rsidR="008862C7">
          <w:rPr>
            <w:rStyle w:val="Lienhypertexte"/>
            <w:rFonts w:ascii="Arial" w:hAnsi="Arial" w:cs="Arial"/>
            <w:b/>
            <w:noProof/>
          </w:rPr>
          <w:t>1.2.1.1.</w:t>
        </w:r>
        <w:r w:rsidR="008862C7">
          <w:rPr>
            <w:rStyle w:val="Lienhypertexte"/>
            <w:noProof/>
            <w:sz w:val="22"/>
            <w:szCs w:val="22"/>
          </w:rPr>
          <w:tab/>
        </w:r>
        <w:r w:rsidR="008862C7">
          <w:rPr>
            <w:rStyle w:val="Lienhypertexte"/>
            <w:rFonts w:ascii="Arial" w:hAnsi="Arial" w:cs="Arial"/>
            <w:b/>
            <w:noProof/>
          </w:rPr>
          <w:t>Classification des déterminants de la compétitivité selon les critères prix et qualité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36</w:t>
        </w:r>
        <w:r w:rsidR="008862C7">
          <w:rPr>
            <w:rStyle w:val="Lienhypertexte"/>
            <w:noProof/>
            <w:webHidden/>
          </w:rPr>
          <w:fldChar w:fldCharType="end"/>
        </w:r>
      </w:hyperlink>
    </w:p>
    <w:p w14:paraId="04710CA8" w14:textId="77777777" w:rsidR="008862C7" w:rsidRDefault="00EA1CF0" w:rsidP="008862C7">
      <w:pPr>
        <w:pStyle w:val="TM6"/>
        <w:tabs>
          <w:tab w:val="clear" w:pos="708"/>
          <w:tab w:val="left" w:pos="1920"/>
          <w:tab w:val="right" w:leader="dot" w:pos="9062"/>
        </w:tabs>
        <w:rPr>
          <w:noProof/>
          <w:sz w:val="22"/>
          <w:szCs w:val="22"/>
        </w:rPr>
      </w:pPr>
      <w:hyperlink r:id="rId75" w:anchor="_Toc395107537" w:history="1">
        <w:r w:rsidR="008862C7">
          <w:rPr>
            <w:rStyle w:val="Lienhypertexte"/>
            <w:rFonts w:ascii="Arial" w:hAnsi="Arial" w:cs="Arial"/>
            <w:b/>
            <w:noProof/>
          </w:rPr>
          <w:t>1.2.1.2.</w:t>
        </w:r>
        <w:r w:rsidR="008862C7">
          <w:rPr>
            <w:rStyle w:val="Lienhypertexte"/>
            <w:noProof/>
            <w:sz w:val="22"/>
            <w:szCs w:val="22"/>
          </w:rPr>
          <w:tab/>
        </w:r>
        <w:r w:rsidR="008862C7">
          <w:rPr>
            <w:rStyle w:val="Lienhypertexte"/>
            <w:rFonts w:ascii="Arial" w:hAnsi="Arial" w:cs="Arial"/>
            <w:b/>
            <w:noProof/>
          </w:rPr>
          <w:t>Classification des déterminants selon le niveau national et international : classification de Brinkman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38</w:t>
        </w:r>
        <w:r w:rsidR="008862C7">
          <w:rPr>
            <w:rStyle w:val="Lienhypertexte"/>
            <w:noProof/>
            <w:webHidden/>
          </w:rPr>
          <w:fldChar w:fldCharType="end"/>
        </w:r>
      </w:hyperlink>
    </w:p>
    <w:p w14:paraId="7FFF2A85" w14:textId="77777777" w:rsidR="008862C7" w:rsidRDefault="00EA1CF0" w:rsidP="008862C7">
      <w:pPr>
        <w:pStyle w:val="TM7"/>
        <w:tabs>
          <w:tab w:val="clear" w:pos="708"/>
          <w:tab w:val="right" w:leader="dot" w:pos="9062"/>
        </w:tabs>
        <w:rPr>
          <w:noProof/>
          <w:sz w:val="22"/>
          <w:szCs w:val="22"/>
        </w:rPr>
      </w:pPr>
      <w:hyperlink r:id="rId76" w:anchor="_Toc395107538" w:history="1">
        <w:r w:rsidR="008862C7">
          <w:rPr>
            <w:rStyle w:val="Lienhypertexte"/>
            <w:rFonts w:ascii="Arial" w:hAnsi="Arial" w:cs="Arial"/>
            <w:b/>
            <w:noProof/>
            <w:lang w:bidi="hi-IN"/>
          </w:rPr>
          <w:t>a. Déterminants de la compétitivité nationale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39</w:t>
        </w:r>
        <w:r w:rsidR="008862C7">
          <w:rPr>
            <w:rStyle w:val="Lienhypertexte"/>
            <w:noProof/>
            <w:webHidden/>
          </w:rPr>
          <w:fldChar w:fldCharType="end"/>
        </w:r>
      </w:hyperlink>
    </w:p>
    <w:p w14:paraId="7B0F37EF" w14:textId="77777777" w:rsidR="008862C7" w:rsidRDefault="00EA1CF0" w:rsidP="008862C7">
      <w:pPr>
        <w:pStyle w:val="TM8"/>
        <w:tabs>
          <w:tab w:val="clear" w:pos="708"/>
          <w:tab w:val="left" w:pos="1843"/>
          <w:tab w:val="right" w:leader="dot" w:pos="9062"/>
        </w:tabs>
        <w:rPr>
          <w:noProof/>
          <w:sz w:val="22"/>
          <w:szCs w:val="22"/>
        </w:rPr>
      </w:pPr>
      <w:hyperlink r:id="rId77" w:anchor="_Toc395107539"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Dotations en ressources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_Toc395107539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39</w:t>
        </w:r>
        <w:r w:rsidR="008862C7">
          <w:rPr>
            <w:rStyle w:val="Lienhypertexte"/>
            <w:noProof/>
            <w:webHidden/>
          </w:rPr>
          <w:fldChar w:fldCharType="end"/>
        </w:r>
      </w:hyperlink>
    </w:p>
    <w:p w14:paraId="11E1C357" w14:textId="77777777" w:rsidR="008862C7" w:rsidRDefault="00EA1CF0" w:rsidP="008862C7">
      <w:pPr>
        <w:pStyle w:val="TM8"/>
        <w:tabs>
          <w:tab w:val="clear" w:pos="708"/>
          <w:tab w:val="left" w:pos="1843"/>
          <w:tab w:val="right" w:leader="dot" w:pos="9062"/>
        </w:tabs>
        <w:rPr>
          <w:noProof/>
          <w:sz w:val="22"/>
          <w:szCs w:val="22"/>
        </w:rPr>
      </w:pPr>
      <w:hyperlink r:id="rId78" w:anchor="_Toc395107540"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Technologie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40</w:t>
        </w:r>
        <w:r w:rsidR="008862C7">
          <w:rPr>
            <w:rStyle w:val="Lienhypertexte"/>
            <w:noProof/>
            <w:webHidden/>
          </w:rPr>
          <w:fldChar w:fldCharType="end"/>
        </w:r>
      </w:hyperlink>
    </w:p>
    <w:p w14:paraId="1D0F894B" w14:textId="77777777" w:rsidR="008862C7" w:rsidRDefault="00EA1CF0" w:rsidP="008862C7">
      <w:pPr>
        <w:pStyle w:val="TM8"/>
        <w:tabs>
          <w:tab w:val="clear" w:pos="708"/>
          <w:tab w:val="left" w:pos="1843"/>
          <w:tab w:val="right" w:leader="dot" w:pos="9062"/>
        </w:tabs>
        <w:rPr>
          <w:noProof/>
          <w:sz w:val="22"/>
          <w:szCs w:val="22"/>
        </w:rPr>
      </w:pPr>
      <w:hyperlink r:id="rId79" w:anchor="_Toc395107541"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Caractéristiques du produit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40</w:t>
        </w:r>
        <w:r w:rsidR="008862C7">
          <w:rPr>
            <w:rStyle w:val="Lienhypertexte"/>
            <w:noProof/>
            <w:webHidden/>
          </w:rPr>
          <w:fldChar w:fldCharType="end"/>
        </w:r>
      </w:hyperlink>
    </w:p>
    <w:p w14:paraId="7812CDEC" w14:textId="77777777" w:rsidR="008862C7" w:rsidRDefault="00EA1CF0" w:rsidP="008862C7">
      <w:pPr>
        <w:pStyle w:val="TM8"/>
        <w:tabs>
          <w:tab w:val="clear" w:pos="708"/>
          <w:tab w:val="left" w:pos="1843"/>
          <w:tab w:val="right" w:leader="dot" w:pos="9062"/>
        </w:tabs>
        <w:rPr>
          <w:noProof/>
          <w:sz w:val="22"/>
          <w:szCs w:val="22"/>
        </w:rPr>
      </w:pPr>
      <w:hyperlink r:id="rId80" w:anchor="_Toc395107542"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Economies d’échelle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40</w:t>
        </w:r>
        <w:r w:rsidR="008862C7">
          <w:rPr>
            <w:rStyle w:val="Lienhypertexte"/>
            <w:noProof/>
            <w:webHidden/>
          </w:rPr>
          <w:fldChar w:fldCharType="end"/>
        </w:r>
      </w:hyperlink>
    </w:p>
    <w:p w14:paraId="0472C21C" w14:textId="77777777" w:rsidR="008862C7" w:rsidRDefault="00EA1CF0" w:rsidP="008862C7">
      <w:pPr>
        <w:pStyle w:val="TM8"/>
        <w:tabs>
          <w:tab w:val="clear" w:pos="708"/>
          <w:tab w:val="left" w:pos="1843"/>
          <w:tab w:val="right" w:leader="dot" w:pos="9062"/>
        </w:tabs>
        <w:rPr>
          <w:noProof/>
          <w:sz w:val="22"/>
          <w:szCs w:val="22"/>
        </w:rPr>
      </w:pPr>
      <w:hyperlink r:id="rId81" w:anchor="_Toc395107543"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Régulation et politiques des échanges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40</w:t>
        </w:r>
        <w:r w:rsidR="008862C7">
          <w:rPr>
            <w:rStyle w:val="Lienhypertexte"/>
            <w:noProof/>
            <w:webHidden/>
          </w:rPr>
          <w:fldChar w:fldCharType="end"/>
        </w:r>
      </w:hyperlink>
    </w:p>
    <w:p w14:paraId="418D6AE3" w14:textId="77777777" w:rsidR="008862C7" w:rsidRDefault="00EA1CF0" w:rsidP="008862C7">
      <w:pPr>
        <w:pStyle w:val="TM7"/>
        <w:tabs>
          <w:tab w:val="clear" w:pos="708"/>
          <w:tab w:val="right" w:leader="dot" w:pos="9062"/>
        </w:tabs>
        <w:rPr>
          <w:noProof/>
          <w:sz w:val="22"/>
          <w:szCs w:val="22"/>
        </w:rPr>
      </w:pPr>
      <w:hyperlink r:id="rId82" w:anchor="_Toc395107544" w:history="1">
        <w:r w:rsidR="008862C7">
          <w:rPr>
            <w:rStyle w:val="Lienhypertexte"/>
            <w:rFonts w:ascii="Arial" w:hAnsi="Arial" w:cs="Arial"/>
            <w:b/>
            <w:noProof/>
            <w:lang w:bidi="hi-IN"/>
          </w:rPr>
          <w:t>b. Déterminants de la compétitivité internationale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41</w:t>
        </w:r>
        <w:r w:rsidR="008862C7">
          <w:rPr>
            <w:rStyle w:val="Lienhypertexte"/>
            <w:noProof/>
            <w:webHidden/>
          </w:rPr>
          <w:fldChar w:fldCharType="end"/>
        </w:r>
      </w:hyperlink>
    </w:p>
    <w:p w14:paraId="694A6193" w14:textId="77777777" w:rsidR="008862C7" w:rsidRDefault="00EA1CF0" w:rsidP="008862C7">
      <w:pPr>
        <w:pStyle w:val="TM8"/>
        <w:tabs>
          <w:tab w:val="clear" w:pos="708"/>
          <w:tab w:val="left" w:pos="1843"/>
          <w:tab w:val="right" w:leader="dot" w:pos="9062"/>
        </w:tabs>
        <w:rPr>
          <w:noProof/>
          <w:sz w:val="22"/>
          <w:szCs w:val="22"/>
        </w:rPr>
      </w:pPr>
      <w:hyperlink r:id="rId83" w:anchor="_Toc395107545"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Taux de change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41</w:t>
        </w:r>
        <w:r w:rsidR="008862C7">
          <w:rPr>
            <w:rStyle w:val="Lienhypertexte"/>
            <w:noProof/>
            <w:webHidden/>
          </w:rPr>
          <w:fldChar w:fldCharType="end"/>
        </w:r>
      </w:hyperlink>
    </w:p>
    <w:p w14:paraId="658E3FCF" w14:textId="77777777" w:rsidR="008862C7" w:rsidRDefault="00EA1CF0" w:rsidP="008862C7">
      <w:pPr>
        <w:pStyle w:val="TM8"/>
        <w:tabs>
          <w:tab w:val="clear" w:pos="708"/>
          <w:tab w:val="left" w:pos="1843"/>
          <w:tab w:val="right" w:leader="dot" w:pos="9062"/>
        </w:tabs>
        <w:rPr>
          <w:noProof/>
          <w:sz w:val="22"/>
          <w:szCs w:val="22"/>
        </w:rPr>
      </w:pPr>
      <w:hyperlink r:id="rId84" w:anchor="_Toc395107546"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Conditions du marché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41</w:t>
        </w:r>
        <w:r w:rsidR="008862C7">
          <w:rPr>
            <w:rStyle w:val="Lienhypertexte"/>
            <w:noProof/>
            <w:webHidden/>
          </w:rPr>
          <w:fldChar w:fldCharType="end"/>
        </w:r>
      </w:hyperlink>
    </w:p>
    <w:p w14:paraId="1D32C842" w14:textId="77777777" w:rsidR="008862C7" w:rsidRDefault="00EA1CF0" w:rsidP="008862C7">
      <w:pPr>
        <w:pStyle w:val="TM8"/>
        <w:tabs>
          <w:tab w:val="clear" w:pos="708"/>
          <w:tab w:val="left" w:pos="1843"/>
          <w:tab w:val="right" w:leader="dot" w:pos="9062"/>
        </w:tabs>
        <w:rPr>
          <w:noProof/>
          <w:sz w:val="22"/>
          <w:szCs w:val="22"/>
        </w:rPr>
      </w:pPr>
      <w:hyperlink r:id="rId85" w:anchor="_Toc395107547"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Coût de transport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41</w:t>
        </w:r>
        <w:r w:rsidR="008862C7">
          <w:rPr>
            <w:rStyle w:val="Lienhypertexte"/>
            <w:noProof/>
            <w:webHidden/>
          </w:rPr>
          <w:fldChar w:fldCharType="end"/>
        </w:r>
      </w:hyperlink>
    </w:p>
    <w:p w14:paraId="40396092" w14:textId="77777777" w:rsidR="008862C7" w:rsidRDefault="00EA1CF0" w:rsidP="008862C7">
      <w:pPr>
        <w:pStyle w:val="TM8"/>
        <w:tabs>
          <w:tab w:val="clear" w:pos="708"/>
          <w:tab w:val="left" w:pos="1843"/>
          <w:tab w:val="right" w:leader="dot" w:pos="9062"/>
        </w:tabs>
        <w:rPr>
          <w:noProof/>
          <w:sz w:val="22"/>
          <w:szCs w:val="22"/>
        </w:rPr>
      </w:pPr>
      <w:hyperlink r:id="rId86" w:anchor="_Toc39510754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Préférences et arrangements entre les différents pays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41</w:t>
        </w:r>
        <w:r w:rsidR="008862C7">
          <w:rPr>
            <w:rStyle w:val="Lienhypertexte"/>
            <w:noProof/>
            <w:webHidden/>
          </w:rPr>
          <w:fldChar w:fldCharType="end"/>
        </w:r>
      </w:hyperlink>
    </w:p>
    <w:p w14:paraId="743A9DA6" w14:textId="77777777" w:rsidR="008862C7" w:rsidRDefault="00EA1CF0" w:rsidP="008862C7">
      <w:pPr>
        <w:pStyle w:val="TM5"/>
        <w:tabs>
          <w:tab w:val="clear" w:pos="708"/>
          <w:tab w:val="left" w:pos="1760"/>
          <w:tab w:val="right" w:leader="dot" w:pos="9062"/>
        </w:tabs>
        <w:rPr>
          <w:noProof/>
          <w:sz w:val="22"/>
          <w:szCs w:val="22"/>
        </w:rPr>
      </w:pPr>
      <w:hyperlink r:id="rId87" w:anchor="_Toc395107549" w:history="1">
        <w:r w:rsidR="008862C7">
          <w:rPr>
            <w:rStyle w:val="Lienhypertexte"/>
            <w:rFonts w:ascii="Arial" w:hAnsi="Arial" w:cs="Arial"/>
            <w:b/>
            <w:noProof/>
          </w:rPr>
          <w:t>1.2.2.</w:t>
        </w:r>
        <w:r w:rsidR="008862C7">
          <w:rPr>
            <w:rStyle w:val="Lienhypertexte"/>
            <w:noProof/>
            <w:sz w:val="22"/>
            <w:szCs w:val="22"/>
          </w:rPr>
          <w:tab/>
        </w:r>
        <w:r w:rsidR="008862C7">
          <w:rPr>
            <w:rStyle w:val="Lienhypertexte"/>
            <w:rFonts w:ascii="Arial" w:hAnsi="Arial" w:cs="Arial"/>
            <w:b/>
            <w:noProof/>
          </w:rPr>
          <w:t>Indicateurs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_Toc395107549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42</w:t>
        </w:r>
        <w:r w:rsidR="008862C7">
          <w:rPr>
            <w:rStyle w:val="Lienhypertexte"/>
            <w:noProof/>
            <w:webHidden/>
          </w:rPr>
          <w:fldChar w:fldCharType="end"/>
        </w:r>
      </w:hyperlink>
    </w:p>
    <w:p w14:paraId="07BED6A1" w14:textId="77777777" w:rsidR="008862C7" w:rsidRDefault="00EA1CF0" w:rsidP="008862C7">
      <w:pPr>
        <w:pStyle w:val="TM6"/>
        <w:tabs>
          <w:tab w:val="clear" w:pos="708"/>
          <w:tab w:val="left" w:pos="1920"/>
          <w:tab w:val="right" w:leader="dot" w:pos="9062"/>
        </w:tabs>
        <w:rPr>
          <w:noProof/>
          <w:sz w:val="22"/>
          <w:szCs w:val="22"/>
        </w:rPr>
      </w:pPr>
      <w:hyperlink r:id="rId88" w:anchor="_Toc395107550" w:history="1">
        <w:r w:rsidR="008862C7">
          <w:rPr>
            <w:rStyle w:val="Lienhypertexte"/>
            <w:rFonts w:ascii="Arial" w:hAnsi="Arial" w:cs="Arial"/>
            <w:b/>
            <w:noProof/>
            <w:lang w:bidi="hi-IN"/>
          </w:rPr>
          <w:t>1.2.2.1.</w:t>
        </w:r>
        <w:r w:rsidR="008862C7">
          <w:rPr>
            <w:rStyle w:val="Lienhypertexte"/>
            <w:noProof/>
            <w:sz w:val="22"/>
            <w:szCs w:val="22"/>
          </w:rPr>
          <w:tab/>
        </w:r>
        <w:r w:rsidR="008862C7">
          <w:rPr>
            <w:rStyle w:val="Lienhypertexte"/>
            <w:rFonts w:ascii="Arial" w:hAnsi="Arial" w:cs="Arial"/>
            <w:b/>
            <w:noProof/>
            <w:lang w:bidi="hi-IN"/>
          </w:rPr>
          <w:t>Indicateurs de la compétitivité au niveau d’une économie nationale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42</w:t>
        </w:r>
        <w:r w:rsidR="008862C7">
          <w:rPr>
            <w:rStyle w:val="Lienhypertexte"/>
            <w:noProof/>
            <w:webHidden/>
          </w:rPr>
          <w:fldChar w:fldCharType="end"/>
        </w:r>
      </w:hyperlink>
    </w:p>
    <w:p w14:paraId="3F3C9290" w14:textId="77777777" w:rsidR="008862C7" w:rsidRDefault="00EA1CF0" w:rsidP="008862C7">
      <w:pPr>
        <w:pStyle w:val="TM8"/>
        <w:tabs>
          <w:tab w:val="clear" w:pos="708"/>
          <w:tab w:val="left" w:pos="1843"/>
          <w:tab w:val="right" w:leader="dot" w:pos="9062"/>
        </w:tabs>
        <w:rPr>
          <w:noProof/>
          <w:sz w:val="22"/>
          <w:szCs w:val="22"/>
        </w:rPr>
      </w:pPr>
      <w:hyperlink r:id="rId89" w:anchor="_Toc395107551"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à la croissance de la productivité nationale des facteurs,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42</w:t>
        </w:r>
        <w:r w:rsidR="008862C7">
          <w:rPr>
            <w:rStyle w:val="Lienhypertexte"/>
            <w:noProof/>
            <w:webHidden/>
          </w:rPr>
          <w:fldChar w:fldCharType="end"/>
        </w:r>
      </w:hyperlink>
    </w:p>
    <w:p w14:paraId="11CF815F" w14:textId="77777777" w:rsidR="008862C7" w:rsidRDefault="00EA1CF0" w:rsidP="008862C7">
      <w:pPr>
        <w:pStyle w:val="TM7"/>
        <w:tabs>
          <w:tab w:val="clear" w:pos="708"/>
          <w:tab w:val="left" w:pos="1760"/>
          <w:tab w:val="right" w:leader="dot" w:pos="9062"/>
        </w:tabs>
        <w:rPr>
          <w:noProof/>
          <w:sz w:val="22"/>
          <w:szCs w:val="22"/>
        </w:rPr>
      </w:pPr>
      <w:hyperlink r:id="rId90" w:anchor="_Toc39510755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Mesures relatives à la performance de la balance commerciale.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43</w:t>
        </w:r>
        <w:r w:rsidR="008862C7">
          <w:rPr>
            <w:rStyle w:val="Lienhypertexte"/>
            <w:noProof/>
            <w:webHidden/>
          </w:rPr>
          <w:fldChar w:fldCharType="end"/>
        </w:r>
      </w:hyperlink>
    </w:p>
    <w:p w14:paraId="60A2D1EE" w14:textId="77777777" w:rsidR="008862C7" w:rsidRDefault="00EA1CF0" w:rsidP="008862C7">
      <w:pPr>
        <w:pStyle w:val="TM6"/>
        <w:tabs>
          <w:tab w:val="clear" w:pos="708"/>
          <w:tab w:val="left" w:pos="1920"/>
          <w:tab w:val="right" w:leader="dot" w:pos="9062"/>
        </w:tabs>
        <w:rPr>
          <w:noProof/>
          <w:sz w:val="22"/>
          <w:szCs w:val="22"/>
        </w:rPr>
      </w:pPr>
      <w:hyperlink r:id="rId91" w:anchor="_Toc395107553" w:history="1">
        <w:r w:rsidR="008862C7">
          <w:rPr>
            <w:rStyle w:val="Lienhypertexte"/>
            <w:rFonts w:ascii="Arial" w:hAnsi="Arial" w:cs="Arial"/>
            <w:b/>
            <w:noProof/>
            <w:lang w:bidi="hi-IN"/>
          </w:rPr>
          <w:t>1.2.2.2.</w:t>
        </w:r>
        <w:r w:rsidR="008862C7">
          <w:rPr>
            <w:rStyle w:val="Lienhypertexte"/>
            <w:noProof/>
            <w:sz w:val="22"/>
            <w:szCs w:val="22"/>
          </w:rPr>
          <w:tab/>
        </w:r>
        <w:r w:rsidR="008862C7">
          <w:rPr>
            <w:rStyle w:val="Lienhypertexte"/>
            <w:rFonts w:ascii="Arial" w:hAnsi="Arial" w:cs="Arial"/>
            <w:b/>
            <w:noProof/>
            <w:lang w:bidi="hi-IN"/>
          </w:rPr>
          <w:t>Indicateurs de la compétitivité au niveau d’un secteur économique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43</w:t>
        </w:r>
        <w:r w:rsidR="008862C7">
          <w:rPr>
            <w:rStyle w:val="Lienhypertexte"/>
            <w:noProof/>
            <w:webHidden/>
          </w:rPr>
          <w:fldChar w:fldCharType="end"/>
        </w:r>
      </w:hyperlink>
    </w:p>
    <w:p w14:paraId="615C8F0B" w14:textId="77777777" w:rsidR="008862C7" w:rsidRDefault="00EA1CF0" w:rsidP="008862C7">
      <w:pPr>
        <w:pStyle w:val="TM7"/>
        <w:tabs>
          <w:tab w:val="clear" w:pos="708"/>
          <w:tab w:val="left" w:pos="1760"/>
          <w:tab w:val="right" w:leader="dot" w:pos="9062"/>
        </w:tabs>
        <w:rPr>
          <w:noProof/>
          <w:sz w:val="22"/>
          <w:szCs w:val="22"/>
        </w:rPr>
      </w:pPr>
      <w:hyperlink r:id="rId92" w:anchor="_Toc395107554"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aux coûts de production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43</w:t>
        </w:r>
        <w:r w:rsidR="008862C7">
          <w:rPr>
            <w:rStyle w:val="Lienhypertexte"/>
            <w:noProof/>
            <w:webHidden/>
          </w:rPr>
          <w:fldChar w:fldCharType="end"/>
        </w:r>
      </w:hyperlink>
    </w:p>
    <w:p w14:paraId="36E8954E" w14:textId="77777777" w:rsidR="008862C7" w:rsidRDefault="00EA1CF0" w:rsidP="008862C7">
      <w:pPr>
        <w:pStyle w:val="TM7"/>
        <w:tabs>
          <w:tab w:val="clear" w:pos="708"/>
          <w:tab w:val="left" w:pos="1760"/>
          <w:tab w:val="right" w:leader="dot" w:pos="9062"/>
        </w:tabs>
        <w:rPr>
          <w:noProof/>
          <w:sz w:val="22"/>
          <w:szCs w:val="22"/>
        </w:rPr>
      </w:pPr>
      <w:hyperlink r:id="rId93" w:anchor="_Toc395107555"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à la productivité des facteurs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44</w:t>
        </w:r>
        <w:r w:rsidR="008862C7">
          <w:rPr>
            <w:rStyle w:val="Lienhypertexte"/>
            <w:noProof/>
            <w:webHidden/>
          </w:rPr>
          <w:fldChar w:fldCharType="end"/>
        </w:r>
      </w:hyperlink>
    </w:p>
    <w:p w14:paraId="13B491ED" w14:textId="77777777" w:rsidR="008862C7" w:rsidRDefault="00EA1CF0" w:rsidP="008862C7">
      <w:pPr>
        <w:pStyle w:val="TM7"/>
        <w:tabs>
          <w:tab w:val="clear" w:pos="708"/>
          <w:tab w:val="left" w:pos="1760"/>
          <w:tab w:val="right" w:leader="dot" w:pos="9062"/>
        </w:tabs>
        <w:rPr>
          <w:noProof/>
          <w:sz w:val="22"/>
          <w:szCs w:val="22"/>
        </w:rPr>
      </w:pPr>
      <w:hyperlink r:id="rId94" w:anchor="_Toc395107556"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aux échanges commerciaux</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44</w:t>
        </w:r>
        <w:r w:rsidR="008862C7">
          <w:rPr>
            <w:rStyle w:val="Lienhypertexte"/>
            <w:noProof/>
            <w:webHidden/>
          </w:rPr>
          <w:fldChar w:fldCharType="end"/>
        </w:r>
      </w:hyperlink>
    </w:p>
    <w:p w14:paraId="114EFA9B" w14:textId="77777777" w:rsidR="008862C7" w:rsidRDefault="00EA1CF0" w:rsidP="008862C7">
      <w:pPr>
        <w:pStyle w:val="TM7"/>
        <w:tabs>
          <w:tab w:val="clear" w:pos="708"/>
          <w:tab w:val="left" w:pos="1760"/>
          <w:tab w:val="right" w:leader="dot" w:pos="9062"/>
        </w:tabs>
        <w:rPr>
          <w:noProof/>
          <w:sz w:val="22"/>
          <w:szCs w:val="22"/>
        </w:rPr>
      </w:pPr>
      <w:hyperlink r:id="rId95" w:anchor="_Toc395107557"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au part du marché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46</w:t>
        </w:r>
        <w:r w:rsidR="008862C7">
          <w:rPr>
            <w:rStyle w:val="Lienhypertexte"/>
            <w:noProof/>
            <w:webHidden/>
          </w:rPr>
          <w:fldChar w:fldCharType="end"/>
        </w:r>
      </w:hyperlink>
    </w:p>
    <w:p w14:paraId="1DF0C70E" w14:textId="77777777" w:rsidR="008862C7" w:rsidRDefault="00EA1CF0" w:rsidP="008862C7">
      <w:pPr>
        <w:pStyle w:val="TM7"/>
        <w:tabs>
          <w:tab w:val="clear" w:pos="708"/>
          <w:tab w:val="left" w:pos="1760"/>
          <w:tab w:val="right" w:leader="dot" w:pos="9062"/>
        </w:tabs>
        <w:rPr>
          <w:noProof/>
          <w:sz w:val="22"/>
          <w:szCs w:val="22"/>
        </w:rPr>
      </w:pPr>
      <w:hyperlink r:id="rId96" w:anchor="_Toc395107558"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Mesures relatives au profit.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46</w:t>
        </w:r>
        <w:r w:rsidR="008862C7">
          <w:rPr>
            <w:rStyle w:val="Lienhypertexte"/>
            <w:noProof/>
            <w:webHidden/>
          </w:rPr>
          <w:fldChar w:fldCharType="end"/>
        </w:r>
      </w:hyperlink>
    </w:p>
    <w:p w14:paraId="39112726" w14:textId="77777777" w:rsidR="008862C7" w:rsidRDefault="00EA1CF0" w:rsidP="008862C7">
      <w:pPr>
        <w:pStyle w:val="TM3"/>
        <w:tabs>
          <w:tab w:val="clear" w:pos="708"/>
          <w:tab w:val="right" w:leader="dot" w:pos="9062"/>
        </w:tabs>
        <w:rPr>
          <w:i w:val="0"/>
          <w:iCs w:val="0"/>
          <w:noProof/>
          <w:sz w:val="22"/>
          <w:szCs w:val="22"/>
        </w:rPr>
      </w:pPr>
      <w:hyperlink r:id="rId97" w:anchor="_Toc395107559" w:history="1">
        <w:r w:rsidR="008862C7">
          <w:rPr>
            <w:rStyle w:val="Lienhypertexte"/>
            <w:b/>
            <w:noProof/>
          </w:rPr>
          <w:t>II. CADRE THEORIQUE  DE LA COMPETITIVITE DES FILIERES AGRICOLES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_Toc395107559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47</w:t>
        </w:r>
        <w:r w:rsidR="008862C7">
          <w:rPr>
            <w:rStyle w:val="Lienhypertexte"/>
            <w:noProof/>
            <w:webHidden/>
          </w:rPr>
          <w:fldChar w:fldCharType="end"/>
        </w:r>
      </w:hyperlink>
    </w:p>
    <w:p w14:paraId="6217A615" w14:textId="77777777" w:rsidR="008862C7" w:rsidRDefault="00EA1CF0" w:rsidP="008862C7">
      <w:pPr>
        <w:pStyle w:val="TM4"/>
        <w:tabs>
          <w:tab w:val="clear" w:pos="708"/>
          <w:tab w:val="left" w:pos="1320"/>
          <w:tab w:val="right" w:leader="dot" w:pos="9062"/>
        </w:tabs>
        <w:rPr>
          <w:noProof/>
          <w:sz w:val="22"/>
          <w:szCs w:val="22"/>
        </w:rPr>
      </w:pPr>
      <w:hyperlink r:id="rId98" w:anchor="_Toc395107560" w:history="1">
        <w:r w:rsidR="008862C7">
          <w:rPr>
            <w:rStyle w:val="Lienhypertexte"/>
            <w:rFonts w:ascii="Arial" w:hAnsi="Arial" w:cs="Arial"/>
            <w:noProof/>
          </w:rPr>
          <w:t>2.1.</w:t>
        </w:r>
        <w:r w:rsidR="008862C7">
          <w:rPr>
            <w:rStyle w:val="Lienhypertexte"/>
            <w:noProof/>
            <w:sz w:val="22"/>
            <w:szCs w:val="22"/>
          </w:rPr>
          <w:tab/>
        </w:r>
        <w:r w:rsidR="008862C7">
          <w:rPr>
            <w:rStyle w:val="Lienhypertexte"/>
            <w:rFonts w:ascii="Arial" w:hAnsi="Arial" w:cs="Arial"/>
            <w:noProof/>
          </w:rPr>
          <w:t>Approche filière en agro-alimentaire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47</w:t>
        </w:r>
        <w:r w:rsidR="008862C7">
          <w:rPr>
            <w:rStyle w:val="Lienhypertexte"/>
            <w:noProof/>
            <w:webHidden/>
          </w:rPr>
          <w:fldChar w:fldCharType="end"/>
        </w:r>
      </w:hyperlink>
    </w:p>
    <w:p w14:paraId="404B6632" w14:textId="77777777" w:rsidR="008862C7" w:rsidRDefault="00EA1CF0" w:rsidP="008862C7">
      <w:pPr>
        <w:pStyle w:val="TM5"/>
        <w:tabs>
          <w:tab w:val="clear" w:pos="708"/>
          <w:tab w:val="left" w:pos="1760"/>
          <w:tab w:val="right" w:leader="dot" w:pos="9062"/>
        </w:tabs>
        <w:rPr>
          <w:noProof/>
          <w:sz w:val="22"/>
          <w:szCs w:val="22"/>
        </w:rPr>
      </w:pPr>
      <w:hyperlink r:id="rId99" w:anchor="_Toc395107561" w:history="1">
        <w:r w:rsidR="008862C7">
          <w:rPr>
            <w:rStyle w:val="Lienhypertexte"/>
            <w:rFonts w:ascii="Arial" w:hAnsi="Arial" w:cs="Arial"/>
            <w:b/>
            <w:bCs/>
            <w:noProof/>
          </w:rPr>
          <w:t>2.1.1.</w:t>
        </w:r>
        <w:r w:rsidR="008862C7">
          <w:rPr>
            <w:rStyle w:val="Lienhypertexte"/>
            <w:noProof/>
            <w:sz w:val="22"/>
            <w:szCs w:val="22"/>
          </w:rPr>
          <w:tab/>
        </w:r>
        <w:r w:rsidR="008862C7">
          <w:rPr>
            <w:rStyle w:val="Lienhypertexte"/>
            <w:rFonts w:ascii="Arial" w:hAnsi="Arial" w:cs="Arial"/>
            <w:b/>
            <w:bCs/>
            <w:noProof/>
          </w:rPr>
          <w:t>Différentes interprétations du concept de filière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47</w:t>
        </w:r>
        <w:r w:rsidR="008862C7">
          <w:rPr>
            <w:rStyle w:val="Lienhypertexte"/>
            <w:noProof/>
            <w:webHidden/>
          </w:rPr>
          <w:fldChar w:fldCharType="end"/>
        </w:r>
      </w:hyperlink>
    </w:p>
    <w:p w14:paraId="279C5B97" w14:textId="77777777" w:rsidR="008862C7" w:rsidRDefault="00EA1CF0" w:rsidP="008862C7">
      <w:pPr>
        <w:pStyle w:val="TM5"/>
        <w:tabs>
          <w:tab w:val="clear" w:pos="708"/>
          <w:tab w:val="left" w:pos="1760"/>
          <w:tab w:val="right" w:leader="dot" w:pos="9062"/>
        </w:tabs>
        <w:rPr>
          <w:noProof/>
          <w:sz w:val="22"/>
          <w:szCs w:val="22"/>
        </w:rPr>
      </w:pPr>
      <w:hyperlink r:id="rId100" w:anchor="_Toc395107562" w:history="1">
        <w:r w:rsidR="008862C7">
          <w:rPr>
            <w:rStyle w:val="Lienhypertexte"/>
            <w:rFonts w:ascii="Arial" w:hAnsi="Arial" w:cs="Arial"/>
            <w:b/>
            <w:bCs/>
            <w:noProof/>
          </w:rPr>
          <w:t>2.1.2.</w:t>
        </w:r>
        <w:r w:rsidR="008862C7">
          <w:rPr>
            <w:rStyle w:val="Lienhypertexte"/>
            <w:noProof/>
            <w:sz w:val="22"/>
            <w:szCs w:val="22"/>
          </w:rPr>
          <w:tab/>
        </w:r>
        <w:r w:rsidR="008862C7">
          <w:rPr>
            <w:rStyle w:val="Lienhypertexte"/>
            <w:rFonts w:ascii="Arial" w:hAnsi="Arial" w:cs="Arial"/>
            <w:b/>
            <w:bCs/>
            <w:noProof/>
          </w:rPr>
          <w:t>Filière comme méso-système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48</w:t>
        </w:r>
        <w:r w:rsidR="008862C7">
          <w:rPr>
            <w:rStyle w:val="Lienhypertexte"/>
            <w:noProof/>
            <w:webHidden/>
          </w:rPr>
          <w:fldChar w:fldCharType="end"/>
        </w:r>
      </w:hyperlink>
    </w:p>
    <w:p w14:paraId="34727803" w14:textId="77777777" w:rsidR="008862C7" w:rsidRDefault="00EA1CF0" w:rsidP="008862C7">
      <w:pPr>
        <w:pStyle w:val="TM4"/>
        <w:tabs>
          <w:tab w:val="clear" w:pos="708"/>
          <w:tab w:val="left" w:pos="1320"/>
          <w:tab w:val="right" w:leader="dot" w:pos="9062"/>
        </w:tabs>
        <w:rPr>
          <w:noProof/>
          <w:sz w:val="22"/>
          <w:szCs w:val="22"/>
        </w:rPr>
      </w:pPr>
      <w:hyperlink r:id="rId101" w:anchor="_Toc395107563" w:history="1">
        <w:r w:rsidR="008862C7">
          <w:rPr>
            <w:rStyle w:val="Lienhypertexte"/>
            <w:rFonts w:ascii="Arial" w:hAnsi="Arial" w:cs="Arial"/>
            <w:noProof/>
          </w:rPr>
          <w:t>2.2.</w:t>
        </w:r>
        <w:r w:rsidR="008862C7">
          <w:rPr>
            <w:rStyle w:val="Lienhypertexte"/>
            <w:noProof/>
            <w:sz w:val="22"/>
            <w:szCs w:val="22"/>
          </w:rPr>
          <w:tab/>
        </w:r>
        <w:r w:rsidR="008862C7">
          <w:rPr>
            <w:rStyle w:val="Lienhypertexte"/>
            <w:rFonts w:ascii="Arial" w:hAnsi="Arial" w:cs="Arial"/>
            <w:noProof/>
          </w:rPr>
          <w:t>Nouvelle théorie du commerce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50</w:t>
        </w:r>
        <w:r w:rsidR="008862C7">
          <w:rPr>
            <w:rStyle w:val="Lienhypertexte"/>
            <w:noProof/>
            <w:webHidden/>
          </w:rPr>
          <w:fldChar w:fldCharType="end"/>
        </w:r>
      </w:hyperlink>
    </w:p>
    <w:p w14:paraId="2672E1DC" w14:textId="77777777" w:rsidR="008862C7" w:rsidRDefault="00EA1CF0" w:rsidP="008862C7">
      <w:pPr>
        <w:pStyle w:val="TM5"/>
        <w:tabs>
          <w:tab w:val="clear" w:pos="708"/>
          <w:tab w:val="left" w:pos="1760"/>
          <w:tab w:val="right" w:leader="dot" w:pos="9062"/>
        </w:tabs>
        <w:rPr>
          <w:noProof/>
          <w:sz w:val="22"/>
          <w:szCs w:val="22"/>
        </w:rPr>
      </w:pPr>
      <w:hyperlink r:id="rId102" w:anchor="_Toc395107564" w:history="1">
        <w:r w:rsidR="008862C7">
          <w:rPr>
            <w:rStyle w:val="Lienhypertexte"/>
            <w:rFonts w:ascii="Arial" w:hAnsi="Arial" w:cs="Arial"/>
            <w:b/>
            <w:noProof/>
            <w:lang w:bidi="hi-IN"/>
          </w:rPr>
          <w:t>2.2.1.</w:t>
        </w:r>
        <w:r w:rsidR="008862C7">
          <w:rPr>
            <w:rStyle w:val="Lienhypertexte"/>
            <w:noProof/>
            <w:sz w:val="22"/>
            <w:szCs w:val="22"/>
          </w:rPr>
          <w:tab/>
        </w:r>
        <w:r w:rsidR="008862C7">
          <w:rPr>
            <w:rStyle w:val="Lienhypertexte"/>
            <w:rFonts w:ascii="Arial" w:hAnsi="Arial" w:cs="Arial"/>
            <w:b/>
            <w:bCs/>
            <w:noProof/>
            <w:lang w:bidi="hi-IN"/>
          </w:rPr>
          <w:t>Fondements et limites de l’approche traditionnelle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51</w:t>
        </w:r>
        <w:r w:rsidR="008862C7">
          <w:rPr>
            <w:rStyle w:val="Lienhypertexte"/>
            <w:noProof/>
            <w:webHidden/>
          </w:rPr>
          <w:fldChar w:fldCharType="end"/>
        </w:r>
      </w:hyperlink>
    </w:p>
    <w:p w14:paraId="204F7570" w14:textId="77777777" w:rsidR="008862C7" w:rsidRDefault="00EA1CF0" w:rsidP="008862C7">
      <w:pPr>
        <w:pStyle w:val="TM5"/>
        <w:tabs>
          <w:tab w:val="clear" w:pos="708"/>
          <w:tab w:val="left" w:pos="1760"/>
          <w:tab w:val="right" w:leader="dot" w:pos="9062"/>
        </w:tabs>
        <w:rPr>
          <w:noProof/>
          <w:sz w:val="22"/>
          <w:szCs w:val="22"/>
        </w:rPr>
      </w:pPr>
      <w:hyperlink r:id="rId103" w:anchor="_Toc395107565" w:history="1">
        <w:r w:rsidR="008862C7">
          <w:rPr>
            <w:rStyle w:val="Lienhypertexte"/>
            <w:rFonts w:ascii="Arial" w:hAnsi="Arial" w:cs="Arial"/>
            <w:b/>
            <w:bCs/>
            <w:noProof/>
            <w:lang w:bidi="hi-IN"/>
          </w:rPr>
          <w:t>2.2.2.</w:t>
        </w:r>
        <w:r w:rsidR="008862C7">
          <w:rPr>
            <w:rStyle w:val="Lienhypertexte"/>
            <w:noProof/>
            <w:sz w:val="22"/>
            <w:szCs w:val="22"/>
          </w:rPr>
          <w:tab/>
        </w:r>
        <w:r w:rsidR="008862C7">
          <w:rPr>
            <w:rStyle w:val="Lienhypertexte"/>
            <w:rFonts w:ascii="Arial" w:hAnsi="Arial" w:cs="Arial"/>
            <w:b/>
            <w:bCs/>
            <w:noProof/>
            <w:lang w:bidi="hi-IN"/>
          </w:rPr>
          <w:t>Courants favorables à la dotation factorielle et émergence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53</w:t>
        </w:r>
        <w:r w:rsidR="008862C7">
          <w:rPr>
            <w:rStyle w:val="Lienhypertexte"/>
            <w:noProof/>
            <w:webHidden/>
          </w:rPr>
          <w:fldChar w:fldCharType="end"/>
        </w:r>
      </w:hyperlink>
    </w:p>
    <w:p w14:paraId="23590C3A" w14:textId="77777777" w:rsidR="008862C7" w:rsidRDefault="00EA1CF0" w:rsidP="008862C7">
      <w:pPr>
        <w:pStyle w:val="TM6"/>
        <w:tabs>
          <w:tab w:val="clear" w:pos="708"/>
          <w:tab w:val="left" w:pos="1920"/>
          <w:tab w:val="right" w:leader="dot" w:pos="9062"/>
        </w:tabs>
        <w:rPr>
          <w:noProof/>
          <w:sz w:val="22"/>
          <w:szCs w:val="22"/>
        </w:rPr>
      </w:pPr>
      <w:hyperlink r:id="rId104" w:anchor="_Toc395107566" w:history="1">
        <w:r w:rsidR="008862C7">
          <w:rPr>
            <w:rStyle w:val="Lienhypertexte"/>
            <w:rFonts w:ascii="Arial" w:hAnsi="Arial" w:cs="Arial"/>
            <w:b/>
            <w:bCs/>
            <w:noProof/>
          </w:rPr>
          <w:t>2.2.2.1.</w:t>
        </w:r>
        <w:r w:rsidR="008862C7">
          <w:rPr>
            <w:rStyle w:val="Lienhypertexte"/>
            <w:noProof/>
            <w:sz w:val="22"/>
            <w:szCs w:val="22"/>
          </w:rPr>
          <w:tab/>
        </w:r>
        <w:r w:rsidR="008862C7">
          <w:rPr>
            <w:rStyle w:val="Lienhypertexte"/>
            <w:rFonts w:ascii="Arial" w:hAnsi="Arial" w:cs="Arial"/>
            <w:b/>
            <w:bCs/>
            <w:noProof/>
          </w:rPr>
          <w:t>Courants favorables à la dotation factorielle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53</w:t>
        </w:r>
        <w:r w:rsidR="008862C7">
          <w:rPr>
            <w:rStyle w:val="Lienhypertexte"/>
            <w:noProof/>
            <w:webHidden/>
          </w:rPr>
          <w:fldChar w:fldCharType="end"/>
        </w:r>
      </w:hyperlink>
    </w:p>
    <w:p w14:paraId="2A36CBF0" w14:textId="77777777" w:rsidR="008862C7" w:rsidRDefault="00EA1CF0" w:rsidP="008862C7">
      <w:pPr>
        <w:pStyle w:val="TM7"/>
        <w:tabs>
          <w:tab w:val="clear" w:pos="708"/>
          <w:tab w:val="left" w:pos="1760"/>
          <w:tab w:val="right" w:leader="dot" w:pos="9062"/>
        </w:tabs>
        <w:rPr>
          <w:noProof/>
          <w:sz w:val="22"/>
          <w:szCs w:val="22"/>
        </w:rPr>
      </w:pPr>
      <w:hyperlink r:id="rId105" w:anchor="_Toc395107567"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Théorème de HOS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53</w:t>
        </w:r>
        <w:r w:rsidR="008862C7">
          <w:rPr>
            <w:rStyle w:val="Lienhypertexte"/>
            <w:noProof/>
            <w:webHidden/>
          </w:rPr>
          <w:fldChar w:fldCharType="end"/>
        </w:r>
      </w:hyperlink>
    </w:p>
    <w:p w14:paraId="133A78E0" w14:textId="77777777" w:rsidR="008862C7" w:rsidRDefault="00EA1CF0" w:rsidP="008862C7">
      <w:pPr>
        <w:pStyle w:val="TM7"/>
        <w:tabs>
          <w:tab w:val="clear" w:pos="708"/>
          <w:tab w:val="left" w:pos="1760"/>
          <w:tab w:val="right" w:leader="dot" w:pos="9062"/>
        </w:tabs>
        <w:rPr>
          <w:noProof/>
          <w:sz w:val="22"/>
          <w:szCs w:val="22"/>
        </w:rPr>
      </w:pPr>
      <w:hyperlink r:id="rId106" w:anchor="_Toc39510756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Prise en compte du facteur technologique avec Posner puis Vernon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54</w:t>
        </w:r>
        <w:r w:rsidR="008862C7">
          <w:rPr>
            <w:rStyle w:val="Lienhypertexte"/>
            <w:noProof/>
            <w:webHidden/>
          </w:rPr>
          <w:fldChar w:fldCharType="end"/>
        </w:r>
      </w:hyperlink>
    </w:p>
    <w:p w14:paraId="453BF62D" w14:textId="77777777" w:rsidR="008862C7" w:rsidRDefault="00EA1CF0" w:rsidP="008862C7">
      <w:pPr>
        <w:pStyle w:val="TM6"/>
        <w:tabs>
          <w:tab w:val="clear" w:pos="708"/>
          <w:tab w:val="left" w:pos="1920"/>
          <w:tab w:val="right" w:leader="dot" w:pos="9062"/>
        </w:tabs>
        <w:rPr>
          <w:noProof/>
          <w:sz w:val="22"/>
          <w:szCs w:val="22"/>
        </w:rPr>
      </w:pPr>
      <w:hyperlink r:id="rId107" w:anchor="_Toc395107569" w:history="1">
        <w:r w:rsidR="008862C7">
          <w:rPr>
            <w:rStyle w:val="Lienhypertexte"/>
            <w:rFonts w:ascii="Arial" w:hAnsi="Arial" w:cs="Arial"/>
            <w:b/>
            <w:bCs/>
            <w:noProof/>
          </w:rPr>
          <w:t>2.2.2.2.</w:t>
        </w:r>
        <w:r w:rsidR="008862C7">
          <w:rPr>
            <w:rStyle w:val="Lienhypertexte"/>
            <w:noProof/>
            <w:sz w:val="22"/>
            <w:szCs w:val="22"/>
          </w:rPr>
          <w:tab/>
        </w:r>
        <w:r w:rsidR="008862C7">
          <w:rPr>
            <w:rStyle w:val="Lienhypertexte"/>
            <w:rFonts w:ascii="Arial" w:hAnsi="Arial" w:cs="Arial"/>
            <w:b/>
            <w:bCs/>
            <w:noProof/>
          </w:rPr>
          <w:t>Emergence de la nouvelle théorie du commerce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_Toc395107569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55</w:t>
        </w:r>
        <w:r w:rsidR="008862C7">
          <w:rPr>
            <w:rStyle w:val="Lienhypertexte"/>
            <w:noProof/>
            <w:webHidden/>
          </w:rPr>
          <w:fldChar w:fldCharType="end"/>
        </w:r>
      </w:hyperlink>
    </w:p>
    <w:p w14:paraId="285FFD28" w14:textId="77777777" w:rsidR="008862C7" w:rsidRDefault="00EA1CF0" w:rsidP="008862C7">
      <w:pPr>
        <w:pStyle w:val="TM7"/>
        <w:tabs>
          <w:tab w:val="clear" w:pos="708"/>
          <w:tab w:val="left" w:pos="1760"/>
          <w:tab w:val="right" w:leader="dot" w:pos="9062"/>
        </w:tabs>
        <w:rPr>
          <w:noProof/>
          <w:sz w:val="22"/>
          <w:szCs w:val="22"/>
        </w:rPr>
      </w:pPr>
      <w:hyperlink r:id="rId108" w:anchor="_Toc39510757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Travaux précurseurs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56</w:t>
        </w:r>
        <w:r w:rsidR="008862C7">
          <w:rPr>
            <w:rStyle w:val="Lienhypertexte"/>
            <w:noProof/>
            <w:webHidden/>
          </w:rPr>
          <w:fldChar w:fldCharType="end"/>
        </w:r>
      </w:hyperlink>
    </w:p>
    <w:p w14:paraId="057FB516" w14:textId="77777777" w:rsidR="008862C7" w:rsidRDefault="00EA1CF0" w:rsidP="008862C7">
      <w:pPr>
        <w:pStyle w:val="TM7"/>
        <w:tabs>
          <w:tab w:val="clear" w:pos="708"/>
          <w:tab w:val="left" w:pos="1760"/>
          <w:tab w:val="right" w:leader="dot" w:pos="9062"/>
        </w:tabs>
        <w:rPr>
          <w:noProof/>
          <w:sz w:val="22"/>
          <w:szCs w:val="22"/>
        </w:rPr>
      </w:pPr>
      <w:hyperlink r:id="rId109" w:anchor="_Toc39510757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Travaux fondateurs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56</w:t>
        </w:r>
        <w:r w:rsidR="008862C7">
          <w:rPr>
            <w:rStyle w:val="Lienhypertexte"/>
            <w:noProof/>
            <w:webHidden/>
          </w:rPr>
          <w:fldChar w:fldCharType="end"/>
        </w:r>
      </w:hyperlink>
    </w:p>
    <w:p w14:paraId="0F52C065" w14:textId="77777777" w:rsidR="008862C7" w:rsidRDefault="00EA1CF0" w:rsidP="008862C7">
      <w:pPr>
        <w:pStyle w:val="TM3"/>
        <w:tabs>
          <w:tab w:val="clear" w:pos="708"/>
          <w:tab w:val="right" w:leader="dot" w:pos="9062"/>
        </w:tabs>
        <w:rPr>
          <w:i w:val="0"/>
          <w:iCs w:val="0"/>
          <w:noProof/>
          <w:sz w:val="22"/>
          <w:szCs w:val="22"/>
        </w:rPr>
      </w:pPr>
      <w:hyperlink r:id="rId110" w:anchor="_Toc395107572" w:history="1">
        <w:r w:rsidR="008862C7">
          <w:rPr>
            <w:rStyle w:val="Lienhypertexte"/>
            <w:b/>
            <w:noProof/>
          </w:rPr>
          <w:t>CONCLUSION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59</w:t>
        </w:r>
        <w:r w:rsidR="008862C7">
          <w:rPr>
            <w:rStyle w:val="Lienhypertexte"/>
            <w:noProof/>
            <w:webHidden/>
          </w:rPr>
          <w:fldChar w:fldCharType="end"/>
        </w:r>
      </w:hyperlink>
    </w:p>
    <w:p w14:paraId="74ABAD64" w14:textId="77777777" w:rsidR="008862C7" w:rsidRDefault="00EA1CF0" w:rsidP="008862C7">
      <w:pPr>
        <w:pStyle w:val="TM2"/>
        <w:rPr>
          <w:rFonts w:ascii="Calibri" w:hAnsi="Calibri" w:cs="Times New Roman"/>
          <w:b w:val="0"/>
          <w:sz w:val="22"/>
          <w:szCs w:val="22"/>
          <w:lang w:bidi="ar-SA"/>
        </w:rPr>
      </w:pPr>
      <w:hyperlink r:id="rId111" w:anchor="_Toc395107573" w:history="1">
        <w:r w:rsidR="008862C7">
          <w:rPr>
            <w:rStyle w:val="Lienhypertexte"/>
          </w:rPr>
          <w:t>CHAPITRE II : DYNAMIQUE DE LA  FILIERE COTONNIERE ET METHODOLOGIE DE L’ETUDE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_Toc395107573 \h </w:instrText>
        </w:r>
        <w:r w:rsidR="008862C7">
          <w:rPr>
            <w:rStyle w:val="Lienhypertexte"/>
            <w:webHidden/>
          </w:rPr>
        </w:r>
        <w:r w:rsidR="008862C7">
          <w:rPr>
            <w:rStyle w:val="Lienhypertexte"/>
            <w:webHidden/>
          </w:rPr>
          <w:fldChar w:fldCharType="separate"/>
        </w:r>
        <w:r w:rsidR="00AF344F">
          <w:rPr>
            <w:rStyle w:val="Lienhypertexte"/>
            <w:webHidden/>
          </w:rPr>
          <w:t>60</w:t>
        </w:r>
        <w:r w:rsidR="008862C7">
          <w:rPr>
            <w:rStyle w:val="Lienhypertexte"/>
            <w:webHidden/>
          </w:rPr>
          <w:fldChar w:fldCharType="end"/>
        </w:r>
      </w:hyperlink>
    </w:p>
    <w:p w14:paraId="7927D933" w14:textId="77777777" w:rsidR="008862C7" w:rsidRDefault="00EA1CF0" w:rsidP="008862C7">
      <w:pPr>
        <w:pStyle w:val="TM3"/>
        <w:tabs>
          <w:tab w:val="clear" w:pos="708"/>
          <w:tab w:val="right" w:leader="dot" w:pos="9062"/>
        </w:tabs>
        <w:rPr>
          <w:i w:val="0"/>
          <w:iCs w:val="0"/>
          <w:noProof/>
          <w:sz w:val="22"/>
          <w:szCs w:val="22"/>
        </w:rPr>
      </w:pPr>
      <w:hyperlink r:id="rId112" w:anchor="_Toc395107574" w:history="1">
        <w:r w:rsidR="008862C7">
          <w:rPr>
            <w:rStyle w:val="Lienhypertexte"/>
            <w:b/>
            <w:bCs/>
            <w:noProof/>
          </w:rPr>
          <w:t>INTRODUCTION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61</w:t>
        </w:r>
        <w:r w:rsidR="008862C7">
          <w:rPr>
            <w:rStyle w:val="Lienhypertexte"/>
            <w:noProof/>
            <w:webHidden/>
          </w:rPr>
          <w:fldChar w:fldCharType="end"/>
        </w:r>
      </w:hyperlink>
    </w:p>
    <w:p w14:paraId="08C46DBF" w14:textId="77777777" w:rsidR="008862C7" w:rsidRDefault="00EA1CF0" w:rsidP="008862C7">
      <w:pPr>
        <w:pStyle w:val="TM3"/>
        <w:tabs>
          <w:tab w:val="clear" w:pos="708"/>
          <w:tab w:val="right" w:leader="dot" w:pos="9062"/>
        </w:tabs>
        <w:rPr>
          <w:i w:val="0"/>
          <w:iCs w:val="0"/>
          <w:noProof/>
          <w:sz w:val="22"/>
          <w:szCs w:val="22"/>
        </w:rPr>
      </w:pPr>
      <w:hyperlink r:id="rId113" w:anchor="_Toc395107575" w:history="1">
        <w:r w:rsidR="008862C7">
          <w:rPr>
            <w:rStyle w:val="Lienhypertexte"/>
            <w:b/>
            <w:bCs/>
            <w:noProof/>
          </w:rPr>
          <w:t>I.  DYNAMIQUE  DE  LA  FILIERE  COTON  EN AFRIQUE DE  L’OUEST  ET  DU</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62</w:t>
        </w:r>
        <w:r w:rsidR="008862C7">
          <w:rPr>
            <w:rStyle w:val="Lienhypertexte"/>
            <w:noProof/>
            <w:webHidden/>
          </w:rPr>
          <w:fldChar w:fldCharType="end"/>
        </w:r>
      </w:hyperlink>
    </w:p>
    <w:p w14:paraId="72B2E15F" w14:textId="77777777" w:rsidR="008862C7" w:rsidRDefault="00EA1CF0" w:rsidP="008862C7">
      <w:pPr>
        <w:pStyle w:val="TM3"/>
        <w:tabs>
          <w:tab w:val="clear" w:pos="708"/>
          <w:tab w:val="right" w:leader="dot" w:pos="9062"/>
        </w:tabs>
        <w:rPr>
          <w:i w:val="0"/>
          <w:iCs w:val="0"/>
          <w:noProof/>
          <w:sz w:val="22"/>
          <w:szCs w:val="22"/>
        </w:rPr>
      </w:pPr>
      <w:hyperlink r:id="rId114" w:anchor="_Toc395107576" w:history="1">
        <w:r w:rsidR="008862C7">
          <w:rPr>
            <w:rStyle w:val="Lienhypertexte"/>
            <w:b/>
            <w:bCs/>
            <w:noProof/>
          </w:rPr>
          <w:t>CENTRE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62</w:t>
        </w:r>
        <w:r w:rsidR="008862C7">
          <w:rPr>
            <w:rStyle w:val="Lienhypertexte"/>
            <w:noProof/>
            <w:webHidden/>
          </w:rPr>
          <w:fldChar w:fldCharType="end"/>
        </w:r>
      </w:hyperlink>
    </w:p>
    <w:p w14:paraId="537CE110" w14:textId="77777777" w:rsidR="008862C7" w:rsidRDefault="00EA1CF0" w:rsidP="008862C7">
      <w:pPr>
        <w:pStyle w:val="TM4"/>
        <w:tabs>
          <w:tab w:val="clear" w:pos="708"/>
          <w:tab w:val="right" w:leader="dot" w:pos="9062"/>
        </w:tabs>
        <w:rPr>
          <w:noProof/>
          <w:sz w:val="22"/>
          <w:szCs w:val="22"/>
        </w:rPr>
      </w:pPr>
      <w:hyperlink r:id="rId115" w:anchor="_Toc395107577" w:history="1">
        <w:r w:rsidR="008862C7">
          <w:rPr>
            <w:rStyle w:val="Lienhypertexte"/>
            <w:rFonts w:ascii="Arial" w:hAnsi="Arial" w:cs="Arial"/>
            <w:noProof/>
          </w:rPr>
          <w:t>1.1. Dynamique et compétitivité du coton en AOC</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62</w:t>
        </w:r>
        <w:r w:rsidR="008862C7">
          <w:rPr>
            <w:rStyle w:val="Lienhypertexte"/>
            <w:noProof/>
            <w:webHidden/>
          </w:rPr>
          <w:fldChar w:fldCharType="end"/>
        </w:r>
      </w:hyperlink>
    </w:p>
    <w:p w14:paraId="78D2FDD9" w14:textId="77777777" w:rsidR="008862C7" w:rsidRDefault="00EA1CF0" w:rsidP="008862C7">
      <w:pPr>
        <w:pStyle w:val="TM5"/>
        <w:tabs>
          <w:tab w:val="clear" w:pos="708"/>
          <w:tab w:val="right" w:leader="dot" w:pos="9062"/>
        </w:tabs>
        <w:rPr>
          <w:noProof/>
          <w:sz w:val="22"/>
          <w:szCs w:val="22"/>
        </w:rPr>
      </w:pPr>
      <w:hyperlink r:id="rId116" w:anchor="_Toc395107578" w:history="1">
        <w:r w:rsidR="008862C7">
          <w:rPr>
            <w:rStyle w:val="Lienhypertexte"/>
            <w:rFonts w:ascii="Arial" w:hAnsi="Arial" w:cs="Arial"/>
            <w:b/>
            <w:noProof/>
            <w:spacing w:val="-2"/>
            <w:lang w:bidi="hi-IN"/>
          </w:rPr>
          <w:t>a. Pr</w:t>
        </w:r>
        <w:r w:rsidR="008862C7">
          <w:rPr>
            <w:rStyle w:val="Lienhypertexte"/>
            <w:rFonts w:ascii="Arial" w:hAnsi="Arial" w:cs="Arial"/>
            <w:b/>
            <w:noProof/>
            <w:spacing w:val="1"/>
            <w:lang w:bidi="hi-IN"/>
          </w:rPr>
          <w:t>o</w:t>
        </w:r>
        <w:r w:rsidR="008862C7">
          <w:rPr>
            <w:rStyle w:val="Lienhypertexte"/>
            <w:rFonts w:ascii="Arial" w:hAnsi="Arial" w:cs="Arial"/>
            <w:b/>
            <w:noProof/>
            <w:lang w:bidi="hi-IN"/>
          </w:rPr>
          <w:t>d</w:t>
        </w:r>
        <w:r w:rsidR="008862C7">
          <w:rPr>
            <w:rStyle w:val="Lienhypertexte"/>
            <w:rFonts w:ascii="Arial" w:hAnsi="Arial" w:cs="Arial"/>
            <w:b/>
            <w:noProof/>
            <w:spacing w:val="-1"/>
            <w:lang w:bidi="hi-IN"/>
          </w:rPr>
          <w:t>u</w:t>
        </w:r>
        <w:r w:rsidR="008862C7">
          <w:rPr>
            <w:rStyle w:val="Lienhypertexte"/>
            <w:rFonts w:ascii="Arial" w:hAnsi="Arial" w:cs="Arial"/>
            <w:b/>
            <w:noProof/>
            <w:lang w:bidi="hi-IN"/>
          </w:rPr>
          <w:t>c</w:t>
        </w:r>
        <w:r w:rsidR="008862C7">
          <w:rPr>
            <w:rStyle w:val="Lienhypertexte"/>
            <w:rFonts w:ascii="Arial" w:hAnsi="Arial" w:cs="Arial"/>
            <w:b/>
            <w:noProof/>
            <w:spacing w:val="1"/>
            <w:lang w:bidi="hi-IN"/>
          </w:rPr>
          <w:t>t</w:t>
        </w:r>
        <w:r w:rsidR="008862C7">
          <w:rPr>
            <w:rStyle w:val="Lienhypertexte"/>
            <w:rFonts w:ascii="Arial" w:hAnsi="Arial" w:cs="Arial"/>
            <w:b/>
            <w:noProof/>
            <w:spacing w:val="-2"/>
            <w:lang w:bidi="hi-IN"/>
          </w:rPr>
          <w:t>i</w:t>
        </w:r>
        <w:r w:rsidR="008862C7">
          <w:rPr>
            <w:rStyle w:val="Lienhypertexte"/>
            <w:rFonts w:ascii="Arial" w:hAnsi="Arial" w:cs="Arial"/>
            <w:b/>
            <w:noProof/>
            <w:spacing w:val="1"/>
            <w:lang w:bidi="hi-IN"/>
          </w:rPr>
          <w:t>o</w:t>
        </w:r>
        <w:r w:rsidR="008862C7">
          <w:rPr>
            <w:rStyle w:val="Lienhypertexte"/>
            <w:rFonts w:ascii="Arial" w:hAnsi="Arial" w:cs="Arial"/>
            <w:b/>
            <w:noProof/>
            <w:lang w:bidi="hi-IN"/>
          </w:rPr>
          <w:t xml:space="preserve">n  </w:t>
        </w:r>
        <w:r w:rsidR="008862C7">
          <w:rPr>
            <w:rStyle w:val="Lienhypertexte"/>
            <w:rFonts w:ascii="Arial" w:hAnsi="Arial" w:cs="Arial"/>
            <w:b/>
            <w:noProof/>
            <w:spacing w:val="1"/>
            <w:lang w:bidi="hi-IN"/>
          </w:rPr>
          <w:t>e</w:t>
        </w:r>
        <w:r w:rsidR="008862C7">
          <w:rPr>
            <w:rStyle w:val="Lienhypertexte"/>
            <w:rFonts w:ascii="Arial" w:hAnsi="Arial" w:cs="Arial"/>
            <w:b/>
            <w:noProof/>
            <w:lang w:bidi="hi-IN"/>
          </w:rPr>
          <w:t>t c</w:t>
        </w:r>
        <w:r w:rsidR="008862C7">
          <w:rPr>
            <w:rStyle w:val="Lienhypertexte"/>
            <w:rFonts w:ascii="Arial" w:hAnsi="Arial" w:cs="Arial"/>
            <w:b/>
            <w:noProof/>
            <w:spacing w:val="1"/>
            <w:lang w:bidi="hi-IN"/>
          </w:rPr>
          <w:t>o</w:t>
        </w:r>
        <w:r w:rsidR="008862C7">
          <w:rPr>
            <w:rStyle w:val="Lienhypertexte"/>
            <w:rFonts w:ascii="Arial" w:hAnsi="Arial" w:cs="Arial"/>
            <w:b/>
            <w:noProof/>
            <w:spacing w:val="-1"/>
            <w:lang w:bidi="hi-IN"/>
          </w:rPr>
          <w:t>n</w:t>
        </w:r>
        <w:r w:rsidR="008862C7">
          <w:rPr>
            <w:rStyle w:val="Lienhypertexte"/>
            <w:rFonts w:ascii="Arial" w:hAnsi="Arial" w:cs="Arial"/>
            <w:b/>
            <w:noProof/>
            <w:lang w:bidi="hi-IN"/>
          </w:rPr>
          <w:t>s</w:t>
        </w:r>
        <w:r w:rsidR="008862C7">
          <w:rPr>
            <w:rStyle w:val="Lienhypertexte"/>
            <w:rFonts w:ascii="Arial" w:hAnsi="Arial" w:cs="Arial"/>
            <w:b/>
            <w:noProof/>
            <w:spacing w:val="1"/>
            <w:lang w:bidi="hi-IN"/>
          </w:rPr>
          <w:t>o</w:t>
        </w:r>
        <w:r w:rsidR="008862C7">
          <w:rPr>
            <w:rStyle w:val="Lienhypertexte"/>
            <w:rFonts w:ascii="Arial" w:hAnsi="Arial" w:cs="Arial"/>
            <w:b/>
            <w:noProof/>
            <w:lang w:bidi="hi-IN"/>
          </w:rPr>
          <w:t>m</w:t>
        </w:r>
        <w:r w:rsidR="008862C7">
          <w:rPr>
            <w:rStyle w:val="Lienhypertexte"/>
            <w:rFonts w:ascii="Arial" w:hAnsi="Arial" w:cs="Arial"/>
            <w:b/>
            <w:noProof/>
            <w:spacing w:val="-2"/>
            <w:lang w:bidi="hi-IN"/>
          </w:rPr>
          <w:t>m</w:t>
        </w:r>
        <w:r w:rsidR="008862C7">
          <w:rPr>
            <w:rStyle w:val="Lienhypertexte"/>
            <w:rFonts w:ascii="Arial" w:hAnsi="Arial" w:cs="Arial"/>
            <w:b/>
            <w:noProof/>
            <w:lang w:bidi="hi-IN"/>
          </w:rPr>
          <w:t>a</w:t>
        </w:r>
        <w:r w:rsidR="008862C7">
          <w:rPr>
            <w:rStyle w:val="Lienhypertexte"/>
            <w:rFonts w:ascii="Arial" w:hAnsi="Arial" w:cs="Arial"/>
            <w:b/>
            <w:noProof/>
            <w:spacing w:val="1"/>
            <w:lang w:bidi="hi-IN"/>
          </w:rPr>
          <w:t>t</w:t>
        </w:r>
        <w:r w:rsidR="008862C7">
          <w:rPr>
            <w:rStyle w:val="Lienhypertexte"/>
            <w:rFonts w:ascii="Arial" w:hAnsi="Arial" w:cs="Arial"/>
            <w:b/>
            <w:noProof/>
            <w:lang w:bidi="hi-IN"/>
          </w:rPr>
          <w:t>i</w:t>
        </w:r>
        <w:r w:rsidR="008862C7">
          <w:rPr>
            <w:rStyle w:val="Lienhypertexte"/>
            <w:rFonts w:ascii="Arial" w:hAnsi="Arial" w:cs="Arial"/>
            <w:b/>
            <w:noProof/>
            <w:spacing w:val="1"/>
            <w:lang w:bidi="hi-IN"/>
          </w:rPr>
          <w:t>o</w:t>
        </w:r>
        <w:r w:rsidR="008862C7">
          <w:rPr>
            <w:rStyle w:val="Lienhypertexte"/>
            <w:rFonts w:ascii="Arial" w:hAnsi="Arial" w:cs="Arial"/>
            <w:b/>
            <w:noProof/>
            <w:lang w:bidi="hi-IN"/>
          </w:rPr>
          <w:t>n</w:t>
        </w:r>
        <w:r w:rsidR="008862C7">
          <w:rPr>
            <w:rStyle w:val="Lienhypertexte"/>
            <w:rFonts w:ascii="Arial" w:hAnsi="Arial" w:cs="Arial"/>
            <w:b/>
            <w:noProof/>
            <w:spacing w:val="-2"/>
            <w:lang w:bidi="hi-IN"/>
          </w:rPr>
          <w:t xml:space="preserve"> </w:t>
        </w:r>
        <w:r w:rsidR="008862C7">
          <w:rPr>
            <w:rStyle w:val="Lienhypertexte"/>
            <w:rFonts w:ascii="Arial" w:hAnsi="Arial" w:cs="Arial"/>
            <w:b/>
            <w:noProof/>
            <w:lang w:bidi="hi-IN"/>
          </w:rPr>
          <w:t>m</w:t>
        </w:r>
        <w:r w:rsidR="008862C7">
          <w:rPr>
            <w:rStyle w:val="Lienhypertexte"/>
            <w:rFonts w:ascii="Arial" w:hAnsi="Arial" w:cs="Arial"/>
            <w:b/>
            <w:noProof/>
            <w:spacing w:val="1"/>
            <w:lang w:bidi="hi-IN"/>
          </w:rPr>
          <w:t>o</w:t>
        </w:r>
        <w:r w:rsidR="008862C7">
          <w:rPr>
            <w:rStyle w:val="Lienhypertexte"/>
            <w:rFonts w:ascii="Arial" w:hAnsi="Arial" w:cs="Arial"/>
            <w:b/>
            <w:noProof/>
            <w:spacing w:val="-1"/>
            <w:lang w:bidi="hi-IN"/>
          </w:rPr>
          <w:t>n</w:t>
        </w:r>
        <w:r w:rsidR="008862C7">
          <w:rPr>
            <w:rStyle w:val="Lienhypertexte"/>
            <w:rFonts w:ascii="Arial" w:hAnsi="Arial" w:cs="Arial"/>
            <w:b/>
            <w:noProof/>
            <w:lang w:bidi="hi-IN"/>
          </w:rPr>
          <w:t>dia</w:t>
        </w:r>
        <w:r w:rsidR="008862C7">
          <w:rPr>
            <w:rStyle w:val="Lienhypertexte"/>
            <w:rFonts w:ascii="Arial" w:hAnsi="Arial" w:cs="Arial"/>
            <w:b/>
            <w:noProof/>
            <w:spacing w:val="-2"/>
            <w:lang w:bidi="hi-IN"/>
          </w:rPr>
          <w:t>l</w:t>
        </w:r>
        <w:r w:rsidR="008862C7">
          <w:rPr>
            <w:rStyle w:val="Lienhypertexte"/>
            <w:rFonts w:ascii="Arial" w:hAnsi="Arial" w:cs="Arial"/>
            <w:b/>
            <w:noProof/>
            <w:spacing w:val="1"/>
            <w:lang w:bidi="hi-IN"/>
          </w:rPr>
          <w:t>e</w:t>
        </w:r>
        <w:r w:rsidR="008862C7">
          <w:rPr>
            <w:rStyle w:val="Lienhypertexte"/>
            <w:rFonts w:ascii="Arial" w:hAnsi="Arial" w:cs="Arial"/>
            <w:b/>
            <w:noProof/>
            <w:spacing w:val="-1"/>
            <w:lang w:bidi="hi-IN"/>
          </w:rPr>
          <w:t xml:space="preserve"> </w:t>
        </w:r>
        <w:r w:rsidR="008862C7">
          <w:rPr>
            <w:rStyle w:val="Lienhypertexte"/>
            <w:rFonts w:ascii="Arial" w:hAnsi="Arial" w:cs="Arial"/>
            <w:b/>
            <w:noProof/>
            <w:lang w:bidi="hi-IN"/>
          </w:rPr>
          <w:t>du c</w:t>
        </w:r>
        <w:r w:rsidR="008862C7">
          <w:rPr>
            <w:rStyle w:val="Lienhypertexte"/>
            <w:rFonts w:ascii="Arial" w:hAnsi="Arial" w:cs="Arial"/>
            <w:b/>
            <w:noProof/>
            <w:spacing w:val="1"/>
            <w:lang w:bidi="hi-IN"/>
          </w:rPr>
          <w:t>o</w:t>
        </w:r>
        <w:r w:rsidR="008862C7">
          <w:rPr>
            <w:rStyle w:val="Lienhypertexte"/>
            <w:rFonts w:ascii="Arial" w:hAnsi="Arial" w:cs="Arial"/>
            <w:b/>
            <w:noProof/>
            <w:spacing w:val="-1"/>
            <w:lang w:bidi="hi-IN"/>
          </w:rPr>
          <w:t>t</w:t>
        </w:r>
        <w:r w:rsidR="008862C7">
          <w:rPr>
            <w:rStyle w:val="Lienhypertexte"/>
            <w:rFonts w:ascii="Arial" w:hAnsi="Arial" w:cs="Arial"/>
            <w:b/>
            <w:noProof/>
            <w:spacing w:val="1"/>
            <w:lang w:bidi="hi-IN"/>
          </w:rPr>
          <w:t>o</w:t>
        </w:r>
        <w:r w:rsidR="008862C7">
          <w:rPr>
            <w:rStyle w:val="Lienhypertexte"/>
            <w:rFonts w:ascii="Arial" w:hAnsi="Arial" w:cs="Arial"/>
            <w:b/>
            <w:noProof/>
            <w:lang w:bidi="hi-IN"/>
          </w:rPr>
          <w:t>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_Toc395107578 \h </w:instrText>
        </w:r>
        <w:r w:rsidR="008862C7">
          <w:rPr>
            <w:rStyle w:val="Lienhypertexte"/>
            <w:noProof/>
            <w:webHidden/>
          </w:rPr>
          <w:fldChar w:fldCharType="separate"/>
        </w:r>
        <w:r w:rsidR="00AF344F">
          <w:rPr>
            <w:rStyle w:val="Lienhypertexte"/>
            <w:b/>
            <w:bCs/>
            <w:noProof/>
            <w:webHidden/>
          </w:rPr>
          <w:t>Erreur ! Signet non défini.</w:t>
        </w:r>
        <w:r w:rsidR="008862C7">
          <w:rPr>
            <w:rStyle w:val="Lienhypertexte"/>
            <w:noProof/>
            <w:webHidden/>
          </w:rPr>
          <w:fldChar w:fldCharType="end"/>
        </w:r>
      </w:hyperlink>
    </w:p>
    <w:p w14:paraId="51616245" w14:textId="77777777" w:rsidR="008862C7" w:rsidRDefault="00EA1CF0" w:rsidP="008862C7">
      <w:pPr>
        <w:pStyle w:val="TM6"/>
        <w:tabs>
          <w:tab w:val="clear" w:pos="708"/>
          <w:tab w:val="right" w:leader="dot" w:pos="9062"/>
        </w:tabs>
        <w:rPr>
          <w:noProof/>
          <w:sz w:val="22"/>
          <w:szCs w:val="22"/>
        </w:rPr>
      </w:pPr>
      <w:hyperlink r:id="rId117" w:anchor="_Toc395107579" w:history="1">
        <w:r w:rsidR="008862C7">
          <w:rPr>
            <w:rStyle w:val="Lienhypertexte"/>
            <w:rFonts w:ascii="Arial" w:hAnsi="Arial" w:cs="Arial"/>
            <w:b/>
            <w:bCs/>
            <w:noProof/>
            <w:lang w:bidi="hi-IN"/>
          </w:rPr>
          <w:t>b. Dynamique de la production cotonnière en AOC : de la vache grasse à la vache maigre.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_Toc395107579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63</w:t>
        </w:r>
        <w:r w:rsidR="008862C7">
          <w:rPr>
            <w:rStyle w:val="Lienhypertexte"/>
            <w:noProof/>
            <w:webHidden/>
          </w:rPr>
          <w:fldChar w:fldCharType="end"/>
        </w:r>
      </w:hyperlink>
    </w:p>
    <w:p w14:paraId="2003D566" w14:textId="77777777" w:rsidR="008862C7" w:rsidRDefault="00EA1CF0" w:rsidP="008862C7">
      <w:pPr>
        <w:pStyle w:val="TM7"/>
        <w:tabs>
          <w:tab w:val="clear" w:pos="708"/>
          <w:tab w:val="left" w:pos="1760"/>
          <w:tab w:val="right" w:leader="dot" w:pos="9062"/>
        </w:tabs>
        <w:rPr>
          <w:noProof/>
          <w:sz w:val="22"/>
          <w:szCs w:val="22"/>
        </w:rPr>
      </w:pPr>
      <w:hyperlink r:id="rId118" w:anchor="_Toc39510758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bCs/>
            <w:noProof/>
          </w:rPr>
          <w:t>Années de la vache  grasse: Croissance de la production cotonnière de 1985 - 2006</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64</w:t>
        </w:r>
        <w:r w:rsidR="008862C7">
          <w:rPr>
            <w:rStyle w:val="Lienhypertexte"/>
            <w:noProof/>
            <w:webHidden/>
          </w:rPr>
          <w:fldChar w:fldCharType="end"/>
        </w:r>
      </w:hyperlink>
    </w:p>
    <w:p w14:paraId="4E1E65D9" w14:textId="77777777" w:rsidR="008862C7" w:rsidRDefault="00EA1CF0" w:rsidP="008862C7">
      <w:pPr>
        <w:pStyle w:val="TM7"/>
        <w:tabs>
          <w:tab w:val="clear" w:pos="708"/>
          <w:tab w:val="right" w:leader="dot" w:pos="9062"/>
        </w:tabs>
        <w:rPr>
          <w:noProof/>
          <w:sz w:val="22"/>
          <w:szCs w:val="22"/>
        </w:rPr>
      </w:pPr>
      <w:hyperlink r:id="rId119" w:anchor="_Toc395107581" w:history="1">
        <w:r w:rsidR="008862C7">
          <w:rPr>
            <w:rStyle w:val="Lienhypertexte"/>
            <w:rFonts w:ascii="Arial" w:hAnsi="Arial" w:cs="Arial"/>
            <w:b/>
            <w:noProof/>
            <w:lang w:bidi="hi-IN"/>
          </w:rPr>
          <w:t xml:space="preserve">c. </w:t>
        </w:r>
        <w:r w:rsidR="008862C7">
          <w:rPr>
            <w:rStyle w:val="Lienhypertexte"/>
            <w:rFonts w:ascii="Arial" w:hAnsi="Arial" w:cs="Arial"/>
            <w:b/>
            <w:bCs/>
            <w:noProof/>
            <w:lang w:bidi="hi-IN"/>
          </w:rPr>
          <w:t>Années de la vache maigre liées au marché international depuis 1985</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65</w:t>
        </w:r>
        <w:r w:rsidR="008862C7">
          <w:rPr>
            <w:rStyle w:val="Lienhypertexte"/>
            <w:noProof/>
            <w:webHidden/>
          </w:rPr>
          <w:fldChar w:fldCharType="end"/>
        </w:r>
      </w:hyperlink>
    </w:p>
    <w:p w14:paraId="7F360DB8" w14:textId="77777777" w:rsidR="008862C7" w:rsidRDefault="00EA1CF0" w:rsidP="008862C7">
      <w:pPr>
        <w:pStyle w:val="TM8"/>
        <w:tabs>
          <w:tab w:val="clear" w:pos="708"/>
          <w:tab w:val="left" w:pos="1843"/>
          <w:tab w:val="right" w:leader="dot" w:pos="9062"/>
        </w:tabs>
        <w:rPr>
          <w:noProof/>
          <w:sz w:val="22"/>
          <w:szCs w:val="22"/>
        </w:rPr>
      </w:pPr>
      <w:hyperlink r:id="rId120" w:anchor="_Toc395107582"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Réaction des pays de l’AOC à la crise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66</w:t>
        </w:r>
        <w:r w:rsidR="008862C7">
          <w:rPr>
            <w:rStyle w:val="Lienhypertexte"/>
            <w:noProof/>
            <w:webHidden/>
          </w:rPr>
          <w:fldChar w:fldCharType="end"/>
        </w:r>
      </w:hyperlink>
    </w:p>
    <w:p w14:paraId="57B94E84" w14:textId="77777777" w:rsidR="008862C7" w:rsidRDefault="00EA1CF0" w:rsidP="008862C7">
      <w:pPr>
        <w:pStyle w:val="TM7"/>
        <w:tabs>
          <w:tab w:val="clear" w:pos="708"/>
          <w:tab w:val="left" w:pos="1760"/>
          <w:tab w:val="right" w:leader="dot" w:pos="9062"/>
        </w:tabs>
        <w:rPr>
          <w:noProof/>
          <w:sz w:val="22"/>
          <w:szCs w:val="22"/>
        </w:rPr>
      </w:pPr>
      <w:hyperlink r:id="rId121" w:anchor="_Toc395107583" w:history="1">
        <w:r w:rsidR="008862C7">
          <w:rPr>
            <w:rStyle w:val="Lienhypertexte"/>
            <w:rFonts w:ascii="Arial" w:hAnsi="Arial" w:cs="Arial"/>
            <w:b/>
            <w:bCs/>
            <w:noProof/>
            <w:lang w:bidi="hi-IN"/>
          </w:rPr>
          <w:t>d.</w:t>
        </w:r>
        <w:r w:rsidR="008862C7">
          <w:rPr>
            <w:rStyle w:val="Lienhypertexte"/>
            <w:noProof/>
            <w:sz w:val="22"/>
            <w:szCs w:val="22"/>
          </w:rPr>
          <w:tab/>
        </w:r>
        <w:r w:rsidR="008862C7">
          <w:rPr>
            <w:rStyle w:val="Lienhypertexte"/>
            <w:rFonts w:ascii="Arial" w:hAnsi="Arial" w:cs="Arial"/>
            <w:b/>
            <w:bCs/>
            <w:noProof/>
            <w:lang w:bidi="hi-IN"/>
          </w:rPr>
          <w:t>Enjeux de la libéralisation en AOC</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68</w:t>
        </w:r>
        <w:r w:rsidR="008862C7">
          <w:rPr>
            <w:rStyle w:val="Lienhypertexte"/>
            <w:noProof/>
            <w:webHidden/>
          </w:rPr>
          <w:fldChar w:fldCharType="end"/>
        </w:r>
      </w:hyperlink>
    </w:p>
    <w:p w14:paraId="7B0615C3" w14:textId="77777777" w:rsidR="008862C7" w:rsidRDefault="00EA1CF0" w:rsidP="008862C7">
      <w:pPr>
        <w:pStyle w:val="TM8"/>
        <w:tabs>
          <w:tab w:val="clear" w:pos="708"/>
          <w:tab w:val="left" w:pos="1843"/>
          <w:tab w:val="right" w:leader="dot" w:pos="9062"/>
        </w:tabs>
        <w:rPr>
          <w:noProof/>
          <w:sz w:val="22"/>
          <w:szCs w:val="22"/>
        </w:rPr>
      </w:pPr>
      <w:hyperlink r:id="rId122" w:anchor="_Toc395107584" w:history="1">
        <w:r w:rsidR="008862C7">
          <w:rPr>
            <w:rStyle w:val="Lienhypertexte"/>
            <w:rFonts w:ascii="Symbol" w:hAnsi="Symbol" w:cs="Arial"/>
            <w:bCs/>
            <w:noProof/>
          </w:rPr>
          <w:t>·</w:t>
        </w:r>
        <w:r w:rsidR="008862C7">
          <w:rPr>
            <w:rStyle w:val="Lienhypertexte"/>
            <w:noProof/>
            <w:sz w:val="22"/>
            <w:szCs w:val="22"/>
          </w:rPr>
          <w:tab/>
        </w:r>
        <w:r w:rsidR="008862C7">
          <w:rPr>
            <w:rStyle w:val="Lienhypertexte"/>
            <w:rFonts w:ascii="Arial" w:hAnsi="Arial" w:cs="Arial"/>
            <w:b/>
            <w:bCs/>
            <w:noProof/>
          </w:rPr>
          <w:t>Compétitivité du coton en AOC</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69</w:t>
        </w:r>
        <w:r w:rsidR="008862C7">
          <w:rPr>
            <w:rStyle w:val="Lienhypertexte"/>
            <w:noProof/>
            <w:webHidden/>
          </w:rPr>
          <w:fldChar w:fldCharType="end"/>
        </w:r>
      </w:hyperlink>
    </w:p>
    <w:p w14:paraId="337DC4B0" w14:textId="77777777" w:rsidR="008862C7" w:rsidRDefault="00EA1CF0" w:rsidP="008862C7">
      <w:pPr>
        <w:pStyle w:val="TM8"/>
        <w:tabs>
          <w:tab w:val="clear" w:pos="708"/>
          <w:tab w:val="left" w:pos="1843"/>
          <w:tab w:val="right" w:leader="dot" w:pos="9062"/>
        </w:tabs>
        <w:rPr>
          <w:noProof/>
          <w:sz w:val="22"/>
          <w:szCs w:val="22"/>
        </w:rPr>
      </w:pPr>
      <w:hyperlink r:id="rId123" w:anchor="_Toc395107585"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bCs/>
            <w:noProof/>
          </w:rPr>
          <w:t>Principales contraintes à la compétitivité du coton en AOC</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70</w:t>
        </w:r>
        <w:r w:rsidR="008862C7">
          <w:rPr>
            <w:rStyle w:val="Lienhypertexte"/>
            <w:noProof/>
            <w:webHidden/>
          </w:rPr>
          <w:fldChar w:fldCharType="end"/>
        </w:r>
      </w:hyperlink>
    </w:p>
    <w:p w14:paraId="7AEF6EAC" w14:textId="77777777" w:rsidR="008862C7" w:rsidRDefault="00EA1CF0" w:rsidP="008862C7">
      <w:pPr>
        <w:pStyle w:val="TM4"/>
        <w:tabs>
          <w:tab w:val="clear" w:pos="708"/>
          <w:tab w:val="right" w:leader="dot" w:pos="9062"/>
        </w:tabs>
        <w:rPr>
          <w:noProof/>
          <w:sz w:val="22"/>
          <w:szCs w:val="22"/>
        </w:rPr>
      </w:pPr>
      <w:hyperlink r:id="rId124" w:anchor="_Toc395107586" w:history="1">
        <w:r w:rsidR="008862C7">
          <w:rPr>
            <w:rStyle w:val="Lienhypertexte"/>
            <w:rFonts w:ascii="Arial" w:hAnsi="Arial" w:cs="Arial"/>
            <w:noProof/>
          </w:rPr>
          <w:t>1.2. Dynamique de la filière cotonnière Centrafricaine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72</w:t>
        </w:r>
        <w:r w:rsidR="008862C7">
          <w:rPr>
            <w:rStyle w:val="Lienhypertexte"/>
            <w:noProof/>
            <w:webHidden/>
          </w:rPr>
          <w:fldChar w:fldCharType="end"/>
        </w:r>
      </w:hyperlink>
    </w:p>
    <w:p w14:paraId="4E75BB6A" w14:textId="77777777" w:rsidR="008862C7" w:rsidRDefault="00EA1CF0" w:rsidP="008862C7">
      <w:pPr>
        <w:pStyle w:val="TM5"/>
        <w:tabs>
          <w:tab w:val="clear" w:pos="708"/>
          <w:tab w:val="right" w:leader="dot" w:pos="9062"/>
        </w:tabs>
        <w:rPr>
          <w:noProof/>
          <w:sz w:val="22"/>
          <w:szCs w:val="22"/>
        </w:rPr>
      </w:pPr>
      <w:hyperlink r:id="rId125" w:anchor="_Toc395107587" w:history="1">
        <w:r w:rsidR="008862C7">
          <w:rPr>
            <w:rStyle w:val="Lienhypertexte"/>
            <w:rFonts w:ascii="Arial" w:hAnsi="Arial" w:cs="Arial"/>
            <w:b/>
            <w:bCs/>
            <w:noProof/>
            <w:lang w:bidi="hi-IN"/>
          </w:rPr>
          <w:t>1.2.1. Historique de la filière coton en RCA</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73</w:t>
        </w:r>
        <w:r w:rsidR="008862C7">
          <w:rPr>
            <w:rStyle w:val="Lienhypertexte"/>
            <w:noProof/>
            <w:webHidden/>
          </w:rPr>
          <w:fldChar w:fldCharType="end"/>
        </w:r>
      </w:hyperlink>
    </w:p>
    <w:p w14:paraId="15A39FF6" w14:textId="77777777" w:rsidR="008862C7" w:rsidRDefault="00EA1CF0" w:rsidP="008862C7">
      <w:pPr>
        <w:pStyle w:val="TM5"/>
        <w:tabs>
          <w:tab w:val="clear" w:pos="708"/>
          <w:tab w:val="right" w:leader="dot" w:pos="9062"/>
        </w:tabs>
        <w:rPr>
          <w:noProof/>
          <w:sz w:val="22"/>
          <w:szCs w:val="22"/>
        </w:rPr>
      </w:pPr>
      <w:hyperlink r:id="rId126" w:anchor="_Toc395107588" w:history="1">
        <w:r w:rsidR="008862C7">
          <w:rPr>
            <w:rStyle w:val="Lienhypertexte"/>
            <w:rFonts w:ascii="Arial" w:hAnsi="Arial" w:cs="Arial"/>
            <w:b/>
            <w:noProof/>
            <w:lang w:bidi="hi-IN"/>
          </w:rPr>
          <w:t>1.2.2. Bref aperçu sur le processus de libéralisation de la filière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75</w:t>
        </w:r>
        <w:r w:rsidR="008862C7">
          <w:rPr>
            <w:rStyle w:val="Lienhypertexte"/>
            <w:noProof/>
            <w:webHidden/>
          </w:rPr>
          <w:fldChar w:fldCharType="end"/>
        </w:r>
      </w:hyperlink>
    </w:p>
    <w:p w14:paraId="413C5AA9" w14:textId="77777777" w:rsidR="008862C7" w:rsidRDefault="00EA1CF0" w:rsidP="008862C7">
      <w:pPr>
        <w:pStyle w:val="TM3"/>
        <w:tabs>
          <w:tab w:val="clear" w:pos="708"/>
          <w:tab w:val="right" w:leader="dot" w:pos="9062"/>
        </w:tabs>
        <w:rPr>
          <w:i w:val="0"/>
          <w:iCs w:val="0"/>
          <w:noProof/>
          <w:sz w:val="22"/>
          <w:szCs w:val="22"/>
        </w:rPr>
      </w:pPr>
      <w:hyperlink r:id="rId127" w:anchor="_Toc395107589" w:history="1">
        <w:r w:rsidR="008862C7">
          <w:rPr>
            <w:rStyle w:val="Lienhypertexte"/>
            <w:b/>
            <w:noProof/>
          </w:rPr>
          <w:t>II. DEMARCHE METHODOLOGIQUE ET TERRAIN DE RECHERCHE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_Toc395107589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76</w:t>
        </w:r>
        <w:r w:rsidR="008862C7">
          <w:rPr>
            <w:rStyle w:val="Lienhypertexte"/>
            <w:noProof/>
            <w:webHidden/>
          </w:rPr>
          <w:fldChar w:fldCharType="end"/>
        </w:r>
      </w:hyperlink>
    </w:p>
    <w:p w14:paraId="436EEB5F" w14:textId="77777777" w:rsidR="008862C7" w:rsidRDefault="00EA1CF0" w:rsidP="008862C7">
      <w:pPr>
        <w:pStyle w:val="TM4"/>
        <w:tabs>
          <w:tab w:val="clear" w:pos="708"/>
          <w:tab w:val="right" w:leader="dot" w:pos="9062"/>
        </w:tabs>
        <w:rPr>
          <w:noProof/>
          <w:sz w:val="22"/>
          <w:szCs w:val="22"/>
        </w:rPr>
      </w:pPr>
      <w:hyperlink r:id="rId128" w:anchor="_Toc395107590" w:history="1">
        <w:r w:rsidR="008862C7">
          <w:rPr>
            <w:rStyle w:val="Lienhypertexte"/>
            <w:rFonts w:ascii="Arial" w:hAnsi="Arial" w:cs="Arial"/>
            <w:noProof/>
          </w:rPr>
          <w:t>2.1. Approche méthodologique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76</w:t>
        </w:r>
        <w:r w:rsidR="008862C7">
          <w:rPr>
            <w:rStyle w:val="Lienhypertexte"/>
            <w:noProof/>
            <w:webHidden/>
          </w:rPr>
          <w:fldChar w:fldCharType="end"/>
        </w:r>
      </w:hyperlink>
    </w:p>
    <w:p w14:paraId="11487D85" w14:textId="77777777" w:rsidR="008862C7" w:rsidRDefault="00EA1CF0" w:rsidP="008862C7">
      <w:pPr>
        <w:pStyle w:val="TM5"/>
        <w:tabs>
          <w:tab w:val="clear" w:pos="708"/>
          <w:tab w:val="right" w:leader="dot" w:pos="9062"/>
        </w:tabs>
        <w:rPr>
          <w:noProof/>
          <w:sz w:val="22"/>
          <w:szCs w:val="22"/>
        </w:rPr>
      </w:pPr>
      <w:hyperlink r:id="rId129" w:anchor="_Toc395107591" w:history="1">
        <w:r w:rsidR="008862C7">
          <w:rPr>
            <w:rStyle w:val="Lienhypertexte"/>
            <w:rFonts w:ascii="Arial" w:hAnsi="Arial" w:cs="Arial"/>
            <w:b/>
            <w:noProof/>
            <w:lang w:bidi="hi-IN"/>
          </w:rPr>
          <w:t>2.1.1 Méthodologie d’évaluation des déterminants : modèles et échantillons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79</w:t>
        </w:r>
        <w:r w:rsidR="008862C7">
          <w:rPr>
            <w:rStyle w:val="Lienhypertexte"/>
            <w:noProof/>
            <w:webHidden/>
          </w:rPr>
          <w:fldChar w:fldCharType="end"/>
        </w:r>
      </w:hyperlink>
    </w:p>
    <w:p w14:paraId="25042146" w14:textId="77777777" w:rsidR="008862C7" w:rsidRDefault="00EA1CF0" w:rsidP="008862C7">
      <w:pPr>
        <w:pStyle w:val="TM8"/>
        <w:tabs>
          <w:tab w:val="clear" w:pos="708"/>
          <w:tab w:val="left" w:pos="1843"/>
          <w:tab w:val="right" w:leader="dot" w:pos="9062"/>
        </w:tabs>
        <w:rPr>
          <w:noProof/>
          <w:sz w:val="22"/>
          <w:szCs w:val="22"/>
        </w:rPr>
      </w:pPr>
      <w:hyperlink r:id="rId130" w:anchor="_Toc39510759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Modèle 1 : Régression sur données de panel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80</w:t>
        </w:r>
        <w:r w:rsidR="008862C7">
          <w:rPr>
            <w:rStyle w:val="Lienhypertexte"/>
            <w:noProof/>
            <w:webHidden/>
          </w:rPr>
          <w:fldChar w:fldCharType="end"/>
        </w:r>
      </w:hyperlink>
    </w:p>
    <w:p w14:paraId="2A7D389F" w14:textId="77777777" w:rsidR="008862C7" w:rsidRDefault="00EA1CF0" w:rsidP="008862C7">
      <w:pPr>
        <w:pStyle w:val="TM8"/>
        <w:tabs>
          <w:tab w:val="clear" w:pos="708"/>
          <w:tab w:val="left" w:pos="1843"/>
          <w:tab w:val="right" w:leader="dot" w:pos="9062"/>
        </w:tabs>
        <w:rPr>
          <w:noProof/>
          <w:sz w:val="22"/>
          <w:szCs w:val="22"/>
        </w:rPr>
      </w:pPr>
      <w:hyperlink r:id="rId131" w:anchor="_Toc39510759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Modèle 2 : Classification des flux d’exportation en termes de performance prix et de performance qualité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83</w:t>
        </w:r>
        <w:r w:rsidR="008862C7">
          <w:rPr>
            <w:rStyle w:val="Lienhypertexte"/>
            <w:noProof/>
            <w:webHidden/>
          </w:rPr>
          <w:fldChar w:fldCharType="end"/>
        </w:r>
      </w:hyperlink>
    </w:p>
    <w:p w14:paraId="20F1FC76" w14:textId="77777777" w:rsidR="008862C7" w:rsidRDefault="00EA1CF0" w:rsidP="008862C7">
      <w:pPr>
        <w:pStyle w:val="TM5"/>
        <w:tabs>
          <w:tab w:val="clear" w:pos="708"/>
          <w:tab w:val="right" w:leader="dot" w:pos="9062"/>
        </w:tabs>
        <w:rPr>
          <w:noProof/>
          <w:sz w:val="22"/>
          <w:szCs w:val="22"/>
        </w:rPr>
      </w:pPr>
      <w:hyperlink r:id="rId132" w:anchor="_Toc395107594" w:history="1">
        <w:r w:rsidR="008862C7">
          <w:rPr>
            <w:rStyle w:val="Lienhypertexte"/>
            <w:rFonts w:ascii="Arial" w:hAnsi="Arial" w:cs="Arial"/>
            <w:b/>
            <w:noProof/>
            <w:lang w:bidi="hi-IN"/>
          </w:rPr>
          <w:t>2.2. Terrain de recherche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84</w:t>
        </w:r>
        <w:r w:rsidR="008862C7">
          <w:rPr>
            <w:rStyle w:val="Lienhypertexte"/>
            <w:noProof/>
            <w:webHidden/>
          </w:rPr>
          <w:fldChar w:fldCharType="end"/>
        </w:r>
      </w:hyperlink>
    </w:p>
    <w:p w14:paraId="7E6F0664" w14:textId="77777777" w:rsidR="008862C7" w:rsidRDefault="00EA1CF0" w:rsidP="008862C7">
      <w:pPr>
        <w:pStyle w:val="TM7"/>
        <w:tabs>
          <w:tab w:val="clear" w:pos="708"/>
          <w:tab w:val="right" w:leader="dot" w:pos="9062"/>
        </w:tabs>
        <w:rPr>
          <w:noProof/>
          <w:sz w:val="22"/>
          <w:szCs w:val="22"/>
        </w:rPr>
      </w:pPr>
      <w:hyperlink r:id="rId133" w:anchor="_Toc395107595" w:history="1">
        <w:r w:rsidR="008862C7">
          <w:rPr>
            <w:rStyle w:val="Lienhypertexte"/>
            <w:rFonts w:ascii="Arial" w:hAnsi="Arial" w:cs="Arial"/>
            <w:b/>
            <w:noProof/>
          </w:rPr>
          <w:t>2.2.1. Sous-préfecture de Bossangoa</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85</w:t>
        </w:r>
        <w:r w:rsidR="008862C7">
          <w:rPr>
            <w:rStyle w:val="Lienhypertexte"/>
            <w:noProof/>
            <w:webHidden/>
          </w:rPr>
          <w:fldChar w:fldCharType="end"/>
        </w:r>
      </w:hyperlink>
    </w:p>
    <w:p w14:paraId="04552E22" w14:textId="77777777" w:rsidR="008862C7" w:rsidRDefault="00EA1CF0" w:rsidP="008862C7">
      <w:pPr>
        <w:pStyle w:val="TM7"/>
        <w:tabs>
          <w:tab w:val="clear" w:pos="708"/>
          <w:tab w:val="left" w:pos="1760"/>
          <w:tab w:val="right" w:leader="dot" w:pos="9062"/>
        </w:tabs>
        <w:rPr>
          <w:noProof/>
          <w:sz w:val="22"/>
          <w:szCs w:val="22"/>
        </w:rPr>
      </w:pPr>
      <w:hyperlink r:id="rId134" w:anchor="_Toc395107596"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Milieu physique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85</w:t>
        </w:r>
        <w:r w:rsidR="008862C7">
          <w:rPr>
            <w:rStyle w:val="Lienhypertexte"/>
            <w:noProof/>
            <w:webHidden/>
          </w:rPr>
          <w:fldChar w:fldCharType="end"/>
        </w:r>
      </w:hyperlink>
    </w:p>
    <w:p w14:paraId="52D76EF2" w14:textId="77777777" w:rsidR="008862C7" w:rsidRDefault="00EA1CF0" w:rsidP="008862C7">
      <w:pPr>
        <w:pStyle w:val="TM7"/>
        <w:tabs>
          <w:tab w:val="clear" w:pos="708"/>
          <w:tab w:val="right" w:leader="dot" w:pos="9062"/>
        </w:tabs>
        <w:rPr>
          <w:noProof/>
          <w:sz w:val="22"/>
          <w:szCs w:val="22"/>
        </w:rPr>
      </w:pPr>
      <w:hyperlink r:id="rId135" w:anchor="_Toc395107597" w:history="1">
        <w:r w:rsidR="008862C7">
          <w:rPr>
            <w:rStyle w:val="Lienhypertexte"/>
            <w:rFonts w:ascii="Arial" w:hAnsi="Arial" w:cs="Arial"/>
            <w:b/>
            <w:noProof/>
          </w:rPr>
          <w:t>2.2.2. Sous-préfecture de Bambari</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87</w:t>
        </w:r>
        <w:r w:rsidR="008862C7">
          <w:rPr>
            <w:rStyle w:val="Lienhypertexte"/>
            <w:noProof/>
            <w:webHidden/>
          </w:rPr>
          <w:fldChar w:fldCharType="end"/>
        </w:r>
      </w:hyperlink>
    </w:p>
    <w:p w14:paraId="2DC81447" w14:textId="77777777" w:rsidR="008862C7" w:rsidRDefault="00EA1CF0" w:rsidP="008862C7">
      <w:pPr>
        <w:pStyle w:val="TM7"/>
        <w:tabs>
          <w:tab w:val="clear" w:pos="708"/>
          <w:tab w:val="left" w:pos="1760"/>
          <w:tab w:val="right" w:leader="dot" w:pos="9062"/>
        </w:tabs>
        <w:rPr>
          <w:noProof/>
          <w:sz w:val="22"/>
          <w:szCs w:val="22"/>
        </w:rPr>
      </w:pPr>
      <w:hyperlink r:id="rId136" w:anchor="_Toc39510759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Milieu physique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87</w:t>
        </w:r>
        <w:r w:rsidR="008862C7">
          <w:rPr>
            <w:rStyle w:val="Lienhypertexte"/>
            <w:noProof/>
            <w:webHidden/>
          </w:rPr>
          <w:fldChar w:fldCharType="end"/>
        </w:r>
      </w:hyperlink>
    </w:p>
    <w:p w14:paraId="6FBEC3E1" w14:textId="77777777" w:rsidR="008862C7" w:rsidRDefault="00EA1CF0" w:rsidP="008862C7">
      <w:pPr>
        <w:pStyle w:val="TM8"/>
        <w:tabs>
          <w:tab w:val="clear" w:pos="708"/>
          <w:tab w:val="left" w:pos="1843"/>
          <w:tab w:val="right" w:leader="dot" w:pos="9062"/>
        </w:tabs>
        <w:rPr>
          <w:noProof/>
          <w:sz w:val="22"/>
          <w:szCs w:val="22"/>
        </w:rPr>
      </w:pPr>
      <w:hyperlink r:id="rId137" w:anchor="_Toc395107599"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Milieu humain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_Toc395107599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88</w:t>
        </w:r>
        <w:r w:rsidR="008862C7">
          <w:rPr>
            <w:rStyle w:val="Lienhypertexte"/>
            <w:noProof/>
            <w:webHidden/>
          </w:rPr>
          <w:fldChar w:fldCharType="end"/>
        </w:r>
      </w:hyperlink>
    </w:p>
    <w:p w14:paraId="046D71A6" w14:textId="77777777" w:rsidR="008862C7" w:rsidRDefault="00EA1CF0" w:rsidP="008862C7">
      <w:pPr>
        <w:pStyle w:val="TM8"/>
        <w:tabs>
          <w:tab w:val="clear" w:pos="708"/>
          <w:tab w:val="left" w:pos="1843"/>
          <w:tab w:val="right" w:leader="dot" w:pos="9062"/>
        </w:tabs>
        <w:rPr>
          <w:noProof/>
          <w:sz w:val="22"/>
          <w:szCs w:val="22"/>
        </w:rPr>
      </w:pPr>
      <w:hyperlink r:id="rId138" w:anchor="_Toc395107600"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Activités économiques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_Toc395107600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88</w:t>
        </w:r>
        <w:r w:rsidR="008862C7">
          <w:rPr>
            <w:rStyle w:val="Lienhypertexte"/>
            <w:noProof/>
            <w:webHidden/>
          </w:rPr>
          <w:fldChar w:fldCharType="end"/>
        </w:r>
      </w:hyperlink>
    </w:p>
    <w:p w14:paraId="75AD97C9" w14:textId="77777777" w:rsidR="008862C7" w:rsidRDefault="00EA1CF0" w:rsidP="008862C7">
      <w:pPr>
        <w:pStyle w:val="TM3"/>
        <w:tabs>
          <w:tab w:val="clear" w:pos="708"/>
          <w:tab w:val="right" w:leader="dot" w:pos="9062"/>
        </w:tabs>
        <w:rPr>
          <w:i w:val="0"/>
          <w:iCs w:val="0"/>
          <w:noProof/>
          <w:sz w:val="22"/>
          <w:szCs w:val="22"/>
        </w:rPr>
      </w:pPr>
      <w:hyperlink r:id="rId139" w:anchor="_Toc395107601" w:history="1">
        <w:r w:rsidR="008862C7">
          <w:rPr>
            <w:rStyle w:val="Lienhypertexte"/>
            <w:b/>
            <w:noProof/>
          </w:rPr>
          <w:t>CONCLUSION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_Toc395107601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89</w:t>
        </w:r>
        <w:r w:rsidR="008862C7">
          <w:rPr>
            <w:rStyle w:val="Lienhypertexte"/>
            <w:noProof/>
            <w:webHidden/>
          </w:rPr>
          <w:fldChar w:fldCharType="end"/>
        </w:r>
      </w:hyperlink>
    </w:p>
    <w:p w14:paraId="1FA4F9D9" w14:textId="77777777" w:rsidR="008862C7" w:rsidRDefault="00EA1CF0" w:rsidP="008862C7">
      <w:pPr>
        <w:pStyle w:val="TM2"/>
        <w:rPr>
          <w:rFonts w:ascii="Calibri" w:hAnsi="Calibri" w:cs="Times New Roman"/>
          <w:b w:val="0"/>
          <w:sz w:val="22"/>
          <w:szCs w:val="22"/>
          <w:lang w:bidi="ar-SA"/>
        </w:rPr>
      </w:pPr>
      <w:hyperlink r:id="rId140" w:anchor="_Toc395107602" w:history="1">
        <w:r w:rsidR="008862C7">
          <w:rPr>
            <w:rStyle w:val="Lienhypertexte"/>
          </w:rPr>
          <w:t>CONCLUSION PARTIELLE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_Toc395107602 \h </w:instrText>
        </w:r>
        <w:r w:rsidR="008862C7">
          <w:rPr>
            <w:rStyle w:val="Lienhypertexte"/>
            <w:webHidden/>
          </w:rPr>
        </w:r>
        <w:r w:rsidR="008862C7">
          <w:rPr>
            <w:rStyle w:val="Lienhypertexte"/>
            <w:webHidden/>
          </w:rPr>
          <w:fldChar w:fldCharType="separate"/>
        </w:r>
        <w:r w:rsidR="00AF344F">
          <w:rPr>
            <w:rStyle w:val="Lienhypertexte"/>
            <w:webHidden/>
          </w:rPr>
          <w:t>90</w:t>
        </w:r>
        <w:r w:rsidR="008862C7">
          <w:rPr>
            <w:rStyle w:val="Lienhypertexte"/>
            <w:webHidden/>
          </w:rPr>
          <w:fldChar w:fldCharType="end"/>
        </w:r>
      </w:hyperlink>
    </w:p>
    <w:p w14:paraId="1711CF2E" w14:textId="77777777" w:rsidR="008862C7" w:rsidRDefault="00EA1CF0" w:rsidP="008862C7">
      <w:pPr>
        <w:pStyle w:val="TM1"/>
        <w:rPr>
          <w:rFonts w:ascii="Calibri" w:hAnsi="Calibri" w:cs="Times New Roman"/>
          <w:b w:val="0"/>
          <w:bCs w:val="0"/>
          <w:caps w:val="0"/>
          <w:sz w:val="22"/>
          <w:szCs w:val="22"/>
        </w:rPr>
      </w:pPr>
      <w:hyperlink r:id="rId141" w:anchor="_Toc395107603" w:history="1">
        <w:r w:rsidR="008862C7">
          <w:rPr>
            <w:rStyle w:val="Lienhypertexte"/>
          </w:rPr>
          <w:t>SECONDE PARTIE :</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_Toc395107603 \h </w:instrText>
        </w:r>
        <w:r w:rsidR="008862C7">
          <w:rPr>
            <w:rStyle w:val="Lienhypertexte"/>
            <w:webHidden/>
          </w:rPr>
        </w:r>
        <w:r w:rsidR="008862C7">
          <w:rPr>
            <w:rStyle w:val="Lienhypertexte"/>
            <w:webHidden/>
          </w:rPr>
          <w:fldChar w:fldCharType="separate"/>
        </w:r>
        <w:r w:rsidR="00AF344F">
          <w:rPr>
            <w:rStyle w:val="Lienhypertexte"/>
            <w:webHidden/>
          </w:rPr>
          <w:t>91</w:t>
        </w:r>
        <w:r w:rsidR="008862C7">
          <w:rPr>
            <w:rStyle w:val="Lienhypertexte"/>
            <w:webHidden/>
          </w:rPr>
          <w:fldChar w:fldCharType="end"/>
        </w:r>
      </w:hyperlink>
    </w:p>
    <w:p w14:paraId="2145C6EB" w14:textId="77777777" w:rsidR="008862C7" w:rsidRDefault="00EA1CF0" w:rsidP="008862C7">
      <w:pPr>
        <w:pStyle w:val="TM1"/>
        <w:rPr>
          <w:rFonts w:ascii="Calibri" w:hAnsi="Calibri" w:cs="Times New Roman"/>
          <w:b w:val="0"/>
          <w:bCs w:val="0"/>
          <w:caps w:val="0"/>
          <w:sz w:val="22"/>
          <w:szCs w:val="22"/>
        </w:rPr>
      </w:pPr>
      <w:hyperlink r:id="rId142" w:anchor="_Toc395107604" w:history="1">
        <w:r w:rsidR="008862C7">
          <w:rPr>
            <w:rStyle w:val="Lienhypertexte"/>
          </w:rPr>
          <w:t>ETUDE EMPIRIQUE DES DETERMINANTS DE LA COMPETITIVITE DU COTON CENTRAFRICAIN</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_Toc395107604 \h </w:instrText>
        </w:r>
        <w:r w:rsidR="008862C7">
          <w:rPr>
            <w:rStyle w:val="Lienhypertexte"/>
            <w:webHidden/>
          </w:rPr>
        </w:r>
        <w:r w:rsidR="008862C7">
          <w:rPr>
            <w:rStyle w:val="Lienhypertexte"/>
            <w:webHidden/>
          </w:rPr>
          <w:fldChar w:fldCharType="separate"/>
        </w:r>
        <w:r w:rsidR="00AF344F">
          <w:rPr>
            <w:rStyle w:val="Lienhypertexte"/>
            <w:webHidden/>
          </w:rPr>
          <w:t>91</w:t>
        </w:r>
        <w:r w:rsidR="008862C7">
          <w:rPr>
            <w:rStyle w:val="Lienhypertexte"/>
            <w:webHidden/>
          </w:rPr>
          <w:fldChar w:fldCharType="end"/>
        </w:r>
      </w:hyperlink>
    </w:p>
    <w:p w14:paraId="0CECE97C" w14:textId="77777777" w:rsidR="008862C7" w:rsidRDefault="00EA1CF0" w:rsidP="008862C7">
      <w:pPr>
        <w:pStyle w:val="TM2"/>
        <w:rPr>
          <w:rFonts w:ascii="Calibri" w:hAnsi="Calibri" w:cs="Times New Roman"/>
          <w:b w:val="0"/>
          <w:sz w:val="22"/>
          <w:szCs w:val="22"/>
          <w:lang w:bidi="ar-SA"/>
        </w:rPr>
      </w:pPr>
      <w:hyperlink r:id="rId143" w:anchor="_Toc395107605" w:history="1">
        <w:r w:rsidR="008862C7">
          <w:rPr>
            <w:rStyle w:val="Lienhypertexte"/>
          </w:rPr>
          <w:t>CHAPITRE  III :</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_Toc395107605 \h </w:instrText>
        </w:r>
        <w:r w:rsidR="008862C7">
          <w:rPr>
            <w:rStyle w:val="Lienhypertexte"/>
            <w:webHidden/>
          </w:rPr>
        </w:r>
        <w:r w:rsidR="008862C7">
          <w:rPr>
            <w:rStyle w:val="Lienhypertexte"/>
            <w:webHidden/>
          </w:rPr>
          <w:fldChar w:fldCharType="separate"/>
        </w:r>
        <w:r w:rsidR="00AF344F">
          <w:rPr>
            <w:rStyle w:val="Lienhypertexte"/>
            <w:webHidden/>
          </w:rPr>
          <w:t>93</w:t>
        </w:r>
        <w:r w:rsidR="008862C7">
          <w:rPr>
            <w:rStyle w:val="Lienhypertexte"/>
            <w:webHidden/>
          </w:rPr>
          <w:fldChar w:fldCharType="end"/>
        </w:r>
      </w:hyperlink>
    </w:p>
    <w:p w14:paraId="77C5F1CA" w14:textId="77777777" w:rsidR="008862C7" w:rsidRDefault="00EA1CF0" w:rsidP="008862C7">
      <w:pPr>
        <w:pStyle w:val="TM2"/>
        <w:rPr>
          <w:rFonts w:ascii="Calibri" w:hAnsi="Calibri" w:cs="Times New Roman"/>
          <w:b w:val="0"/>
          <w:sz w:val="22"/>
          <w:szCs w:val="22"/>
          <w:lang w:bidi="ar-SA"/>
        </w:rPr>
      </w:pPr>
      <w:hyperlink r:id="rId144" w:anchor="_Toc395107606" w:history="1">
        <w:r w:rsidR="008862C7">
          <w:rPr>
            <w:rStyle w:val="Lienhypertexte"/>
          </w:rPr>
          <w:t>ANALYSE DU SYSTEME DE PRODUCTION ET DU SYSYTEME DE COMMERCIALISATION DU COTON CENTRAFRICAIN</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_Toc395107606 \h </w:instrText>
        </w:r>
        <w:r w:rsidR="008862C7">
          <w:rPr>
            <w:rStyle w:val="Lienhypertexte"/>
            <w:webHidden/>
          </w:rPr>
        </w:r>
        <w:r w:rsidR="008862C7">
          <w:rPr>
            <w:rStyle w:val="Lienhypertexte"/>
            <w:webHidden/>
          </w:rPr>
          <w:fldChar w:fldCharType="separate"/>
        </w:r>
        <w:r w:rsidR="00AF344F">
          <w:rPr>
            <w:rStyle w:val="Lienhypertexte"/>
            <w:webHidden/>
          </w:rPr>
          <w:t>93</w:t>
        </w:r>
        <w:r w:rsidR="008862C7">
          <w:rPr>
            <w:rStyle w:val="Lienhypertexte"/>
            <w:webHidden/>
          </w:rPr>
          <w:fldChar w:fldCharType="end"/>
        </w:r>
      </w:hyperlink>
    </w:p>
    <w:p w14:paraId="7FD9D7FA" w14:textId="77777777" w:rsidR="008862C7" w:rsidRDefault="00EA1CF0" w:rsidP="008862C7">
      <w:pPr>
        <w:pStyle w:val="TM3"/>
        <w:tabs>
          <w:tab w:val="clear" w:pos="708"/>
          <w:tab w:val="right" w:leader="dot" w:pos="9062"/>
        </w:tabs>
        <w:rPr>
          <w:i w:val="0"/>
          <w:iCs w:val="0"/>
          <w:noProof/>
          <w:sz w:val="22"/>
          <w:szCs w:val="22"/>
        </w:rPr>
      </w:pPr>
      <w:hyperlink r:id="rId145" w:anchor="_Toc395107607" w:history="1">
        <w:r w:rsidR="008862C7">
          <w:rPr>
            <w:rStyle w:val="Lienhypertexte"/>
            <w:b/>
            <w:noProof/>
          </w:rPr>
          <w:t>INTRODUCTION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_Toc395107607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94</w:t>
        </w:r>
        <w:r w:rsidR="008862C7">
          <w:rPr>
            <w:rStyle w:val="Lienhypertexte"/>
            <w:noProof/>
            <w:webHidden/>
          </w:rPr>
          <w:fldChar w:fldCharType="end"/>
        </w:r>
      </w:hyperlink>
    </w:p>
    <w:p w14:paraId="633F8CED" w14:textId="77777777" w:rsidR="008862C7" w:rsidRDefault="00EA1CF0" w:rsidP="008862C7">
      <w:pPr>
        <w:pStyle w:val="TM3"/>
        <w:tabs>
          <w:tab w:val="clear" w:pos="708"/>
          <w:tab w:val="left" w:pos="880"/>
          <w:tab w:val="right" w:leader="dot" w:pos="9062"/>
        </w:tabs>
        <w:rPr>
          <w:i w:val="0"/>
          <w:iCs w:val="0"/>
          <w:noProof/>
          <w:sz w:val="22"/>
          <w:szCs w:val="22"/>
        </w:rPr>
      </w:pPr>
      <w:hyperlink r:id="rId146" w:anchor="_Toc395107608" w:history="1">
        <w:r w:rsidR="008862C7">
          <w:rPr>
            <w:rStyle w:val="Lienhypertexte"/>
            <w:rFonts w:ascii="Arial" w:hAnsi="Arial" w:cs="Arial"/>
            <w:b/>
            <w:noProof/>
          </w:rPr>
          <w:t>I.</w:t>
        </w:r>
        <w:r w:rsidR="008862C7">
          <w:rPr>
            <w:rStyle w:val="Lienhypertexte"/>
            <w:i w:val="0"/>
            <w:iCs w:val="0"/>
            <w:noProof/>
            <w:sz w:val="22"/>
            <w:szCs w:val="22"/>
          </w:rPr>
          <w:tab/>
        </w:r>
        <w:r w:rsidR="008862C7">
          <w:rPr>
            <w:rStyle w:val="Lienhypertexte"/>
            <w:rFonts w:ascii="Arial" w:hAnsi="Arial" w:cs="Arial"/>
            <w:b/>
            <w:noProof/>
          </w:rPr>
          <w:t>ANALYSE ECONOMIQUE DU SYSTEME PRODUCTIF DU COTON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_Toc395107608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94</w:t>
        </w:r>
        <w:r w:rsidR="008862C7">
          <w:rPr>
            <w:rStyle w:val="Lienhypertexte"/>
            <w:noProof/>
            <w:webHidden/>
          </w:rPr>
          <w:fldChar w:fldCharType="end"/>
        </w:r>
      </w:hyperlink>
    </w:p>
    <w:p w14:paraId="180E4AB9" w14:textId="77777777" w:rsidR="008862C7" w:rsidRDefault="00EA1CF0" w:rsidP="008862C7">
      <w:pPr>
        <w:pStyle w:val="TM4"/>
        <w:tabs>
          <w:tab w:val="clear" w:pos="708"/>
          <w:tab w:val="left" w:pos="1320"/>
          <w:tab w:val="right" w:leader="dot" w:pos="9062"/>
        </w:tabs>
        <w:rPr>
          <w:noProof/>
          <w:sz w:val="22"/>
          <w:szCs w:val="22"/>
        </w:rPr>
      </w:pPr>
      <w:hyperlink r:id="rId147" w:anchor="_Toc395107609" w:history="1">
        <w:r w:rsidR="008862C7">
          <w:rPr>
            <w:rStyle w:val="Lienhypertexte"/>
            <w:rFonts w:ascii="Arial" w:hAnsi="Arial" w:cs="Arial"/>
            <w:b/>
            <w:noProof/>
          </w:rPr>
          <w:t>1.1.</w:t>
        </w:r>
        <w:r w:rsidR="008862C7">
          <w:rPr>
            <w:rStyle w:val="Lienhypertexte"/>
            <w:noProof/>
            <w:sz w:val="22"/>
            <w:szCs w:val="22"/>
          </w:rPr>
          <w:tab/>
        </w:r>
        <w:r w:rsidR="008862C7">
          <w:rPr>
            <w:rStyle w:val="Lienhypertexte"/>
            <w:rFonts w:ascii="Arial" w:hAnsi="Arial" w:cs="Arial"/>
            <w:b/>
            <w:noProof/>
          </w:rPr>
          <w:t>Analyse du système de gestion des moyens de  production des exploitations cotonnières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_Toc395107609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96</w:t>
        </w:r>
        <w:r w:rsidR="008862C7">
          <w:rPr>
            <w:rStyle w:val="Lienhypertexte"/>
            <w:noProof/>
            <w:webHidden/>
          </w:rPr>
          <w:fldChar w:fldCharType="end"/>
        </w:r>
      </w:hyperlink>
    </w:p>
    <w:p w14:paraId="775560E3" w14:textId="77777777" w:rsidR="008862C7" w:rsidRDefault="00EA1CF0" w:rsidP="008862C7">
      <w:pPr>
        <w:pStyle w:val="TM5"/>
        <w:tabs>
          <w:tab w:val="clear" w:pos="708"/>
          <w:tab w:val="left" w:pos="1760"/>
          <w:tab w:val="right" w:leader="dot" w:pos="9062"/>
        </w:tabs>
        <w:rPr>
          <w:noProof/>
          <w:sz w:val="22"/>
          <w:szCs w:val="22"/>
        </w:rPr>
      </w:pPr>
      <w:hyperlink r:id="rId148" w:anchor="_Toc395107610" w:history="1">
        <w:r w:rsidR="008862C7">
          <w:rPr>
            <w:rStyle w:val="Lienhypertexte"/>
            <w:rFonts w:ascii="Arial" w:hAnsi="Arial" w:cs="Arial"/>
            <w:b/>
            <w:noProof/>
          </w:rPr>
          <w:t>1.1.1.</w:t>
        </w:r>
        <w:r w:rsidR="008862C7">
          <w:rPr>
            <w:rStyle w:val="Lienhypertexte"/>
            <w:noProof/>
            <w:sz w:val="22"/>
            <w:szCs w:val="22"/>
          </w:rPr>
          <w:tab/>
        </w:r>
        <w:r w:rsidR="008862C7">
          <w:rPr>
            <w:rStyle w:val="Lienhypertexte"/>
            <w:rFonts w:ascii="Arial" w:hAnsi="Arial" w:cs="Arial"/>
            <w:b/>
            <w:noProof/>
          </w:rPr>
          <w:t>Caractérisation socio-économique des exploitations agricoles dans les zones cotonnières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97</w:t>
        </w:r>
        <w:r w:rsidR="008862C7">
          <w:rPr>
            <w:rStyle w:val="Lienhypertexte"/>
            <w:noProof/>
            <w:webHidden/>
          </w:rPr>
          <w:fldChar w:fldCharType="end"/>
        </w:r>
      </w:hyperlink>
    </w:p>
    <w:p w14:paraId="2172E1D2" w14:textId="77777777" w:rsidR="008862C7" w:rsidRDefault="00EA1CF0" w:rsidP="008862C7">
      <w:pPr>
        <w:pStyle w:val="TM8"/>
        <w:tabs>
          <w:tab w:val="clear" w:pos="708"/>
          <w:tab w:val="left" w:pos="1843"/>
          <w:tab w:val="right" w:leader="dot" w:pos="9062"/>
        </w:tabs>
        <w:rPr>
          <w:noProof/>
          <w:sz w:val="22"/>
          <w:szCs w:val="22"/>
        </w:rPr>
      </w:pPr>
      <w:hyperlink r:id="rId149" w:anchor="_Toc39510761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Age du producteur et taille des exploitations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97</w:t>
        </w:r>
        <w:r w:rsidR="008862C7">
          <w:rPr>
            <w:rStyle w:val="Lienhypertexte"/>
            <w:noProof/>
            <w:webHidden/>
          </w:rPr>
          <w:fldChar w:fldCharType="end"/>
        </w:r>
      </w:hyperlink>
    </w:p>
    <w:p w14:paraId="4F4E0AC8" w14:textId="77777777" w:rsidR="008862C7" w:rsidRDefault="00EA1CF0" w:rsidP="008862C7">
      <w:pPr>
        <w:pStyle w:val="TM8"/>
        <w:tabs>
          <w:tab w:val="clear" w:pos="708"/>
          <w:tab w:val="left" w:pos="1843"/>
          <w:tab w:val="right" w:leader="dot" w:pos="9062"/>
        </w:tabs>
        <w:rPr>
          <w:noProof/>
          <w:sz w:val="22"/>
          <w:szCs w:val="22"/>
        </w:rPr>
      </w:pPr>
      <w:hyperlink r:id="rId150" w:anchor="_Toc39510761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Situation matrimoniale et niveau d’instruction des producteurs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98</w:t>
        </w:r>
        <w:r w:rsidR="008862C7">
          <w:rPr>
            <w:rStyle w:val="Lienhypertexte"/>
            <w:noProof/>
            <w:webHidden/>
          </w:rPr>
          <w:fldChar w:fldCharType="end"/>
        </w:r>
      </w:hyperlink>
    </w:p>
    <w:p w14:paraId="00007E2A" w14:textId="77777777" w:rsidR="008862C7" w:rsidRDefault="00EA1CF0" w:rsidP="008862C7">
      <w:pPr>
        <w:pStyle w:val="TM5"/>
        <w:tabs>
          <w:tab w:val="clear" w:pos="708"/>
          <w:tab w:val="left" w:pos="1760"/>
          <w:tab w:val="right" w:leader="dot" w:pos="9062"/>
        </w:tabs>
        <w:rPr>
          <w:noProof/>
          <w:sz w:val="22"/>
          <w:szCs w:val="22"/>
        </w:rPr>
      </w:pPr>
      <w:hyperlink r:id="rId151" w:anchor="_Toc395107613" w:history="1">
        <w:r w:rsidR="008862C7">
          <w:rPr>
            <w:rStyle w:val="Lienhypertexte"/>
            <w:rFonts w:ascii="Arial" w:hAnsi="Arial" w:cs="Arial"/>
            <w:b/>
            <w:noProof/>
            <w:spacing w:val="1"/>
          </w:rPr>
          <w:t>1.1.2.</w:t>
        </w:r>
        <w:r w:rsidR="008862C7">
          <w:rPr>
            <w:rStyle w:val="Lienhypertexte"/>
            <w:noProof/>
            <w:sz w:val="22"/>
            <w:szCs w:val="22"/>
          </w:rPr>
          <w:tab/>
        </w:r>
        <w:r w:rsidR="008862C7">
          <w:rPr>
            <w:rStyle w:val="Lienhypertexte"/>
            <w:rFonts w:ascii="Arial" w:hAnsi="Arial" w:cs="Arial"/>
            <w:b/>
            <w:noProof/>
            <w:spacing w:val="2"/>
          </w:rPr>
          <w:t>P</w:t>
        </w:r>
        <w:r w:rsidR="008862C7">
          <w:rPr>
            <w:rStyle w:val="Lienhypertexte"/>
            <w:rFonts w:ascii="Arial" w:hAnsi="Arial" w:cs="Arial"/>
            <w:b/>
            <w:noProof/>
          </w:rPr>
          <w:t>e</w:t>
        </w:r>
        <w:r w:rsidR="008862C7">
          <w:rPr>
            <w:rStyle w:val="Lienhypertexte"/>
            <w:rFonts w:ascii="Arial" w:hAnsi="Arial" w:cs="Arial"/>
            <w:b/>
            <w:noProof/>
            <w:spacing w:val="1"/>
          </w:rPr>
          <w:t>r</w:t>
        </w:r>
        <w:r w:rsidR="008862C7">
          <w:rPr>
            <w:rStyle w:val="Lienhypertexte"/>
            <w:rFonts w:ascii="Arial" w:hAnsi="Arial" w:cs="Arial"/>
            <w:b/>
            <w:noProof/>
            <w:spacing w:val="-1"/>
          </w:rPr>
          <w:t>f</w:t>
        </w:r>
        <w:r w:rsidR="008862C7">
          <w:rPr>
            <w:rStyle w:val="Lienhypertexte"/>
            <w:rFonts w:ascii="Arial" w:hAnsi="Arial" w:cs="Arial"/>
            <w:b/>
            <w:noProof/>
            <w:spacing w:val="1"/>
          </w:rPr>
          <w:t>or</w:t>
        </w:r>
        <w:r w:rsidR="008862C7">
          <w:rPr>
            <w:rStyle w:val="Lienhypertexte"/>
            <w:rFonts w:ascii="Arial" w:hAnsi="Arial" w:cs="Arial"/>
            <w:b/>
            <w:noProof/>
            <w:spacing w:val="-4"/>
          </w:rPr>
          <w:t>m</w:t>
        </w:r>
        <w:r w:rsidR="008862C7">
          <w:rPr>
            <w:rStyle w:val="Lienhypertexte"/>
            <w:rFonts w:ascii="Arial" w:hAnsi="Arial" w:cs="Arial"/>
            <w:b/>
            <w:noProof/>
            <w:spacing w:val="3"/>
          </w:rPr>
          <w:t>a</w:t>
        </w:r>
        <w:r w:rsidR="008862C7">
          <w:rPr>
            <w:rStyle w:val="Lienhypertexte"/>
            <w:rFonts w:ascii="Arial" w:hAnsi="Arial" w:cs="Arial"/>
            <w:b/>
            <w:noProof/>
            <w:spacing w:val="-1"/>
          </w:rPr>
          <w:t>n</w:t>
        </w:r>
        <w:r w:rsidR="008862C7">
          <w:rPr>
            <w:rStyle w:val="Lienhypertexte"/>
            <w:rFonts w:ascii="Arial" w:hAnsi="Arial" w:cs="Arial"/>
            <w:b/>
            <w:noProof/>
          </w:rPr>
          <w:t>ces</w:t>
        </w:r>
        <w:r w:rsidR="008862C7">
          <w:rPr>
            <w:rStyle w:val="Lienhypertexte"/>
            <w:rFonts w:ascii="Arial" w:hAnsi="Arial" w:cs="Arial"/>
            <w:b/>
            <w:bCs/>
            <w:noProof/>
          </w:rPr>
          <w:t xml:space="preserve"> des exploitations cotonnières en Centrafrique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100</w:t>
        </w:r>
        <w:r w:rsidR="008862C7">
          <w:rPr>
            <w:rStyle w:val="Lienhypertexte"/>
            <w:noProof/>
            <w:webHidden/>
          </w:rPr>
          <w:fldChar w:fldCharType="end"/>
        </w:r>
      </w:hyperlink>
    </w:p>
    <w:p w14:paraId="2DF4CD20" w14:textId="77777777" w:rsidR="008862C7" w:rsidRDefault="00EA1CF0" w:rsidP="008862C7">
      <w:pPr>
        <w:pStyle w:val="TM4"/>
        <w:tabs>
          <w:tab w:val="clear" w:pos="708"/>
          <w:tab w:val="left" w:pos="1320"/>
          <w:tab w:val="right" w:leader="dot" w:pos="9062"/>
        </w:tabs>
        <w:rPr>
          <w:noProof/>
          <w:sz w:val="22"/>
          <w:szCs w:val="22"/>
        </w:rPr>
      </w:pPr>
      <w:hyperlink r:id="rId152" w:anchor="_Toc395107614" w:history="1">
        <w:r w:rsidR="008862C7">
          <w:rPr>
            <w:rStyle w:val="Lienhypertexte"/>
            <w:rFonts w:ascii="Arial" w:hAnsi="Arial" w:cs="Arial"/>
            <w:b/>
            <w:noProof/>
          </w:rPr>
          <w:t>1.2.</w:t>
        </w:r>
        <w:r w:rsidR="008862C7">
          <w:rPr>
            <w:rStyle w:val="Lienhypertexte"/>
            <w:noProof/>
            <w:sz w:val="22"/>
            <w:szCs w:val="22"/>
          </w:rPr>
          <w:tab/>
        </w:r>
        <w:r w:rsidR="008862C7">
          <w:rPr>
            <w:rStyle w:val="Lienhypertexte"/>
            <w:rFonts w:ascii="Arial" w:hAnsi="Arial" w:cs="Arial"/>
            <w:b/>
            <w:noProof/>
          </w:rPr>
          <w:t>Analyse du système technique de production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102</w:t>
        </w:r>
        <w:r w:rsidR="008862C7">
          <w:rPr>
            <w:rStyle w:val="Lienhypertexte"/>
            <w:noProof/>
            <w:webHidden/>
          </w:rPr>
          <w:fldChar w:fldCharType="end"/>
        </w:r>
      </w:hyperlink>
    </w:p>
    <w:p w14:paraId="236E237D" w14:textId="77777777" w:rsidR="008862C7" w:rsidRDefault="00EA1CF0" w:rsidP="008862C7">
      <w:pPr>
        <w:pStyle w:val="TM5"/>
        <w:tabs>
          <w:tab w:val="clear" w:pos="708"/>
          <w:tab w:val="left" w:pos="1760"/>
          <w:tab w:val="right" w:leader="dot" w:pos="9062"/>
        </w:tabs>
        <w:rPr>
          <w:noProof/>
          <w:sz w:val="22"/>
          <w:szCs w:val="22"/>
        </w:rPr>
      </w:pPr>
      <w:hyperlink r:id="rId153" w:anchor="_Toc395107615" w:history="1">
        <w:r w:rsidR="008862C7">
          <w:rPr>
            <w:rStyle w:val="Lienhypertexte"/>
            <w:rFonts w:ascii="Arial" w:hAnsi="Arial" w:cs="Arial"/>
            <w:b/>
            <w:noProof/>
          </w:rPr>
          <w:t>1.2.1.</w:t>
        </w:r>
        <w:r w:rsidR="008862C7">
          <w:rPr>
            <w:rStyle w:val="Lienhypertexte"/>
            <w:noProof/>
            <w:sz w:val="22"/>
            <w:szCs w:val="22"/>
          </w:rPr>
          <w:tab/>
        </w:r>
        <w:r w:rsidR="008862C7">
          <w:rPr>
            <w:rStyle w:val="Lienhypertexte"/>
            <w:rFonts w:ascii="Arial" w:hAnsi="Arial" w:cs="Arial"/>
            <w:b/>
            <w:noProof/>
          </w:rPr>
          <w:t>Système de culture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102</w:t>
        </w:r>
        <w:r w:rsidR="008862C7">
          <w:rPr>
            <w:rStyle w:val="Lienhypertexte"/>
            <w:noProof/>
            <w:webHidden/>
          </w:rPr>
          <w:fldChar w:fldCharType="end"/>
        </w:r>
      </w:hyperlink>
    </w:p>
    <w:p w14:paraId="53543206" w14:textId="77777777" w:rsidR="008862C7" w:rsidRDefault="00EA1CF0" w:rsidP="008862C7">
      <w:pPr>
        <w:pStyle w:val="TM6"/>
        <w:tabs>
          <w:tab w:val="clear" w:pos="708"/>
          <w:tab w:val="left" w:pos="1920"/>
          <w:tab w:val="right" w:leader="dot" w:pos="9062"/>
        </w:tabs>
        <w:rPr>
          <w:noProof/>
          <w:sz w:val="22"/>
          <w:szCs w:val="22"/>
        </w:rPr>
      </w:pPr>
      <w:hyperlink r:id="rId154" w:anchor="_Toc395107616" w:history="1">
        <w:r w:rsidR="008862C7">
          <w:rPr>
            <w:rStyle w:val="Lienhypertexte"/>
            <w:rFonts w:ascii="Arial" w:hAnsi="Arial" w:cs="Arial"/>
            <w:b/>
            <w:noProof/>
          </w:rPr>
          <w:t>1.2.1.1.</w:t>
        </w:r>
        <w:r w:rsidR="008862C7">
          <w:rPr>
            <w:rStyle w:val="Lienhypertexte"/>
            <w:noProof/>
            <w:sz w:val="22"/>
            <w:szCs w:val="22"/>
          </w:rPr>
          <w:tab/>
        </w:r>
        <w:r w:rsidR="008862C7">
          <w:rPr>
            <w:rStyle w:val="Lienhypertexte"/>
            <w:rFonts w:ascii="Arial" w:hAnsi="Arial" w:cs="Arial"/>
            <w:b/>
            <w:noProof/>
          </w:rPr>
          <w:t>Techniques culturales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102</w:t>
        </w:r>
        <w:r w:rsidR="008862C7">
          <w:rPr>
            <w:rStyle w:val="Lienhypertexte"/>
            <w:noProof/>
            <w:webHidden/>
          </w:rPr>
          <w:fldChar w:fldCharType="end"/>
        </w:r>
      </w:hyperlink>
    </w:p>
    <w:p w14:paraId="600FF22F" w14:textId="77777777" w:rsidR="008862C7" w:rsidRDefault="00EA1CF0" w:rsidP="008862C7">
      <w:pPr>
        <w:pStyle w:val="TM6"/>
        <w:tabs>
          <w:tab w:val="clear" w:pos="708"/>
          <w:tab w:val="left" w:pos="1920"/>
          <w:tab w:val="right" w:leader="dot" w:pos="9062"/>
        </w:tabs>
        <w:rPr>
          <w:noProof/>
          <w:sz w:val="22"/>
          <w:szCs w:val="22"/>
        </w:rPr>
      </w:pPr>
      <w:hyperlink r:id="rId155" w:anchor="_Toc395107617" w:history="1">
        <w:r w:rsidR="008862C7">
          <w:rPr>
            <w:rStyle w:val="Lienhypertexte"/>
            <w:rFonts w:ascii="Arial" w:hAnsi="Arial" w:cs="Arial"/>
            <w:b/>
            <w:noProof/>
          </w:rPr>
          <w:t>1.2.1.2.</w:t>
        </w:r>
        <w:r w:rsidR="008862C7">
          <w:rPr>
            <w:rStyle w:val="Lienhypertexte"/>
            <w:noProof/>
            <w:sz w:val="22"/>
            <w:szCs w:val="22"/>
          </w:rPr>
          <w:tab/>
        </w:r>
        <w:r w:rsidR="008862C7">
          <w:rPr>
            <w:rStyle w:val="Lienhypertexte"/>
            <w:rFonts w:ascii="Arial" w:hAnsi="Arial" w:cs="Arial"/>
            <w:b/>
            <w:noProof/>
          </w:rPr>
          <w:t>Itinéraires techniques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104</w:t>
        </w:r>
        <w:r w:rsidR="008862C7">
          <w:rPr>
            <w:rStyle w:val="Lienhypertexte"/>
            <w:noProof/>
            <w:webHidden/>
          </w:rPr>
          <w:fldChar w:fldCharType="end"/>
        </w:r>
      </w:hyperlink>
    </w:p>
    <w:p w14:paraId="5ECAE564" w14:textId="77777777" w:rsidR="008862C7" w:rsidRDefault="00EA1CF0" w:rsidP="008862C7">
      <w:pPr>
        <w:pStyle w:val="TM8"/>
        <w:tabs>
          <w:tab w:val="clear" w:pos="708"/>
          <w:tab w:val="left" w:pos="1843"/>
          <w:tab w:val="right" w:leader="dot" w:pos="9062"/>
        </w:tabs>
        <w:rPr>
          <w:noProof/>
          <w:sz w:val="22"/>
          <w:szCs w:val="22"/>
        </w:rPr>
      </w:pPr>
      <w:hyperlink r:id="rId156" w:anchor="_Toc39510761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Délimitation et défrichement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104</w:t>
        </w:r>
        <w:r w:rsidR="008862C7">
          <w:rPr>
            <w:rStyle w:val="Lienhypertexte"/>
            <w:noProof/>
            <w:webHidden/>
          </w:rPr>
          <w:fldChar w:fldCharType="end"/>
        </w:r>
      </w:hyperlink>
    </w:p>
    <w:p w14:paraId="28CF11E2" w14:textId="77777777" w:rsidR="008862C7" w:rsidRDefault="00EA1CF0" w:rsidP="008862C7">
      <w:pPr>
        <w:pStyle w:val="TM8"/>
        <w:tabs>
          <w:tab w:val="clear" w:pos="708"/>
          <w:tab w:val="left" w:pos="1843"/>
          <w:tab w:val="right" w:leader="dot" w:pos="9062"/>
        </w:tabs>
        <w:rPr>
          <w:noProof/>
          <w:sz w:val="22"/>
          <w:szCs w:val="22"/>
        </w:rPr>
      </w:pPr>
      <w:hyperlink r:id="rId157" w:anchor="_Toc39510761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Endainage et brulis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_Toc395107619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104</w:t>
        </w:r>
        <w:r w:rsidR="008862C7">
          <w:rPr>
            <w:rStyle w:val="Lienhypertexte"/>
            <w:noProof/>
            <w:webHidden/>
          </w:rPr>
          <w:fldChar w:fldCharType="end"/>
        </w:r>
      </w:hyperlink>
    </w:p>
    <w:p w14:paraId="2AEDDBCD" w14:textId="77777777" w:rsidR="008862C7" w:rsidRDefault="00EA1CF0" w:rsidP="008862C7">
      <w:pPr>
        <w:pStyle w:val="TM8"/>
        <w:tabs>
          <w:tab w:val="clear" w:pos="708"/>
          <w:tab w:val="left" w:pos="1843"/>
          <w:tab w:val="right" w:leader="dot" w:pos="9062"/>
        </w:tabs>
        <w:rPr>
          <w:noProof/>
          <w:sz w:val="22"/>
          <w:szCs w:val="22"/>
        </w:rPr>
      </w:pPr>
      <w:hyperlink r:id="rId158" w:anchor="_Toc39510762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Labour</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104</w:t>
        </w:r>
        <w:r w:rsidR="008862C7">
          <w:rPr>
            <w:rStyle w:val="Lienhypertexte"/>
            <w:noProof/>
            <w:webHidden/>
          </w:rPr>
          <w:fldChar w:fldCharType="end"/>
        </w:r>
      </w:hyperlink>
    </w:p>
    <w:p w14:paraId="02161301" w14:textId="77777777" w:rsidR="008862C7" w:rsidRDefault="00EA1CF0" w:rsidP="008862C7">
      <w:pPr>
        <w:pStyle w:val="TM8"/>
        <w:tabs>
          <w:tab w:val="clear" w:pos="708"/>
          <w:tab w:val="left" w:pos="1843"/>
          <w:tab w:val="right" w:leader="dot" w:pos="9062"/>
        </w:tabs>
        <w:rPr>
          <w:noProof/>
          <w:sz w:val="22"/>
          <w:szCs w:val="22"/>
        </w:rPr>
      </w:pPr>
      <w:hyperlink r:id="rId159" w:anchor="_Toc39510762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Semis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105</w:t>
        </w:r>
        <w:r w:rsidR="008862C7">
          <w:rPr>
            <w:rStyle w:val="Lienhypertexte"/>
            <w:noProof/>
            <w:webHidden/>
          </w:rPr>
          <w:fldChar w:fldCharType="end"/>
        </w:r>
      </w:hyperlink>
    </w:p>
    <w:p w14:paraId="23E3C470" w14:textId="77777777" w:rsidR="008862C7" w:rsidRDefault="00EA1CF0" w:rsidP="008862C7">
      <w:pPr>
        <w:pStyle w:val="TM8"/>
        <w:tabs>
          <w:tab w:val="clear" w:pos="708"/>
          <w:tab w:val="left" w:pos="1843"/>
          <w:tab w:val="right" w:leader="dot" w:pos="9062"/>
        </w:tabs>
        <w:rPr>
          <w:noProof/>
          <w:sz w:val="22"/>
          <w:szCs w:val="22"/>
        </w:rPr>
      </w:pPr>
      <w:hyperlink r:id="rId160" w:anchor="_Toc39510762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Sarclage, fumure et traitement phytosanitaire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105</w:t>
        </w:r>
        <w:r w:rsidR="008862C7">
          <w:rPr>
            <w:rStyle w:val="Lienhypertexte"/>
            <w:noProof/>
            <w:webHidden/>
          </w:rPr>
          <w:fldChar w:fldCharType="end"/>
        </w:r>
      </w:hyperlink>
    </w:p>
    <w:p w14:paraId="73F3C392" w14:textId="77777777" w:rsidR="008862C7" w:rsidRDefault="00EA1CF0" w:rsidP="008862C7">
      <w:pPr>
        <w:pStyle w:val="TM8"/>
        <w:tabs>
          <w:tab w:val="clear" w:pos="708"/>
          <w:tab w:val="left" w:pos="1843"/>
          <w:tab w:val="right" w:leader="dot" w:pos="9062"/>
        </w:tabs>
        <w:rPr>
          <w:noProof/>
          <w:sz w:val="22"/>
          <w:szCs w:val="22"/>
        </w:rPr>
      </w:pPr>
      <w:hyperlink r:id="rId161" w:anchor="_Toc39510762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Récolte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106</w:t>
        </w:r>
        <w:r w:rsidR="008862C7">
          <w:rPr>
            <w:rStyle w:val="Lienhypertexte"/>
            <w:noProof/>
            <w:webHidden/>
          </w:rPr>
          <w:fldChar w:fldCharType="end"/>
        </w:r>
      </w:hyperlink>
    </w:p>
    <w:p w14:paraId="69A2A26F" w14:textId="77777777" w:rsidR="008862C7" w:rsidRDefault="00EA1CF0" w:rsidP="008862C7">
      <w:pPr>
        <w:pStyle w:val="TM5"/>
        <w:tabs>
          <w:tab w:val="clear" w:pos="708"/>
          <w:tab w:val="left" w:pos="1760"/>
          <w:tab w:val="right" w:leader="dot" w:pos="9062"/>
        </w:tabs>
        <w:rPr>
          <w:noProof/>
          <w:sz w:val="22"/>
          <w:szCs w:val="22"/>
        </w:rPr>
      </w:pPr>
      <w:hyperlink r:id="rId162" w:anchor="_Toc395107624" w:history="1">
        <w:r w:rsidR="008862C7">
          <w:rPr>
            <w:rStyle w:val="Lienhypertexte"/>
            <w:rFonts w:ascii="Arial" w:hAnsi="Arial" w:cs="Arial"/>
            <w:b/>
            <w:noProof/>
          </w:rPr>
          <w:t>1.2.2.</w:t>
        </w:r>
        <w:r w:rsidR="008862C7">
          <w:rPr>
            <w:rStyle w:val="Lienhypertexte"/>
            <w:noProof/>
            <w:sz w:val="22"/>
            <w:szCs w:val="22"/>
          </w:rPr>
          <w:tab/>
        </w:r>
        <w:r w:rsidR="008862C7">
          <w:rPr>
            <w:rStyle w:val="Lienhypertexte"/>
            <w:rFonts w:ascii="Arial" w:hAnsi="Arial" w:cs="Arial"/>
            <w:b/>
            <w:noProof/>
          </w:rPr>
          <w:t xml:space="preserve">Structures du coût de production cotonnière et </w:t>
        </w:r>
        <w:r w:rsidR="008862C7">
          <w:rPr>
            <w:rStyle w:val="Lienhypertexte"/>
            <w:rFonts w:ascii="Arial" w:hAnsi="Arial" w:cs="Arial"/>
            <w:b/>
            <w:bCs/>
            <w:noProof/>
            <w:spacing w:val="1"/>
          </w:rPr>
          <w:t xml:space="preserve">du </w:t>
        </w:r>
        <w:r w:rsidR="008862C7">
          <w:rPr>
            <w:rStyle w:val="Lienhypertexte"/>
            <w:rFonts w:ascii="Arial" w:hAnsi="Arial" w:cs="Arial"/>
            <w:b/>
            <w:noProof/>
          </w:rPr>
          <w:t>revenu des exploitations agricoles dans les régions cotonnières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106</w:t>
        </w:r>
        <w:r w:rsidR="008862C7">
          <w:rPr>
            <w:rStyle w:val="Lienhypertexte"/>
            <w:noProof/>
            <w:webHidden/>
          </w:rPr>
          <w:fldChar w:fldCharType="end"/>
        </w:r>
      </w:hyperlink>
    </w:p>
    <w:p w14:paraId="1F3E79D5" w14:textId="77777777" w:rsidR="008862C7" w:rsidRDefault="00EA1CF0" w:rsidP="008862C7">
      <w:pPr>
        <w:pStyle w:val="TM6"/>
        <w:tabs>
          <w:tab w:val="clear" w:pos="708"/>
          <w:tab w:val="left" w:pos="1928"/>
          <w:tab w:val="right" w:leader="dot" w:pos="9062"/>
        </w:tabs>
        <w:rPr>
          <w:noProof/>
          <w:sz w:val="22"/>
          <w:szCs w:val="22"/>
        </w:rPr>
      </w:pPr>
      <w:hyperlink r:id="rId163" w:anchor="_Toc395107625" w:history="1">
        <w:r w:rsidR="008862C7">
          <w:rPr>
            <w:rStyle w:val="Lienhypertexte"/>
            <w:rFonts w:ascii="Arial" w:hAnsi="Arial" w:cs="Arial"/>
            <w:b/>
            <w:noProof/>
            <w:spacing w:val="1"/>
          </w:rPr>
          <w:t>1.2.2.1.</w:t>
        </w:r>
        <w:r w:rsidR="008862C7">
          <w:rPr>
            <w:rStyle w:val="Lienhypertexte"/>
            <w:noProof/>
            <w:sz w:val="22"/>
            <w:szCs w:val="22"/>
          </w:rPr>
          <w:tab/>
        </w:r>
        <w:r w:rsidR="008862C7">
          <w:rPr>
            <w:rStyle w:val="Lienhypertexte"/>
            <w:rFonts w:ascii="Arial" w:hAnsi="Arial" w:cs="Arial"/>
            <w:b/>
            <w:noProof/>
          </w:rPr>
          <w:t>Structures du coût de production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106</w:t>
        </w:r>
        <w:r w:rsidR="008862C7">
          <w:rPr>
            <w:rStyle w:val="Lienhypertexte"/>
            <w:noProof/>
            <w:webHidden/>
          </w:rPr>
          <w:fldChar w:fldCharType="end"/>
        </w:r>
      </w:hyperlink>
    </w:p>
    <w:p w14:paraId="3AD49D5F" w14:textId="77777777" w:rsidR="008862C7" w:rsidRDefault="00EA1CF0" w:rsidP="008862C7">
      <w:pPr>
        <w:pStyle w:val="TM8"/>
        <w:tabs>
          <w:tab w:val="clear" w:pos="708"/>
          <w:tab w:val="left" w:pos="1843"/>
          <w:tab w:val="right" w:leader="dot" w:pos="9062"/>
        </w:tabs>
        <w:rPr>
          <w:noProof/>
          <w:sz w:val="22"/>
          <w:szCs w:val="22"/>
        </w:rPr>
      </w:pPr>
      <w:hyperlink r:id="rId164" w:anchor="_Toc395107626"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 xml:space="preserve">Mode de gestion des exploitations </w:t>
        </w:r>
        <w:r w:rsidR="008862C7">
          <w:rPr>
            <w:rStyle w:val="Lienhypertexte"/>
            <w:rFonts w:ascii="Arial" w:hAnsi="Arial" w:cs="Arial"/>
            <w:b/>
            <w:noProof/>
            <w:spacing w:val="-1"/>
          </w:rPr>
          <w:t xml:space="preserve">cotonnières </w:t>
        </w:r>
        <w:r w:rsidR="008862C7">
          <w:rPr>
            <w:rStyle w:val="Lienhypertexte"/>
            <w:rFonts w:ascii="Arial" w:hAnsi="Arial" w:cs="Arial"/>
            <w:b/>
            <w:noProof/>
          </w:rPr>
          <w:t>: division sexuelle des activités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106</w:t>
        </w:r>
        <w:r w:rsidR="008862C7">
          <w:rPr>
            <w:rStyle w:val="Lienhypertexte"/>
            <w:noProof/>
            <w:webHidden/>
          </w:rPr>
          <w:fldChar w:fldCharType="end"/>
        </w:r>
      </w:hyperlink>
    </w:p>
    <w:p w14:paraId="09A619CF" w14:textId="77777777" w:rsidR="008862C7" w:rsidRDefault="00EA1CF0" w:rsidP="008862C7">
      <w:pPr>
        <w:pStyle w:val="TM8"/>
        <w:tabs>
          <w:tab w:val="clear" w:pos="708"/>
          <w:tab w:val="left" w:pos="1843"/>
          <w:tab w:val="right" w:leader="dot" w:pos="9062"/>
        </w:tabs>
        <w:rPr>
          <w:noProof/>
          <w:sz w:val="22"/>
          <w:szCs w:val="22"/>
        </w:rPr>
      </w:pPr>
      <w:hyperlink r:id="rId165" w:anchor="_Toc39510762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Gestion de la main d’œuvre agricole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107</w:t>
        </w:r>
        <w:r w:rsidR="008862C7">
          <w:rPr>
            <w:rStyle w:val="Lienhypertexte"/>
            <w:noProof/>
            <w:webHidden/>
          </w:rPr>
          <w:fldChar w:fldCharType="end"/>
        </w:r>
      </w:hyperlink>
    </w:p>
    <w:p w14:paraId="4438DAF0" w14:textId="77777777" w:rsidR="008862C7" w:rsidRDefault="00EA1CF0" w:rsidP="008862C7">
      <w:pPr>
        <w:pStyle w:val="TM8"/>
        <w:tabs>
          <w:tab w:val="clear" w:pos="708"/>
          <w:tab w:val="left" w:pos="1843"/>
          <w:tab w:val="right" w:leader="dot" w:pos="9062"/>
        </w:tabs>
        <w:rPr>
          <w:noProof/>
          <w:sz w:val="22"/>
          <w:szCs w:val="22"/>
        </w:rPr>
      </w:pPr>
      <w:hyperlink r:id="rId166" w:anchor="_Toc39510762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Intrants agricoles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108</w:t>
        </w:r>
        <w:r w:rsidR="008862C7">
          <w:rPr>
            <w:rStyle w:val="Lienhypertexte"/>
            <w:noProof/>
            <w:webHidden/>
          </w:rPr>
          <w:fldChar w:fldCharType="end"/>
        </w:r>
      </w:hyperlink>
    </w:p>
    <w:p w14:paraId="543400A1" w14:textId="77777777" w:rsidR="008862C7" w:rsidRDefault="00EA1CF0" w:rsidP="008862C7">
      <w:pPr>
        <w:pStyle w:val="TM8"/>
        <w:tabs>
          <w:tab w:val="clear" w:pos="708"/>
          <w:tab w:val="left" w:pos="1843"/>
          <w:tab w:val="right" w:leader="dot" w:pos="9062"/>
        </w:tabs>
        <w:rPr>
          <w:noProof/>
          <w:sz w:val="22"/>
          <w:szCs w:val="22"/>
        </w:rPr>
      </w:pPr>
      <w:hyperlink r:id="rId167" w:anchor="_Toc39510762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Main-d’œuvre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_Toc395107629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109</w:t>
        </w:r>
        <w:r w:rsidR="008862C7">
          <w:rPr>
            <w:rStyle w:val="Lienhypertexte"/>
            <w:noProof/>
            <w:webHidden/>
          </w:rPr>
          <w:fldChar w:fldCharType="end"/>
        </w:r>
      </w:hyperlink>
    </w:p>
    <w:p w14:paraId="6A08F95A" w14:textId="77777777" w:rsidR="008862C7" w:rsidRDefault="00EA1CF0" w:rsidP="008862C7">
      <w:pPr>
        <w:pStyle w:val="TM8"/>
        <w:tabs>
          <w:tab w:val="clear" w:pos="708"/>
          <w:tab w:val="left" w:pos="1843"/>
          <w:tab w:val="right" w:leader="dot" w:pos="9062"/>
        </w:tabs>
        <w:rPr>
          <w:noProof/>
          <w:sz w:val="22"/>
          <w:szCs w:val="22"/>
        </w:rPr>
      </w:pPr>
      <w:hyperlink r:id="rId168" w:anchor="_Toc39510763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Matériels agricoles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109</w:t>
        </w:r>
        <w:r w:rsidR="008862C7">
          <w:rPr>
            <w:rStyle w:val="Lienhypertexte"/>
            <w:noProof/>
            <w:webHidden/>
          </w:rPr>
          <w:fldChar w:fldCharType="end"/>
        </w:r>
      </w:hyperlink>
    </w:p>
    <w:p w14:paraId="7552DBDE" w14:textId="77777777" w:rsidR="008862C7" w:rsidRDefault="00EA1CF0" w:rsidP="008862C7">
      <w:pPr>
        <w:pStyle w:val="TM8"/>
        <w:tabs>
          <w:tab w:val="clear" w:pos="708"/>
          <w:tab w:val="left" w:pos="1843"/>
          <w:tab w:val="right" w:leader="dot" w:pos="9062"/>
        </w:tabs>
        <w:rPr>
          <w:noProof/>
          <w:sz w:val="22"/>
          <w:szCs w:val="22"/>
        </w:rPr>
      </w:pPr>
      <w:hyperlink r:id="rId169" w:anchor="_Toc39510763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Coût total moyen des inputs par exploitation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110</w:t>
        </w:r>
        <w:r w:rsidR="008862C7">
          <w:rPr>
            <w:rStyle w:val="Lienhypertexte"/>
            <w:noProof/>
            <w:webHidden/>
          </w:rPr>
          <w:fldChar w:fldCharType="end"/>
        </w:r>
      </w:hyperlink>
    </w:p>
    <w:p w14:paraId="06C9BC41" w14:textId="77777777" w:rsidR="008862C7" w:rsidRDefault="00EA1CF0" w:rsidP="008862C7">
      <w:pPr>
        <w:pStyle w:val="TM6"/>
        <w:tabs>
          <w:tab w:val="clear" w:pos="708"/>
          <w:tab w:val="left" w:pos="1920"/>
          <w:tab w:val="right" w:leader="dot" w:pos="9062"/>
        </w:tabs>
        <w:rPr>
          <w:noProof/>
          <w:sz w:val="22"/>
          <w:szCs w:val="22"/>
        </w:rPr>
      </w:pPr>
      <w:hyperlink r:id="rId170" w:anchor="_Toc395107632" w:history="1">
        <w:r w:rsidR="008862C7">
          <w:rPr>
            <w:rStyle w:val="Lienhypertexte"/>
            <w:rFonts w:ascii="Arial" w:hAnsi="Arial" w:cs="Arial"/>
            <w:b/>
            <w:noProof/>
          </w:rPr>
          <w:t>1.2.2.2.</w:t>
        </w:r>
        <w:r w:rsidR="008862C7">
          <w:rPr>
            <w:rStyle w:val="Lienhypertexte"/>
            <w:noProof/>
            <w:sz w:val="22"/>
            <w:szCs w:val="22"/>
          </w:rPr>
          <w:tab/>
        </w:r>
        <w:r w:rsidR="008862C7">
          <w:rPr>
            <w:rStyle w:val="Lienhypertexte"/>
            <w:rFonts w:ascii="Arial" w:hAnsi="Arial" w:cs="Arial"/>
            <w:b/>
            <w:noProof/>
          </w:rPr>
          <w:t>Structure du revenu des exploitations agricoles dans les régions cotonnières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110</w:t>
        </w:r>
        <w:r w:rsidR="008862C7">
          <w:rPr>
            <w:rStyle w:val="Lienhypertexte"/>
            <w:noProof/>
            <w:webHidden/>
          </w:rPr>
          <w:fldChar w:fldCharType="end"/>
        </w:r>
      </w:hyperlink>
    </w:p>
    <w:p w14:paraId="0447AC9C" w14:textId="77777777" w:rsidR="008862C7" w:rsidRDefault="00EA1CF0" w:rsidP="008862C7">
      <w:pPr>
        <w:pStyle w:val="TM8"/>
        <w:tabs>
          <w:tab w:val="clear" w:pos="708"/>
          <w:tab w:val="left" w:pos="1843"/>
          <w:tab w:val="right" w:leader="dot" w:pos="9062"/>
        </w:tabs>
        <w:rPr>
          <w:noProof/>
          <w:sz w:val="22"/>
          <w:szCs w:val="22"/>
        </w:rPr>
      </w:pPr>
      <w:hyperlink r:id="rId171" w:anchor="_Toc39510763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Prix au producteur</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110</w:t>
        </w:r>
        <w:r w:rsidR="008862C7">
          <w:rPr>
            <w:rStyle w:val="Lienhypertexte"/>
            <w:noProof/>
            <w:webHidden/>
          </w:rPr>
          <w:fldChar w:fldCharType="end"/>
        </w:r>
      </w:hyperlink>
    </w:p>
    <w:p w14:paraId="4CB5897B" w14:textId="77777777" w:rsidR="008862C7" w:rsidRDefault="00EA1CF0" w:rsidP="008862C7">
      <w:pPr>
        <w:pStyle w:val="TM8"/>
        <w:tabs>
          <w:tab w:val="clear" w:pos="708"/>
          <w:tab w:val="left" w:pos="1843"/>
          <w:tab w:val="right" w:leader="dot" w:pos="9062"/>
        </w:tabs>
        <w:rPr>
          <w:noProof/>
          <w:sz w:val="22"/>
          <w:szCs w:val="22"/>
        </w:rPr>
      </w:pPr>
      <w:hyperlink r:id="rId172" w:anchor="_Toc395107634"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Revenu coton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111</w:t>
        </w:r>
        <w:r w:rsidR="008862C7">
          <w:rPr>
            <w:rStyle w:val="Lienhypertexte"/>
            <w:noProof/>
            <w:webHidden/>
          </w:rPr>
          <w:fldChar w:fldCharType="end"/>
        </w:r>
      </w:hyperlink>
    </w:p>
    <w:p w14:paraId="6B67FEFC" w14:textId="77777777" w:rsidR="008862C7" w:rsidRDefault="00EA1CF0" w:rsidP="008862C7">
      <w:pPr>
        <w:pStyle w:val="TM3"/>
        <w:tabs>
          <w:tab w:val="clear" w:pos="708"/>
          <w:tab w:val="left" w:pos="880"/>
          <w:tab w:val="right" w:leader="dot" w:pos="9062"/>
        </w:tabs>
        <w:rPr>
          <w:i w:val="0"/>
          <w:iCs w:val="0"/>
          <w:noProof/>
          <w:sz w:val="22"/>
          <w:szCs w:val="22"/>
        </w:rPr>
      </w:pPr>
      <w:hyperlink r:id="rId173" w:anchor="_Toc395107635" w:history="1">
        <w:r w:rsidR="008862C7">
          <w:rPr>
            <w:rStyle w:val="Lienhypertexte"/>
            <w:rFonts w:ascii="Arial" w:hAnsi="Arial" w:cs="Arial"/>
            <w:b/>
            <w:noProof/>
          </w:rPr>
          <w:t>II.</w:t>
        </w:r>
        <w:r w:rsidR="008862C7">
          <w:rPr>
            <w:rStyle w:val="Lienhypertexte"/>
            <w:i w:val="0"/>
            <w:iCs w:val="0"/>
            <w:noProof/>
            <w:sz w:val="22"/>
            <w:szCs w:val="22"/>
          </w:rPr>
          <w:tab/>
        </w:r>
        <w:r w:rsidR="008862C7">
          <w:rPr>
            <w:rStyle w:val="Lienhypertexte"/>
            <w:rFonts w:ascii="Arial" w:hAnsi="Arial" w:cs="Arial"/>
            <w:b/>
            <w:noProof/>
          </w:rPr>
          <w:t>ANALYSE DU SYSTEME DE COMMERCIALISATION DU COTON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112</w:t>
        </w:r>
        <w:r w:rsidR="008862C7">
          <w:rPr>
            <w:rStyle w:val="Lienhypertexte"/>
            <w:noProof/>
            <w:webHidden/>
          </w:rPr>
          <w:fldChar w:fldCharType="end"/>
        </w:r>
      </w:hyperlink>
    </w:p>
    <w:p w14:paraId="0FADF872" w14:textId="77777777" w:rsidR="008862C7" w:rsidRDefault="00EA1CF0" w:rsidP="008862C7">
      <w:pPr>
        <w:pStyle w:val="TM4"/>
        <w:tabs>
          <w:tab w:val="clear" w:pos="708"/>
          <w:tab w:val="left" w:pos="1320"/>
          <w:tab w:val="right" w:leader="dot" w:pos="9062"/>
        </w:tabs>
        <w:rPr>
          <w:noProof/>
          <w:sz w:val="22"/>
          <w:szCs w:val="22"/>
        </w:rPr>
      </w:pPr>
      <w:hyperlink r:id="rId174" w:anchor="_Toc395107636" w:history="1">
        <w:r w:rsidR="008862C7">
          <w:rPr>
            <w:rStyle w:val="Lienhypertexte"/>
            <w:rFonts w:ascii="Arial" w:hAnsi="Arial" w:cs="Arial"/>
            <w:b/>
            <w:noProof/>
          </w:rPr>
          <w:t>2.1.</w:t>
        </w:r>
        <w:r w:rsidR="008862C7">
          <w:rPr>
            <w:rStyle w:val="Lienhypertexte"/>
            <w:noProof/>
            <w:sz w:val="22"/>
            <w:szCs w:val="22"/>
          </w:rPr>
          <w:tab/>
        </w:r>
        <w:r w:rsidR="008862C7">
          <w:rPr>
            <w:rStyle w:val="Lienhypertexte"/>
            <w:rFonts w:ascii="Arial" w:hAnsi="Arial" w:cs="Arial"/>
            <w:b/>
            <w:noProof/>
          </w:rPr>
          <w:t>Organisation et fonctionnement du système de commercialisation interne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113</w:t>
        </w:r>
        <w:r w:rsidR="008862C7">
          <w:rPr>
            <w:rStyle w:val="Lienhypertexte"/>
            <w:noProof/>
            <w:webHidden/>
          </w:rPr>
          <w:fldChar w:fldCharType="end"/>
        </w:r>
      </w:hyperlink>
    </w:p>
    <w:p w14:paraId="2020DA4C" w14:textId="77777777" w:rsidR="008862C7" w:rsidRDefault="00EA1CF0" w:rsidP="008862C7">
      <w:pPr>
        <w:pStyle w:val="TM7"/>
        <w:tabs>
          <w:tab w:val="clear" w:pos="708"/>
          <w:tab w:val="left" w:pos="1760"/>
          <w:tab w:val="right" w:leader="dot" w:pos="9062"/>
        </w:tabs>
        <w:rPr>
          <w:noProof/>
          <w:sz w:val="22"/>
          <w:szCs w:val="22"/>
        </w:rPr>
      </w:pPr>
      <w:hyperlink r:id="rId175" w:anchor="_Toc395107637" w:history="1">
        <w:r w:rsidR="008862C7">
          <w:rPr>
            <w:rStyle w:val="Lienhypertexte"/>
            <w:rFonts w:ascii="Arial" w:hAnsi="Arial" w:cs="Arial"/>
            <w:b/>
            <w:noProof/>
          </w:rPr>
          <w:t>a.</w:t>
        </w:r>
        <w:r w:rsidR="008862C7">
          <w:rPr>
            <w:rStyle w:val="Lienhypertexte"/>
            <w:noProof/>
            <w:sz w:val="22"/>
            <w:szCs w:val="22"/>
          </w:rPr>
          <w:tab/>
        </w:r>
        <w:r w:rsidR="008862C7">
          <w:rPr>
            <w:rStyle w:val="Lienhypertexte"/>
            <w:rFonts w:ascii="Arial" w:hAnsi="Arial" w:cs="Arial"/>
            <w:b/>
            <w:noProof/>
          </w:rPr>
          <w:t>Caractéristiques institutionnelles et organisationnelles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_Toc395107637 \h </w:instrText>
        </w:r>
        <w:r w:rsidR="008862C7">
          <w:rPr>
            <w:rStyle w:val="Lienhypertexte"/>
            <w:noProof/>
            <w:webHidden/>
          </w:rPr>
          <w:fldChar w:fldCharType="separate"/>
        </w:r>
        <w:r w:rsidR="00AF344F">
          <w:rPr>
            <w:rStyle w:val="Lienhypertexte"/>
            <w:b/>
            <w:bCs/>
            <w:noProof/>
            <w:webHidden/>
          </w:rPr>
          <w:t>Erreur ! Signet non défini.</w:t>
        </w:r>
        <w:r w:rsidR="008862C7">
          <w:rPr>
            <w:rStyle w:val="Lienhypertexte"/>
            <w:noProof/>
            <w:webHidden/>
          </w:rPr>
          <w:fldChar w:fldCharType="end"/>
        </w:r>
      </w:hyperlink>
    </w:p>
    <w:p w14:paraId="276367E2" w14:textId="77777777" w:rsidR="008862C7" w:rsidRDefault="00EA1CF0" w:rsidP="008862C7">
      <w:pPr>
        <w:pStyle w:val="TM8"/>
        <w:tabs>
          <w:tab w:val="clear" w:pos="708"/>
          <w:tab w:val="left" w:pos="1843"/>
          <w:tab w:val="right" w:leader="dot" w:pos="9062"/>
        </w:tabs>
        <w:rPr>
          <w:noProof/>
          <w:sz w:val="22"/>
          <w:szCs w:val="22"/>
        </w:rPr>
      </w:pPr>
      <w:hyperlink r:id="rId176" w:anchor="_Toc39510763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Structure monopolistique du marché interne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113</w:t>
        </w:r>
        <w:r w:rsidR="008862C7">
          <w:rPr>
            <w:rStyle w:val="Lienhypertexte"/>
            <w:noProof/>
            <w:webHidden/>
          </w:rPr>
          <w:fldChar w:fldCharType="end"/>
        </w:r>
      </w:hyperlink>
    </w:p>
    <w:p w14:paraId="2B950D83" w14:textId="77777777" w:rsidR="008862C7" w:rsidRDefault="00EA1CF0" w:rsidP="008862C7">
      <w:pPr>
        <w:pStyle w:val="TM8"/>
        <w:tabs>
          <w:tab w:val="clear" w:pos="708"/>
          <w:tab w:val="left" w:pos="1843"/>
          <w:tab w:val="right" w:leader="dot" w:pos="9062"/>
        </w:tabs>
        <w:rPr>
          <w:noProof/>
          <w:sz w:val="22"/>
          <w:szCs w:val="22"/>
        </w:rPr>
      </w:pPr>
      <w:hyperlink r:id="rId177" w:anchor="_Toc39510763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Position dominante de l’Etat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_Toc395107639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113</w:t>
        </w:r>
        <w:r w:rsidR="008862C7">
          <w:rPr>
            <w:rStyle w:val="Lienhypertexte"/>
            <w:noProof/>
            <w:webHidden/>
          </w:rPr>
          <w:fldChar w:fldCharType="end"/>
        </w:r>
      </w:hyperlink>
    </w:p>
    <w:p w14:paraId="10342E37" w14:textId="77777777" w:rsidR="008862C7" w:rsidRDefault="00EA1CF0" w:rsidP="008862C7">
      <w:pPr>
        <w:pStyle w:val="TM8"/>
        <w:tabs>
          <w:tab w:val="clear" w:pos="708"/>
          <w:tab w:val="left" w:pos="1843"/>
          <w:tab w:val="right" w:leader="dot" w:pos="9062"/>
        </w:tabs>
        <w:rPr>
          <w:noProof/>
          <w:sz w:val="22"/>
          <w:szCs w:val="22"/>
        </w:rPr>
      </w:pPr>
      <w:hyperlink r:id="rId178" w:anchor="_Toc39510764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Développement du mouvement coopératif</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114</w:t>
        </w:r>
        <w:r w:rsidR="008862C7">
          <w:rPr>
            <w:rStyle w:val="Lienhypertexte"/>
            <w:noProof/>
            <w:webHidden/>
          </w:rPr>
          <w:fldChar w:fldCharType="end"/>
        </w:r>
      </w:hyperlink>
    </w:p>
    <w:p w14:paraId="3CDD9C5E" w14:textId="77777777" w:rsidR="008862C7" w:rsidRDefault="00EA1CF0" w:rsidP="008862C7">
      <w:pPr>
        <w:pStyle w:val="TM7"/>
        <w:tabs>
          <w:tab w:val="clear" w:pos="708"/>
          <w:tab w:val="left" w:pos="1760"/>
          <w:tab w:val="right" w:leader="dot" w:pos="9062"/>
        </w:tabs>
        <w:rPr>
          <w:noProof/>
          <w:sz w:val="22"/>
          <w:szCs w:val="22"/>
        </w:rPr>
      </w:pPr>
      <w:hyperlink r:id="rId179" w:anchor="_Toc395107641" w:history="1">
        <w:r w:rsidR="008862C7">
          <w:rPr>
            <w:rStyle w:val="Lienhypertexte"/>
            <w:rFonts w:ascii="Arial" w:hAnsi="Arial" w:cs="Arial"/>
            <w:b/>
            <w:noProof/>
          </w:rPr>
          <w:t>b.</w:t>
        </w:r>
        <w:r w:rsidR="008862C7">
          <w:rPr>
            <w:rStyle w:val="Lienhypertexte"/>
            <w:noProof/>
            <w:sz w:val="22"/>
            <w:szCs w:val="22"/>
          </w:rPr>
          <w:tab/>
        </w:r>
        <w:r w:rsidR="008862C7">
          <w:rPr>
            <w:rStyle w:val="Lienhypertexte"/>
            <w:rFonts w:ascii="Arial" w:hAnsi="Arial" w:cs="Arial"/>
            <w:b/>
            <w:noProof/>
          </w:rPr>
          <w:t>Caractéristiques technico-économiques du système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_Toc395107641 \h </w:instrText>
        </w:r>
        <w:r w:rsidR="008862C7">
          <w:rPr>
            <w:rStyle w:val="Lienhypertexte"/>
            <w:noProof/>
            <w:webHidden/>
          </w:rPr>
          <w:fldChar w:fldCharType="separate"/>
        </w:r>
        <w:r w:rsidR="00AF344F">
          <w:rPr>
            <w:rStyle w:val="Lienhypertexte"/>
            <w:b/>
            <w:bCs/>
            <w:noProof/>
            <w:webHidden/>
          </w:rPr>
          <w:t>Erreur ! Signet non défini.</w:t>
        </w:r>
        <w:r w:rsidR="008862C7">
          <w:rPr>
            <w:rStyle w:val="Lienhypertexte"/>
            <w:noProof/>
            <w:webHidden/>
          </w:rPr>
          <w:fldChar w:fldCharType="end"/>
        </w:r>
      </w:hyperlink>
    </w:p>
    <w:p w14:paraId="1CC49852" w14:textId="77777777" w:rsidR="008862C7" w:rsidRDefault="00EA1CF0" w:rsidP="008862C7">
      <w:pPr>
        <w:pStyle w:val="TM5"/>
        <w:tabs>
          <w:tab w:val="clear" w:pos="708"/>
          <w:tab w:val="left" w:pos="1760"/>
          <w:tab w:val="right" w:leader="dot" w:pos="9062"/>
        </w:tabs>
        <w:rPr>
          <w:noProof/>
          <w:sz w:val="22"/>
          <w:szCs w:val="22"/>
        </w:rPr>
      </w:pPr>
      <w:hyperlink r:id="rId180" w:anchor="_Toc395107642" w:history="1">
        <w:r w:rsidR="008862C7">
          <w:rPr>
            <w:rStyle w:val="Lienhypertexte"/>
            <w:rFonts w:ascii="Arial" w:hAnsi="Arial" w:cs="Arial"/>
            <w:b/>
            <w:noProof/>
          </w:rPr>
          <w:t>2.1.1.</w:t>
        </w:r>
        <w:r w:rsidR="008862C7">
          <w:rPr>
            <w:rStyle w:val="Lienhypertexte"/>
            <w:noProof/>
            <w:sz w:val="22"/>
            <w:szCs w:val="22"/>
          </w:rPr>
          <w:tab/>
        </w:r>
        <w:r w:rsidR="008862C7">
          <w:rPr>
            <w:rStyle w:val="Lienhypertexte"/>
            <w:rFonts w:ascii="Arial" w:hAnsi="Arial" w:cs="Arial"/>
            <w:b/>
            <w:noProof/>
          </w:rPr>
          <w:t>Principaux acteurs du système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114</w:t>
        </w:r>
        <w:r w:rsidR="008862C7">
          <w:rPr>
            <w:rStyle w:val="Lienhypertexte"/>
            <w:noProof/>
            <w:webHidden/>
          </w:rPr>
          <w:fldChar w:fldCharType="end"/>
        </w:r>
      </w:hyperlink>
    </w:p>
    <w:p w14:paraId="3D1430EB" w14:textId="77777777" w:rsidR="008862C7" w:rsidRDefault="00EA1CF0" w:rsidP="008862C7">
      <w:pPr>
        <w:pStyle w:val="TM8"/>
        <w:tabs>
          <w:tab w:val="clear" w:pos="708"/>
          <w:tab w:val="left" w:pos="1843"/>
          <w:tab w:val="right" w:leader="dot" w:pos="9062"/>
        </w:tabs>
        <w:rPr>
          <w:noProof/>
          <w:sz w:val="22"/>
          <w:szCs w:val="22"/>
        </w:rPr>
      </w:pPr>
      <w:hyperlink r:id="rId181" w:anchor="_Toc39510764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Producteurs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114</w:t>
        </w:r>
        <w:r w:rsidR="008862C7">
          <w:rPr>
            <w:rStyle w:val="Lienhypertexte"/>
            <w:noProof/>
            <w:webHidden/>
          </w:rPr>
          <w:fldChar w:fldCharType="end"/>
        </w:r>
      </w:hyperlink>
    </w:p>
    <w:p w14:paraId="4AA58AE0" w14:textId="77777777" w:rsidR="008862C7" w:rsidRDefault="00EA1CF0" w:rsidP="008862C7">
      <w:pPr>
        <w:pStyle w:val="TM8"/>
        <w:tabs>
          <w:tab w:val="clear" w:pos="708"/>
          <w:tab w:val="left" w:pos="1843"/>
          <w:tab w:val="right" w:leader="dot" w:pos="9062"/>
        </w:tabs>
        <w:rPr>
          <w:noProof/>
          <w:sz w:val="22"/>
          <w:szCs w:val="22"/>
        </w:rPr>
      </w:pPr>
      <w:hyperlink r:id="rId182" w:anchor="_Toc395107644"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Société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115</w:t>
        </w:r>
        <w:r w:rsidR="008862C7">
          <w:rPr>
            <w:rStyle w:val="Lienhypertexte"/>
            <w:noProof/>
            <w:webHidden/>
          </w:rPr>
          <w:fldChar w:fldCharType="end"/>
        </w:r>
      </w:hyperlink>
    </w:p>
    <w:p w14:paraId="4BCD959B" w14:textId="77777777" w:rsidR="008862C7" w:rsidRDefault="00EA1CF0" w:rsidP="008862C7">
      <w:pPr>
        <w:pStyle w:val="TM6"/>
        <w:tabs>
          <w:tab w:val="clear" w:pos="708"/>
          <w:tab w:val="right" w:leader="dot" w:pos="9062"/>
        </w:tabs>
        <w:rPr>
          <w:noProof/>
          <w:sz w:val="22"/>
          <w:szCs w:val="22"/>
        </w:rPr>
      </w:pPr>
      <w:hyperlink r:id="rId183" w:anchor="_Toc395107645" w:history="1">
        <w:r w:rsidR="008862C7">
          <w:rPr>
            <w:rStyle w:val="Lienhypertexte"/>
            <w:rFonts w:ascii="Arial" w:hAnsi="Arial" w:cs="Arial"/>
            <w:b/>
            <w:noProof/>
            <w:lang w:bidi="hi-IN"/>
          </w:rPr>
          <w:t>2.1.1.2. Fonctionnement du système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116</w:t>
        </w:r>
        <w:r w:rsidR="008862C7">
          <w:rPr>
            <w:rStyle w:val="Lienhypertexte"/>
            <w:noProof/>
            <w:webHidden/>
          </w:rPr>
          <w:fldChar w:fldCharType="end"/>
        </w:r>
      </w:hyperlink>
    </w:p>
    <w:p w14:paraId="28F13A2B" w14:textId="77777777" w:rsidR="008862C7" w:rsidRDefault="00EA1CF0" w:rsidP="008862C7">
      <w:pPr>
        <w:pStyle w:val="TM8"/>
        <w:tabs>
          <w:tab w:val="clear" w:pos="708"/>
          <w:tab w:val="left" w:pos="1843"/>
          <w:tab w:val="right" w:leader="dot" w:pos="9062"/>
        </w:tabs>
        <w:rPr>
          <w:noProof/>
          <w:sz w:val="22"/>
          <w:szCs w:val="22"/>
        </w:rPr>
      </w:pPr>
      <w:hyperlink r:id="rId184" w:anchor="_Toc395107646"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Marché autogéré (MAG)</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116</w:t>
        </w:r>
        <w:r w:rsidR="008862C7">
          <w:rPr>
            <w:rStyle w:val="Lienhypertexte"/>
            <w:noProof/>
            <w:webHidden/>
          </w:rPr>
          <w:fldChar w:fldCharType="end"/>
        </w:r>
      </w:hyperlink>
    </w:p>
    <w:p w14:paraId="49515BD0" w14:textId="77777777" w:rsidR="008862C7" w:rsidRDefault="00EA1CF0" w:rsidP="008862C7">
      <w:pPr>
        <w:pStyle w:val="TM8"/>
        <w:tabs>
          <w:tab w:val="clear" w:pos="708"/>
          <w:tab w:val="left" w:pos="1843"/>
          <w:tab w:val="right" w:leader="dot" w:pos="9062"/>
        </w:tabs>
        <w:rPr>
          <w:noProof/>
          <w:sz w:val="22"/>
          <w:szCs w:val="22"/>
        </w:rPr>
      </w:pPr>
      <w:hyperlink r:id="rId185" w:anchor="_Toc39510764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Fonctionnement des usines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118</w:t>
        </w:r>
        <w:r w:rsidR="008862C7">
          <w:rPr>
            <w:rStyle w:val="Lienhypertexte"/>
            <w:noProof/>
            <w:webHidden/>
          </w:rPr>
          <w:fldChar w:fldCharType="end"/>
        </w:r>
      </w:hyperlink>
    </w:p>
    <w:p w14:paraId="513C0C62" w14:textId="77777777" w:rsidR="008862C7" w:rsidRDefault="00EA1CF0" w:rsidP="008862C7">
      <w:pPr>
        <w:pStyle w:val="TM5"/>
        <w:tabs>
          <w:tab w:val="clear" w:pos="708"/>
          <w:tab w:val="left" w:pos="1760"/>
          <w:tab w:val="right" w:leader="dot" w:pos="9062"/>
        </w:tabs>
        <w:rPr>
          <w:noProof/>
          <w:sz w:val="22"/>
          <w:szCs w:val="22"/>
        </w:rPr>
      </w:pPr>
      <w:hyperlink r:id="rId186" w:anchor="_Toc395107648" w:history="1">
        <w:r w:rsidR="008862C7">
          <w:rPr>
            <w:rStyle w:val="Lienhypertexte"/>
            <w:rFonts w:ascii="Arial" w:hAnsi="Arial" w:cs="Arial"/>
            <w:b/>
            <w:noProof/>
          </w:rPr>
          <w:t>2.1.2.</w:t>
        </w:r>
        <w:r w:rsidR="008862C7">
          <w:rPr>
            <w:rStyle w:val="Lienhypertexte"/>
            <w:noProof/>
            <w:sz w:val="22"/>
            <w:szCs w:val="22"/>
          </w:rPr>
          <w:tab/>
        </w:r>
        <w:r w:rsidR="008862C7">
          <w:rPr>
            <w:rStyle w:val="Lienhypertexte"/>
            <w:rFonts w:ascii="Arial" w:hAnsi="Arial" w:cs="Arial"/>
            <w:b/>
            <w:noProof/>
          </w:rPr>
          <w:t>Structure de coûts et performances du système commercial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119</w:t>
        </w:r>
        <w:r w:rsidR="008862C7">
          <w:rPr>
            <w:rStyle w:val="Lienhypertexte"/>
            <w:noProof/>
            <w:webHidden/>
          </w:rPr>
          <w:fldChar w:fldCharType="end"/>
        </w:r>
      </w:hyperlink>
    </w:p>
    <w:p w14:paraId="07B3F2EE" w14:textId="77777777" w:rsidR="008862C7" w:rsidRDefault="00EA1CF0" w:rsidP="008862C7">
      <w:pPr>
        <w:pStyle w:val="TM6"/>
        <w:tabs>
          <w:tab w:val="clear" w:pos="708"/>
          <w:tab w:val="left" w:pos="1920"/>
          <w:tab w:val="right" w:leader="dot" w:pos="9062"/>
        </w:tabs>
        <w:rPr>
          <w:noProof/>
          <w:sz w:val="22"/>
          <w:szCs w:val="22"/>
        </w:rPr>
      </w:pPr>
      <w:hyperlink r:id="rId187" w:anchor="_Toc395107649" w:history="1">
        <w:r w:rsidR="008862C7">
          <w:rPr>
            <w:rStyle w:val="Lienhypertexte"/>
            <w:rFonts w:ascii="Arial" w:hAnsi="Arial" w:cs="Arial"/>
            <w:b/>
            <w:noProof/>
          </w:rPr>
          <w:t>2.1.2.1.</w:t>
        </w:r>
        <w:r w:rsidR="008862C7">
          <w:rPr>
            <w:rStyle w:val="Lienhypertexte"/>
            <w:noProof/>
            <w:sz w:val="22"/>
            <w:szCs w:val="22"/>
          </w:rPr>
          <w:tab/>
        </w:r>
        <w:r w:rsidR="008862C7">
          <w:rPr>
            <w:rStyle w:val="Lienhypertexte"/>
            <w:rFonts w:ascii="Arial" w:hAnsi="Arial" w:cs="Arial"/>
            <w:b/>
            <w:noProof/>
          </w:rPr>
          <w:t>Coûts liés au circuit interne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_Toc395107649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119</w:t>
        </w:r>
        <w:r w:rsidR="008862C7">
          <w:rPr>
            <w:rStyle w:val="Lienhypertexte"/>
            <w:noProof/>
            <w:webHidden/>
          </w:rPr>
          <w:fldChar w:fldCharType="end"/>
        </w:r>
      </w:hyperlink>
    </w:p>
    <w:p w14:paraId="1D7B5A72" w14:textId="77777777" w:rsidR="008862C7" w:rsidRDefault="00EA1CF0" w:rsidP="008862C7">
      <w:pPr>
        <w:pStyle w:val="TM6"/>
        <w:tabs>
          <w:tab w:val="clear" w:pos="708"/>
          <w:tab w:val="left" w:pos="1920"/>
          <w:tab w:val="right" w:leader="dot" w:pos="9062"/>
        </w:tabs>
        <w:rPr>
          <w:noProof/>
          <w:sz w:val="22"/>
          <w:szCs w:val="22"/>
        </w:rPr>
      </w:pPr>
      <w:hyperlink r:id="rId188" w:anchor="_Toc395107650" w:history="1">
        <w:r w:rsidR="008862C7">
          <w:rPr>
            <w:rStyle w:val="Lienhypertexte"/>
            <w:rFonts w:ascii="Arial" w:hAnsi="Arial" w:cs="Arial"/>
            <w:b/>
            <w:noProof/>
          </w:rPr>
          <w:t>2.1.2.2.</w:t>
        </w:r>
        <w:r w:rsidR="008862C7">
          <w:rPr>
            <w:rStyle w:val="Lienhypertexte"/>
            <w:noProof/>
            <w:sz w:val="22"/>
            <w:szCs w:val="22"/>
          </w:rPr>
          <w:tab/>
        </w:r>
        <w:r w:rsidR="008862C7">
          <w:rPr>
            <w:rStyle w:val="Lienhypertexte"/>
            <w:rFonts w:ascii="Arial" w:hAnsi="Arial" w:cs="Arial"/>
            <w:b/>
            <w:noProof/>
          </w:rPr>
          <w:t>Coûts liés au circuit externe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120</w:t>
        </w:r>
        <w:r w:rsidR="008862C7">
          <w:rPr>
            <w:rStyle w:val="Lienhypertexte"/>
            <w:noProof/>
            <w:webHidden/>
          </w:rPr>
          <w:fldChar w:fldCharType="end"/>
        </w:r>
      </w:hyperlink>
    </w:p>
    <w:p w14:paraId="204993EB" w14:textId="77777777" w:rsidR="008862C7" w:rsidRDefault="00EA1CF0" w:rsidP="008862C7">
      <w:pPr>
        <w:pStyle w:val="TM4"/>
        <w:tabs>
          <w:tab w:val="clear" w:pos="708"/>
          <w:tab w:val="right" w:leader="dot" w:pos="9062"/>
        </w:tabs>
        <w:rPr>
          <w:noProof/>
          <w:sz w:val="22"/>
          <w:szCs w:val="22"/>
        </w:rPr>
      </w:pPr>
      <w:hyperlink r:id="rId189" w:anchor="_Toc395107651" w:history="1">
        <w:r w:rsidR="008862C7">
          <w:rPr>
            <w:rStyle w:val="Lienhypertexte"/>
            <w:rFonts w:ascii="Arial" w:hAnsi="Arial" w:cs="Arial"/>
            <w:b/>
            <w:noProof/>
          </w:rPr>
          <w:t>2.2. Organisation et fonctionnement du marché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122</w:t>
        </w:r>
        <w:r w:rsidR="008862C7">
          <w:rPr>
            <w:rStyle w:val="Lienhypertexte"/>
            <w:noProof/>
            <w:webHidden/>
          </w:rPr>
          <w:fldChar w:fldCharType="end"/>
        </w:r>
      </w:hyperlink>
    </w:p>
    <w:p w14:paraId="41BC634E" w14:textId="77777777" w:rsidR="008862C7" w:rsidRDefault="00EA1CF0" w:rsidP="008862C7">
      <w:pPr>
        <w:pStyle w:val="TM5"/>
        <w:tabs>
          <w:tab w:val="clear" w:pos="708"/>
          <w:tab w:val="right" w:leader="dot" w:pos="9062"/>
        </w:tabs>
        <w:rPr>
          <w:noProof/>
          <w:sz w:val="22"/>
          <w:szCs w:val="22"/>
        </w:rPr>
      </w:pPr>
      <w:hyperlink r:id="rId190" w:anchor="_Toc395107652" w:history="1">
        <w:r w:rsidR="008862C7">
          <w:rPr>
            <w:rStyle w:val="Lienhypertexte"/>
            <w:rFonts w:ascii="Arial" w:hAnsi="Arial" w:cs="Arial"/>
            <w:b/>
            <w:noProof/>
          </w:rPr>
          <w:t>2.2.1. Organisation du marché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122</w:t>
        </w:r>
        <w:r w:rsidR="008862C7">
          <w:rPr>
            <w:rStyle w:val="Lienhypertexte"/>
            <w:noProof/>
            <w:webHidden/>
          </w:rPr>
          <w:fldChar w:fldCharType="end"/>
        </w:r>
      </w:hyperlink>
    </w:p>
    <w:p w14:paraId="733A855E" w14:textId="77777777" w:rsidR="008862C7" w:rsidRDefault="00EA1CF0" w:rsidP="008862C7">
      <w:pPr>
        <w:pStyle w:val="TM6"/>
        <w:tabs>
          <w:tab w:val="clear" w:pos="708"/>
          <w:tab w:val="right" w:leader="dot" w:pos="9062"/>
        </w:tabs>
        <w:rPr>
          <w:noProof/>
          <w:sz w:val="22"/>
          <w:szCs w:val="22"/>
        </w:rPr>
      </w:pPr>
      <w:hyperlink r:id="rId191" w:anchor="_Toc395107653" w:history="1">
        <w:r w:rsidR="008862C7">
          <w:rPr>
            <w:rStyle w:val="Lienhypertexte"/>
            <w:rFonts w:ascii="Arial" w:hAnsi="Arial" w:cs="Arial"/>
            <w:b/>
            <w:noProof/>
          </w:rPr>
          <w:t>2.2.1.1. Offreurs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122</w:t>
        </w:r>
        <w:r w:rsidR="008862C7">
          <w:rPr>
            <w:rStyle w:val="Lienhypertexte"/>
            <w:noProof/>
            <w:webHidden/>
          </w:rPr>
          <w:fldChar w:fldCharType="end"/>
        </w:r>
      </w:hyperlink>
    </w:p>
    <w:p w14:paraId="271B65C7" w14:textId="77777777" w:rsidR="008862C7" w:rsidRDefault="00EA1CF0" w:rsidP="008862C7">
      <w:pPr>
        <w:pStyle w:val="TM6"/>
        <w:tabs>
          <w:tab w:val="clear" w:pos="708"/>
          <w:tab w:val="left" w:pos="1920"/>
          <w:tab w:val="right" w:leader="dot" w:pos="9062"/>
        </w:tabs>
        <w:rPr>
          <w:noProof/>
          <w:sz w:val="22"/>
          <w:szCs w:val="22"/>
        </w:rPr>
      </w:pPr>
      <w:hyperlink r:id="rId192" w:anchor="_Toc395107654" w:history="1">
        <w:r w:rsidR="008862C7">
          <w:rPr>
            <w:rStyle w:val="Lienhypertexte"/>
            <w:rFonts w:ascii="Arial" w:hAnsi="Arial" w:cs="Arial"/>
            <w:b/>
            <w:noProof/>
          </w:rPr>
          <w:t>2.2.1.2.</w:t>
        </w:r>
        <w:r w:rsidR="008862C7">
          <w:rPr>
            <w:rStyle w:val="Lienhypertexte"/>
            <w:noProof/>
            <w:sz w:val="22"/>
            <w:szCs w:val="22"/>
          </w:rPr>
          <w:tab/>
        </w:r>
        <w:r w:rsidR="008862C7">
          <w:rPr>
            <w:rStyle w:val="Lienhypertexte"/>
            <w:rFonts w:ascii="Arial" w:hAnsi="Arial" w:cs="Arial"/>
            <w:b/>
            <w:noProof/>
          </w:rPr>
          <w:t>Intermédiaires et places internationales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123</w:t>
        </w:r>
        <w:r w:rsidR="008862C7">
          <w:rPr>
            <w:rStyle w:val="Lienhypertexte"/>
            <w:noProof/>
            <w:webHidden/>
          </w:rPr>
          <w:fldChar w:fldCharType="end"/>
        </w:r>
      </w:hyperlink>
    </w:p>
    <w:p w14:paraId="611C5C3B" w14:textId="77777777" w:rsidR="008862C7" w:rsidRDefault="00EA1CF0" w:rsidP="008862C7">
      <w:pPr>
        <w:pStyle w:val="TM8"/>
        <w:tabs>
          <w:tab w:val="clear" w:pos="708"/>
          <w:tab w:val="left" w:pos="1843"/>
          <w:tab w:val="right" w:leader="dot" w:pos="9062"/>
        </w:tabs>
        <w:rPr>
          <w:noProof/>
          <w:sz w:val="22"/>
          <w:szCs w:val="22"/>
        </w:rPr>
      </w:pPr>
      <w:hyperlink r:id="rId193" w:anchor="_Toc395107655"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Agents de vente,  négociants et  courtiers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123</w:t>
        </w:r>
        <w:r w:rsidR="008862C7">
          <w:rPr>
            <w:rStyle w:val="Lienhypertexte"/>
            <w:noProof/>
            <w:webHidden/>
          </w:rPr>
          <w:fldChar w:fldCharType="end"/>
        </w:r>
      </w:hyperlink>
    </w:p>
    <w:p w14:paraId="180B3494" w14:textId="77777777" w:rsidR="008862C7" w:rsidRDefault="00EA1CF0" w:rsidP="008862C7">
      <w:pPr>
        <w:pStyle w:val="TM8"/>
        <w:tabs>
          <w:tab w:val="clear" w:pos="708"/>
          <w:tab w:val="left" w:pos="1843"/>
          <w:tab w:val="right" w:leader="dot" w:pos="9062"/>
        </w:tabs>
        <w:rPr>
          <w:noProof/>
          <w:sz w:val="22"/>
          <w:szCs w:val="22"/>
        </w:rPr>
      </w:pPr>
      <w:hyperlink r:id="rId194" w:anchor="_Toc395107656"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Transitaires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123</w:t>
        </w:r>
        <w:r w:rsidR="008862C7">
          <w:rPr>
            <w:rStyle w:val="Lienhypertexte"/>
            <w:noProof/>
            <w:webHidden/>
          </w:rPr>
          <w:fldChar w:fldCharType="end"/>
        </w:r>
      </w:hyperlink>
    </w:p>
    <w:p w14:paraId="00ECCFE3" w14:textId="77777777" w:rsidR="008862C7" w:rsidRDefault="00EA1CF0" w:rsidP="008862C7">
      <w:pPr>
        <w:pStyle w:val="TM8"/>
        <w:tabs>
          <w:tab w:val="clear" w:pos="708"/>
          <w:tab w:val="left" w:pos="1843"/>
          <w:tab w:val="right" w:leader="dot" w:pos="9062"/>
        </w:tabs>
        <w:rPr>
          <w:noProof/>
          <w:sz w:val="22"/>
          <w:szCs w:val="22"/>
        </w:rPr>
      </w:pPr>
      <w:hyperlink r:id="rId195" w:anchor="_Toc39510765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Places internationales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123</w:t>
        </w:r>
        <w:r w:rsidR="008862C7">
          <w:rPr>
            <w:rStyle w:val="Lienhypertexte"/>
            <w:noProof/>
            <w:webHidden/>
          </w:rPr>
          <w:fldChar w:fldCharType="end"/>
        </w:r>
      </w:hyperlink>
    </w:p>
    <w:p w14:paraId="17EFDAD5" w14:textId="77777777" w:rsidR="008862C7" w:rsidRDefault="00EA1CF0" w:rsidP="008862C7">
      <w:pPr>
        <w:pStyle w:val="TM8"/>
        <w:tabs>
          <w:tab w:val="clear" w:pos="708"/>
          <w:tab w:val="left" w:pos="1843"/>
          <w:tab w:val="right" w:leader="dot" w:pos="9062"/>
        </w:tabs>
        <w:rPr>
          <w:noProof/>
          <w:sz w:val="22"/>
          <w:szCs w:val="22"/>
        </w:rPr>
      </w:pPr>
      <w:hyperlink r:id="rId196" w:anchor="_Toc39510765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Bourses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123</w:t>
        </w:r>
        <w:r w:rsidR="008862C7">
          <w:rPr>
            <w:rStyle w:val="Lienhypertexte"/>
            <w:noProof/>
            <w:webHidden/>
          </w:rPr>
          <w:fldChar w:fldCharType="end"/>
        </w:r>
      </w:hyperlink>
    </w:p>
    <w:p w14:paraId="67AAED07" w14:textId="77777777" w:rsidR="008862C7" w:rsidRDefault="00EA1CF0" w:rsidP="008862C7">
      <w:pPr>
        <w:pStyle w:val="TM8"/>
        <w:tabs>
          <w:tab w:val="clear" w:pos="708"/>
          <w:tab w:val="left" w:pos="1843"/>
          <w:tab w:val="right" w:leader="dot" w:pos="9062"/>
        </w:tabs>
        <w:rPr>
          <w:noProof/>
          <w:sz w:val="22"/>
          <w:szCs w:val="22"/>
        </w:rPr>
      </w:pPr>
      <w:hyperlink r:id="rId197" w:anchor="_Toc39510765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Organismes de réglementation et d’arbitrage.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_Toc395107659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124</w:t>
        </w:r>
        <w:r w:rsidR="008862C7">
          <w:rPr>
            <w:rStyle w:val="Lienhypertexte"/>
            <w:noProof/>
            <w:webHidden/>
          </w:rPr>
          <w:fldChar w:fldCharType="end"/>
        </w:r>
      </w:hyperlink>
    </w:p>
    <w:p w14:paraId="23540E1C" w14:textId="77777777" w:rsidR="008862C7" w:rsidRDefault="00EA1CF0" w:rsidP="008862C7">
      <w:pPr>
        <w:pStyle w:val="TM8"/>
        <w:tabs>
          <w:tab w:val="clear" w:pos="708"/>
          <w:tab w:val="left" w:pos="1843"/>
          <w:tab w:val="right" w:leader="dot" w:pos="9062"/>
        </w:tabs>
        <w:rPr>
          <w:noProof/>
          <w:sz w:val="22"/>
          <w:szCs w:val="22"/>
        </w:rPr>
      </w:pPr>
      <w:hyperlink r:id="rId198" w:anchor="_Toc39510766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Services d’inspection  et services d’information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124</w:t>
        </w:r>
        <w:r w:rsidR="008862C7">
          <w:rPr>
            <w:rStyle w:val="Lienhypertexte"/>
            <w:noProof/>
            <w:webHidden/>
          </w:rPr>
          <w:fldChar w:fldCharType="end"/>
        </w:r>
      </w:hyperlink>
    </w:p>
    <w:p w14:paraId="6AADFAD2" w14:textId="77777777" w:rsidR="008862C7" w:rsidRDefault="00EA1CF0" w:rsidP="008862C7">
      <w:pPr>
        <w:pStyle w:val="TM5"/>
        <w:tabs>
          <w:tab w:val="clear" w:pos="708"/>
          <w:tab w:val="left" w:pos="1760"/>
          <w:tab w:val="right" w:leader="dot" w:pos="9062"/>
        </w:tabs>
        <w:rPr>
          <w:noProof/>
          <w:sz w:val="22"/>
          <w:szCs w:val="22"/>
        </w:rPr>
      </w:pPr>
      <w:hyperlink r:id="rId199" w:anchor="_Toc395107661" w:history="1">
        <w:r w:rsidR="008862C7">
          <w:rPr>
            <w:rStyle w:val="Lienhypertexte"/>
            <w:rFonts w:ascii="Arial" w:hAnsi="Arial" w:cs="Arial"/>
            <w:b/>
            <w:noProof/>
          </w:rPr>
          <w:t>2.2.2.</w:t>
        </w:r>
        <w:r w:rsidR="008862C7">
          <w:rPr>
            <w:rStyle w:val="Lienhypertexte"/>
            <w:noProof/>
            <w:sz w:val="22"/>
            <w:szCs w:val="22"/>
          </w:rPr>
          <w:tab/>
        </w:r>
        <w:r w:rsidR="008862C7">
          <w:rPr>
            <w:rStyle w:val="Lienhypertexte"/>
            <w:rFonts w:ascii="Arial" w:hAnsi="Arial" w:cs="Arial"/>
            <w:b/>
            <w:noProof/>
          </w:rPr>
          <w:t>Fonctionnement du marché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124</w:t>
        </w:r>
        <w:r w:rsidR="008862C7">
          <w:rPr>
            <w:rStyle w:val="Lienhypertexte"/>
            <w:noProof/>
            <w:webHidden/>
          </w:rPr>
          <w:fldChar w:fldCharType="end"/>
        </w:r>
      </w:hyperlink>
    </w:p>
    <w:p w14:paraId="2F7C4267" w14:textId="77777777" w:rsidR="008862C7" w:rsidRDefault="00EA1CF0" w:rsidP="008862C7">
      <w:pPr>
        <w:pStyle w:val="TM6"/>
        <w:tabs>
          <w:tab w:val="clear" w:pos="708"/>
          <w:tab w:val="left" w:pos="1920"/>
          <w:tab w:val="right" w:leader="dot" w:pos="9062"/>
        </w:tabs>
        <w:rPr>
          <w:noProof/>
          <w:sz w:val="22"/>
          <w:szCs w:val="22"/>
        </w:rPr>
      </w:pPr>
      <w:hyperlink r:id="rId200" w:anchor="_Toc395107662" w:history="1">
        <w:r w:rsidR="008862C7">
          <w:rPr>
            <w:rStyle w:val="Lienhypertexte"/>
            <w:rFonts w:ascii="Arial" w:hAnsi="Arial" w:cs="Arial"/>
            <w:b/>
            <w:noProof/>
          </w:rPr>
          <w:t>2.2.2.1.</w:t>
        </w:r>
        <w:r w:rsidR="008862C7">
          <w:rPr>
            <w:rStyle w:val="Lienhypertexte"/>
            <w:noProof/>
            <w:sz w:val="22"/>
            <w:szCs w:val="22"/>
          </w:rPr>
          <w:tab/>
        </w:r>
        <w:r w:rsidR="008862C7">
          <w:rPr>
            <w:rStyle w:val="Lienhypertexte"/>
            <w:rFonts w:ascii="Arial" w:hAnsi="Arial" w:cs="Arial"/>
            <w:b/>
            <w:noProof/>
          </w:rPr>
          <w:t>Marchés : formation des cours et causes de leur variation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124</w:t>
        </w:r>
        <w:r w:rsidR="008862C7">
          <w:rPr>
            <w:rStyle w:val="Lienhypertexte"/>
            <w:noProof/>
            <w:webHidden/>
          </w:rPr>
          <w:fldChar w:fldCharType="end"/>
        </w:r>
      </w:hyperlink>
    </w:p>
    <w:p w14:paraId="4D0C2369" w14:textId="77777777" w:rsidR="008862C7" w:rsidRDefault="00EA1CF0" w:rsidP="008862C7">
      <w:pPr>
        <w:pStyle w:val="TM6"/>
        <w:tabs>
          <w:tab w:val="clear" w:pos="708"/>
          <w:tab w:val="left" w:pos="1920"/>
          <w:tab w:val="right" w:leader="dot" w:pos="9062"/>
        </w:tabs>
        <w:rPr>
          <w:noProof/>
          <w:sz w:val="22"/>
          <w:szCs w:val="22"/>
        </w:rPr>
      </w:pPr>
      <w:hyperlink r:id="rId201" w:anchor="_Toc395107663" w:history="1">
        <w:r w:rsidR="008862C7">
          <w:rPr>
            <w:rStyle w:val="Lienhypertexte"/>
            <w:rFonts w:ascii="Arial" w:hAnsi="Arial" w:cs="Arial"/>
            <w:b/>
            <w:noProof/>
          </w:rPr>
          <w:t>2.2.2.2.</w:t>
        </w:r>
        <w:r w:rsidR="008862C7">
          <w:rPr>
            <w:rStyle w:val="Lienhypertexte"/>
            <w:noProof/>
            <w:sz w:val="22"/>
            <w:szCs w:val="22"/>
          </w:rPr>
          <w:tab/>
        </w:r>
        <w:r w:rsidR="008862C7">
          <w:rPr>
            <w:rStyle w:val="Lienhypertexte"/>
            <w:rFonts w:ascii="Arial" w:hAnsi="Arial" w:cs="Arial"/>
            <w:b/>
            <w:noProof/>
          </w:rPr>
          <w:t>Commercialisation du coton fibre centrafricaine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126</w:t>
        </w:r>
        <w:r w:rsidR="008862C7">
          <w:rPr>
            <w:rStyle w:val="Lienhypertexte"/>
            <w:noProof/>
            <w:webHidden/>
          </w:rPr>
          <w:fldChar w:fldCharType="end"/>
        </w:r>
      </w:hyperlink>
    </w:p>
    <w:p w14:paraId="65B7639C" w14:textId="77777777" w:rsidR="008862C7" w:rsidRDefault="00EA1CF0" w:rsidP="008862C7">
      <w:pPr>
        <w:pStyle w:val="TM8"/>
        <w:tabs>
          <w:tab w:val="clear" w:pos="708"/>
          <w:tab w:val="left" w:pos="1843"/>
          <w:tab w:val="right" w:leader="dot" w:pos="9062"/>
        </w:tabs>
        <w:rPr>
          <w:noProof/>
          <w:sz w:val="22"/>
          <w:szCs w:val="22"/>
        </w:rPr>
      </w:pPr>
      <w:hyperlink r:id="rId202" w:anchor="_Toc395107664"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Différents systèmes de vente du coton fibre en Afrique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126</w:t>
        </w:r>
        <w:r w:rsidR="008862C7">
          <w:rPr>
            <w:rStyle w:val="Lienhypertexte"/>
            <w:noProof/>
            <w:webHidden/>
          </w:rPr>
          <w:fldChar w:fldCharType="end"/>
        </w:r>
      </w:hyperlink>
    </w:p>
    <w:p w14:paraId="47754A2A" w14:textId="77777777" w:rsidR="008862C7" w:rsidRDefault="00EA1CF0" w:rsidP="008862C7">
      <w:pPr>
        <w:pStyle w:val="TM9"/>
        <w:tabs>
          <w:tab w:val="clear" w:pos="708"/>
          <w:tab w:val="left" w:pos="2080"/>
          <w:tab w:val="right" w:leader="dot" w:pos="9062"/>
        </w:tabs>
        <w:rPr>
          <w:noProof/>
          <w:sz w:val="22"/>
          <w:szCs w:val="22"/>
        </w:rPr>
      </w:pPr>
      <w:hyperlink r:id="rId203" w:anchor="_Toc395107665" w:history="1">
        <w:r w:rsidR="008862C7">
          <w:rPr>
            <w:rStyle w:val="Lienhypertexte"/>
            <w:rFonts w:ascii="Arial" w:hAnsi="Arial" w:cs="Arial"/>
            <w:b/>
            <w:noProof/>
          </w:rPr>
          <w:t>i.</w:t>
        </w:r>
        <w:r w:rsidR="008862C7">
          <w:rPr>
            <w:rStyle w:val="Lienhypertexte"/>
            <w:noProof/>
            <w:sz w:val="22"/>
            <w:szCs w:val="22"/>
          </w:rPr>
          <w:tab/>
        </w:r>
        <w:r w:rsidR="008862C7">
          <w:rPr>
            <w:rStyle w:val="Lienhypertexte"/>
            <w:rFonts w:ascii="Arial" w:hAnsi="Arial" w:cs="Arial"/>
            <w:b/>
            <w:noProof/>
          </w:rPr>
          <w:t>Ventes par filières organisées.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126</w:t>
        </w:r>
        <w:r w:rsidR="008862C7">
          <w:rPr>
            <w:rStyle w:val="Lienhypertexte"/>
            <w:noProof/>
            <w:webHidden/>
          </w:rPr>
          <w:fldChar w:fldCharType="end"/>
        </w:r>
      </w:hyperlink>
    </w:p>
    <w:p w14:paraId="79AAF5B6" w14:textId="77777777" w:rsidR="008862C7" w:rsidRDefault="00EA1CF0" w:rsidP="008862C7">
      <w:pPr>
        <w:pStyle w:val="TM9"/>
        <w:tabs>
          <w:tab w:val="clear" w:pos="708"/>
          <w:tab w:val="left" w:pos="2130"/>
          <w:tab w:val="right" w:leader="dot" w:pos="9062"/>
        </w:tabs>
        <w:rPr>
          <w:noProof/>
          <w:sz w:val="22"/>
          <w:szCs w:val="22"/>
        </w:rPr>
      </w:pPr>
      <w:hyperlink r:id="rId204" w:anchor="_Toc395107666" w:history="1">
        <w:r w:rsidR="008862C7">
          <w:rPr>
            <w:rStyle w:val="Lienhypertexte"/>
            <w:rFonts w:ascii="Arial" w:hAnsi="Arial" w:cs="Arial"/>
            <w:b/>
            <w:noProof/>
          </w:rPr>
          <w:t>ii.</w:t>
        </w:r>
        <w:r w:rsidR="008862C7">
          <w:rPr>
            <w:rStyle w:val="Lienhypertexte"/>
            <w:noProof/>
            <w:sz w:val="22"/>
            <w:szCs w:val="22"/>
          </w:rPr>
          <w:tab/>
        </w:r>
        <w:r w:rsidR="008862C7">
          <w:rPr>
            <w:rStyle w:val="Lienhypertexte"/>
            <w:rFonts w:ascii="Arial" w:hAnsi="Arial" w:cs="Arial"/>
            <w:b/>
            <w:noProof/>
          </w:rPr>
          <w:t>Vente par agent commissionné.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126</w:t>
        </w:r>
        <w:r w:rsidR="008862C7">
          <w:rPr>
            <w:rStyle w:val="Lienhypertexte"/>
            <w:noProof/>
            <w:webHidden/>
          </w:rPr>
          <w:fldChar w:fldCharType="end"/>
        </w:r>
      </w:hyperlink>
    </w:p>
    <w:p w14:paraId="2EA139C2" w14:textId="77777777" w:rsidR="008862C7" w:rsidRDefault="00EA1CF0" w:rsidP="008862C7">
      <w:pPr>
        <w:pStyle w:val="TM9"/>
        <w:tabs>
          <w:tab w:val="clear" w:pos="708"/>
          <w:tab w:val="left" w:pos="2180"/>
          <w:tab w:val="right" w:leader="dot" w:pos="9062"/>
        </w:tabs>
        <w:rPr>
          <w:noProof/>
          <w:sz w:val="22"/>
          <w:szCs w:val="22"/>
        </w:rPr>
      </w:pPr>
      <w:hyperlink r:id="rId205" w:anchor="_Toc395107667" w:history="1">
        <w:r w:rsidR="008862C7">
          <w:rPr>
            <w:rStyle w:val="Lienhypertexte"/>
            <w:rFonts w:ascii="Arial" w:hAnsi="Arial" w:cs="Arial"/>
            <w:b/>
            <w:noProof/>
          </w:rPr>
          <w:t>iii.</w:t>
        </w:r>
        <w:r w:rsidR="008862C7">
          <w:rPr>
            <w:rStyle w:val="Lienhypertexte"/>
            <w:noProof/>
            <w:sz w:val="22"/>
            <w:szCs w:val="22"/>
          </w:rPr>
          <w:tab/>
        </w:r>
        <w:r w:rsidR="008862C7">
          <w:rPr>
            <w:rStyle w:val="Lienhypertexte"/>
            <w:rFonts w:ascii="Arial" w:hAnsi="Arial" w:cs="Arial"/>
            <w:b/>
            <w:noProof/>
          </w:rPr>
          <w:t>Ventes par négoce.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126</w:t>
        </w:r>
        <w:r w:rsidR="008862C7">
          <w:rPr>
            <w:rStyle w:val="Lienhypertexte"/>
            <w:noProof/>
            <w:webHidden/>
          </w:rPr>
          <w:fldChar w:fldCharType="end"/>
        </w:r>
      </w:hyperlink>
    </w:p>
    <w:p w14:paraId="7A319E04" w14:textId="77777777" w:rsidR="008862C7" w:rsidRDefault="00EA1CF0" w:rsidP="008862C7">
      <w:pPr>
        <w:pStyle w:val="TM8"/>
        <w:tabs>
          <w:tab w:val="clear" w:pos="708"/>
          <w:tab w:val="left" w:pos="1843"/>
          <w:tab w:val="right" w:leader="dot" w:pos="9062"/>
        </w:tabs>
        <w:rPr>
          <w:noProof/>
          <w:sz w:val="22"/>
          <w:szCs w:val="22"/>
        </w:rPr>
      </w:pPr>
      <w:hyperlink r:id="rId206" w:anchor="_Toc395107668"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Evacuation du coton fibre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127</w:t>
        </w:r>
        <w:r w:rsidR="008862C7">
          <w:rPr>
            <w:rStyle w:val="Lienhypertexte"/>
            <w:noProof/>
            <w:webHidden/>
          </w:rPr>
          <w:fldChar w:fldCharType="end"/>
        </w:r>
      </w:hyperlink>
    </w:p>
    <w:p w14:paraId="5C87F7C9" w14:textId="77777777" w:rsidR="008862C7" w:rsidRDefault="00EA1CF0" w:rsidP="008862C7">
      <w:pPr>
        <w:pStyle w:val="TM9"/>
        <w:tabs>
          <w:tab w:val="clear" w:pos="708"/>
          <w:tab w:val="left" w:pos="2080"/>
          <w:tab w:val="right" w:leader="dot" w:pos="9062"/>
        </w:tabs>
        <w:rPr>
          <w:noProof/>
          <w:sz w:val="22"/>
          <w:szCs w:val="22"/>
        </w:rPr>
      </w:pPr>
      <w:hyperlink r:id="rId207" w:anchor="_Toc395107669" w:history="1">
        <w:r w:rsidR="008862C7">
          <w:rPr>
            <w:rStyle w:val="Lienhypertexte"/>
            <w:rFonts w:ascii="Arial" w:hAnsi="Arial" w:cs="Arial"/>
            <w:b/>
            <w:noProof/>
          </w:rPr>
          <w:t>i.</w:t>
        </w:r>
        <w:r w:rsidR="008862C7">
          <w:rPr>
            <w:rStyle w:val="Lienhypertexte"/>
            <w:noProof/>
            <w:sz w:val="22"/>
            <w:szCs w:val="22"/>
          </w:rPr>
          <w:tab/>
        </w:r>
        <w:r w:rsidR="008862C7">
          <w:rPr>
            <w:rStyle w:val="Lienhypertexte"/>
            <w:rFonts w:ascii="Arial" w:hAnsi="Arial" w:cs="Arial"/>
            <w:b/>
            <w:noProof/>
          </w:rPr>
          <w:t>Voies d’évacuation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_Toc395107669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127</w:t>
        </w:r>
        <w:r w:rsidR="008862C7">
          <w:rPr>
            <w:rStyle w:val="Lienhypertexte"/>
            <w:noProof/>
            <w:webHidden/>
          </w:rPr>
          <w:fldChar w:fldCharType="end"/>
        </w:r>
      </w:hyperlink>
    </w:p>
    <w:p w14:paraId="6739CF6E" w14:textId="77777777" w:rsidR="008862C7" w:rsidRDefault="00EA1CF0" w:rsidP="008862C7">
      <w:pPr>
        <w:pStyle w:val="TM9"/>
        <w:tabs>
          <w:tab w:val="clear" w:pos="708"/>
          <w:tab w:val="left" w:pos="2130"/>
          <w:tab w:val="right" w:leader="dot" w:pos="9062"/>
        </w:tabs>
        <w:rPr>
          <w:noProof/>
          <w:sz w:val="22"/>
          <w:szCs w:val="22"/>
        </w:rPr>
      </w:pPr>
      <w:hyperlink r:id="rId208" w:anchor="_Toc395107670" w:history="1">
        <w:r w:rsidR="008862C7">
          <w:rPr>
            <w:rStyle w:val="Lienhypertexte"/>
            <w:rFonts w:ascii="Arial" w:hAnsi="Arial" w:cs="Arial"/>
            <w:b/>
            <w:noProof/>
          </w:rPr>
          <w:t>ii.</w:t>
        </w:r>
        <w:r w:rsidR="008862C7">
          <w:rPr>
            <w:rStyle w:val="Lienhypertexte"/>
            <w:noProof/>
            <w:sz w:val="22"/>
            <w:szCs w:val="22"/>
          </w:rPr>
          <w:tab/>
        </w:r>
        <w:r w:rsidR="008862C7">
          <w:rPr>
            <w:rStyle w:val="Lienhypertexte"/>
            <w:rFonts w:ascii="Arial" w:hAnsi="Arial" w:cs="Arial"/>
            <w:b/>
            <w:noProof/>
          </w:rPr>
          <w:t>Transport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127</w:t>
        </w:r>
        <w:r w:rsidR="008862C7">
          <w:rPr>
            <w:rStyle w:val="Lienhypertexte"/>
            <w:noProof/>
            <w:webHidden/>
          </w:rPr>
          <w:fldChar w:fldCharType="end"/>
        </w:r>
      </w:hyperlink>
    </w:p>
    <w:p w14:paraId="2FD7A101" w14:textId="77777777" w:rsidR="008862C7" w:rsidRDefault="00EA1CF0" w:rsidP="008862C7">
      <w:pPr>
        <w:pStyle w:val="TM9"/>
        <w:tabs>
          <w:tab w:val="clear" w:pos="708"/>
          <w:tab w:val="left" w:pos="2180"/>
          <w:tab w:val="right" w:leader="dot" w:pos="9062"/>
        </w:tabs>
        <w:rPr>
          <w:noProof/>
          <w:sz w:val="22"/>
          <w:szCs w:val="22"/>
        </w:rPr>
      </w:pPr>
      <w:hyperlink r:id="rId209" w:anchor="_Toc395107671" w:history="1">
        <w:r w:rsidR="008862C7">
          <w:rPr>
            <w:rStyle w:val="Lienhypertexte"/>
            <w:rFonts w:ascii="Arial" w:hAnsi="Arial" w:cs="Arial"/>
            <w:b/>
            <w:noProof/>
          </w:rPr>
          <w:t>iii.</w:t>
        </w:r>
        <w:r w:rsidR="008862C7">
          <w:rPr>
            <w:rStyle w:val="Lienhypertexte"/>
            <w:noProof/>
            <w:sz w:val="22"/>
            <w:szCs w:val="22"/>
          </w:rPr>
          <w:tab/>
        </w:r>
        <w:r w:rsidR="008862C7">
          <w:rPr>
            <w:rStyle w:val="Lienhypertexte"/>
            <w:rFonts w:ascii="Arial" w:hAnsi="Arial" w:cs="Arial"/>
            <w:b/>
            <w:noProof/>
          </w:rPr>
          <w:t>Transit de la fibre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127</w:t>
        </w:r>
        <w:r w:rsidR="008862C7">
          <w:rPr>
            <w:rStyle w:val="Lienhypertexte"/>
            <w:noProof/>
            <w:webHidden/>
          </w:rPr>
          <w:fldChar w:fldCharType="end"/>
        </w:r>
      </w:hyperlink>
    </w:p>
    <w:p w14:paraId="7E48685E" w14:textId="77777777" w:rsidR="008862C7" w:rsidRDefault="00EA1CF0" w:rsidP="008862C7">
      <w:pPr>
        <w:pStyle w:val="TM8"/>
        <w:tabs>
          <w:tab w:val="clear" w:pos="708"/>
          <w:tab w:val="left" w:pos="1843"/>
          <w:tab w:val="right" w:leader="dot" w:pos="9062"/>
        </w:tabs>
        <w:rPr>
          <w:noProof/>
          <w:sz w:val="22"/>
          <w:szCs w:val="22"/>
        </w:rPr>
      </w:pPr>
      <w:hyperlink r:id="rId210" w:anchor="_Toc39510767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Exportations du coton fibre centrafricaine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128</w:t>
        </w:r>
        <w:r w:rsidR="008862C7">
          <w:rPr>
            <w:rStyle w:val="Lienhypertexte"/>
            <w:noProof/>
            <w:webHidden/>
          </w:rPr>
          <w:fldChar w:fldCharType="end"/>
        </w:r>
      </w:hyperlink>
    </w:p>
    <w:p w14:paraId="3AD8E984" w14:textId="77777777" w:rsidR="008862C7" w:rsidRDefault="00EA1CF0" w:rsidP="008862C7">
      <w:pPr>
        <w:pStyle w:val="TM3"/>
        <w:tabs>
          <w:tab w:val="clear" w:pos="708"/>
          <w:tab w:val="right" w:leader="dot" w:pos="9062"/>
        </w:tabs>
        <w:rPr>
          <w:i w:val="0"/>
          <w:iCs w:val="0"/>
          <w:noProof/>
          <w:sz w:val="22"/>
          <w:szCs w:val="22"/>
        </w:rPr>
      </w:pPr>
      <w:hyperlink r:id="rId211" w:anchor="_Toc395107673" w:history="1">
        <w:r w:rsidR="008862C7">
          <w:rPr>
            <w:rStyle w:val="Lienhypertexte"/>
            <w:b/>
            <w:noProof/>
          </w:rPr>
          <w:t>CONCLUSION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129</w:t>
        </w:r>
        <w:r w:rsidR="008862C7">
          <w:rPr>
            <w:rStyle w:val="Lienhypertexte"/>
            <w:noProof/>
            <w:webHidden/>
          </w:rPr>
          <w:fldChar w:fldCharType="end"/>
        </w:r>
      </w:hyperlink>
    </w:p>
    <w:p w14:paraId="2E834119" w14:textId="77777777" w:rsidR="008862C7" w:rsidRDefault="00EA1CF0" w:rsidP="008862C7">
      <w:pPr>
        <w:pStyle w:val="TM2"/>
        <w:rPr>
          <w:rFonts w:ascii="Calibri" w:hAnsi="Calibri" w:cs="Times New Roman"/>
          <w:b w:val="0"/>
          <w:sz w:val="22"/>
          <w:szCs w:val="22"/>
          <w:lang w:bidi="ar-SA"/>
        </w:rPr>
      </w:pPr>
      <w:hyperlink r:id="rId212" w:anchor="_Toc395107674" w:history="1">
        <w:r w:rsidR="008862C7">
          <w:rPr>
            <w:rStyle w:val="Lienhypertexte"/>
          </w:rPr>
          <w:t>CHAPITRE IV : IDENTIFICATION ET EVALUATION DES DETERMINANTS DE LA COMPETITIVITE DU COTON CENTRAFRICAIN</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_Toc395107674 \h </w:instrText>
        </w:r>
        <w:r w:rsidR="008862C7">
          <w:rPr>
            <w:rStyle w:val="Lienhypertexte"/>
            <w:webHidden/>
          </w:rPr>
        </w:r>
        <w:r w:rsidR="008862C7">
          <w:rPr>
            <w:rStyle w:val="Lienhypertexte"/>
            <w:webHidden/>
          </w:rPr>
          <w:fldChar w:fldCharType="separate"/>
        </w:r>
        <w:r w:rsidR="00AF344F">
          <w:rPr>
            <w:rStyle w:val="Lienhypertexte"/>
            <w:webHidden/>
          </w:rPr>
          <w:t>131</w:t>
        </w:r>
        <w:r w:rsidR="008862C7">
          <w:rPr>
            <w:rStyle w:val="Lienhypertexte"/>
            <w:webHidden/>
          </w:rPr>
          <w:fldChar w:fldCharType="end"/>
        </w:r>
      </w:hyperlink>
    </w:p>
    <w:p w14:paraId="7C65353E" w14:textId="77777777" w:rsidR="008862C7" w:rsidRDefault="00EA1CF0" w:rsidP="008862C7">
      <w:pPr>
        <w:pStyle w:val="TM3"/>
        <w:tabs>
          <w:tab w:val="clear" w:pos="708"/>
          <w:tab w:val="right" w:leader="dot" w:pos="9062"/>
        </w:tabs>
        <w:rPr>
          <w:i w:val="0"/>
          <w:iCs w:val="0"/>
          <w:noProof/>
          <w:sz w:val="22"/>
          <w:szCs w:val="22"/>
        </w:rPr>
      </w:pPr>
      <w:hyperlink r:id="rId213" w:anchor="_Toc395107675" w:history="1">
        <w:r w:rsidR="008862C7">
          <w:rPr>
            <w:rStyle w:val="Lienhypertexte"/>
            <w:b/>
            <w:noProof/>
          </w:rPr>
          <w:t>INTRODUCTION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132</w:t>
        </w:r>
        <w:r w:rsidR="008862C7">
          <w:rPr>
            <w:rStyle w:val="Lienhypertexte"/>
            <w:noProof/>
            <w:webHidden/>
          </w:rPr>
          <w:fldChar w:fldCharType="end"/>
        </w:r>
      </w:hyperlink>
    </w:p>
    <w:p w14:paraId="51B89192" w14:textId="77777777" w:rsidR="008862C7" w:rsidRDefault="00EA1CF0" w:rsidP="008862C7">
      <w:pPr>
        <w:pStyle w:val="TM3"/>
        <w:tabs>
          <w:tab w:val="clear" w:pos="708"/>
          <w:tab w:val="left" w:pos="880"/>
          <w:tab w:val="right" w:leader="dot" w:pos="9062"/>
        </w:tabs>
        <w:rPr>
          <w:i w:val="0"/>
          <w:iCs w:val="0"/>
          <w:noProof/>
          <w:sz w:val="22"/>
          <w:szCs w:val="22"/>
        </w:rPr>
      </w:pPr>
      <w:hyperlink r:id="rId214" w:anchor="_Toc395107676" w:history="1">
        <w:r w:rsidR="008862C7">
          <w:rPr>
            <w:rStyle w:val="Lienhypertexte"/>
            <w:rFonts w:ascii="Arial" w:hAnsi="Arial" w:cs="Arial"/>
            <w:b/>
            <w:noProof/>
          </w:rPr>
          <w:t>I.</w:t>
        </w:r>
        <w:r w:rsidR="008862C7">
          <w:rPr>
            <w:rStyle w:val="Lienhypertexte"/>
            <w:i w:val="0"/>
            <w:iCs w:val="0"/>
            <w:noProof/>
            <w:sz w:val="22"/>
            <w:szCs w:val="22"/>
          </w:rPr>
          <w:tab/>
        </w:r>
        <w:r w:rsidR="008862C7">
          <w:rPr>
            <w:rStyle w:val="Lienhypertexte"/>
            <w:rFonts w:ascii="Arial" w:hAnsi="Arial" w:cs="Arial"/>
            <w:b/>
            <w:noProof/>
          </w:rPr>
          <w:t>IDENTIFICATION DES DETERMINANTS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132</w:t>
        </w:r>
        <w:r w:rsidR="008862C7">
          <w:rPr>
            <w:rStyle w:val="Lienhypertexte"/>
            <w:noProof/>
            <w:webHidden/>
          </w:rPr>
          <w:fldChar w:fldCharType="end"/>
        </w:r>
      </w:hyperlink>
    </w:p>
    <w:p w14:paraId="30B5663B" w14:textId="77777777" w:rsidR="008862C7" w:rsidRDefault="00EA1CF0" w:rsidP="008862C7">
      <w:pPr>
        <w:pStyle w:val="TM4"/>
        <w:tabs>
          <w:tab w:val="clear" w:pos="708"/>
          <w:tab w:val="left" w:pos="1320"/>
          <w:tab w:val="right" w:leader="dot" w:pos="9062"/>
        </w:tabs>
        <w:rPr>
          <w:noProof/>
          <w:sz w:val="22"/>
          <w:szCs w:val="22"/>
        </w:rPr>
      </w:pPr>
      <w:hyperlink r:id="rId215" w:anchor="_Toc395107677" w:history="1">
        <w:r w:rsidR="008862C7">
          <w:rPr>
            <w:rStyle w:val="Lienhypertexte"/>
            <w:rFonts w:ascii="Arial" w:hAnsi="Arial" w:cs="Arial"/>
            <w:b/>
            <w:noProof/>
          </w:rPr>
          <w:t>1.1.</w:t>
        </w:r>
        <w:r w:rsidR="008862C7">
          <w:rPr>
            <w:rStyle w:val="Lienhypertexte"/>
            <w:noProof/>
            <w:sz w:val="22"/>
            <w:szCs w:val="22"/>
          </w:rPr>
          <w:tab/>
        </w:r>
        <w:r w:rsidR="008862C7">
          <w:rPr>
            <w:rStyle w:val="Lienhypertexte"/>
            <w:rFonts w:ascii="Arial" w:hAnsi="Arial" w:cs="Arial"/>
            <w:b/>
            <w:noProof/>
          </w:rPr>
          <w:t>Déterminants interne de la compétitivité du coton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132</w:t>
        </w:r>
        <w:r w:rsidR="008862C7">
          <w:rPr>
            <w:rStyle w:val="Lienhypertexte"/>
            <w:noProof/>
            <w:webHidden/>
          </w:rPr>
          <w:fldChar w:fldCharType="end"/>
        </w:r>
      </w:hyperlink>
    </w:p>
    <w:p w14:paraId="3A1FB742" w14:textId="77777777" w:rsidR="008862C7" w:rsidRDefault="00EA1CF0" w:rsidP="008862C7">
      <w:pPr>
        <w:pStyle w:val="TM7"/>
        <w:tabs>
          <w:tab w:val="clear" w:pos="708"/>
          <w:tab w:val="left" w:pos="1760"/>
          <w:tab w:val="right" w:leader="dot" w:pos="9062"/>
        </w:tabs>
        <w:rPr>
          <w:noProof/>
          <w:sz w:val="22"/>
          <w:szCs w:val="22"/>
        </w:rPr>
      </w:pPr>
      <w:hyperlink r:id="rId216" w:anchor="_Toc395107678" w:history="1">
        <w:r w:rsidR="008862C7">
          <w:rPr>
            <w:rStyle w:val="Lienhypertexte"/>
            <w:rFonts w:ascii="Arial" w:hAnsi="Arial" w:cs="Arial"/>
            <w:b/>
            <w:noProof/>
          </w:rPr>
          <w:t>a.</w:t>
        </w:r>
        <w:r w:rsidR="008862C7">
          <w:rPr>
            <w:rStyle w:val="Lienhypertexte"/>
            <w:noProof/>
            <w:sz w:val="22"/>
            <w:szCs w:val="22"/>
          </w:rPr>
          <w:tab/>
        </w:r>
        <w:r w:rsidR="008862C7">
          <w:rPr>
            <w:rStyle w:val="Lienhypertexte"/>
            <w:rFonts w:ascii="Arial" w:hAnsi="Arial" w:cs="Arial"/>
            <w:b/>
            <w:noProof/>
          </w:rPr>
          <w:t>Dotations nationales en ressources productives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133</w:t>
        </w:r>
        <w:r w:rsidR="008862C7">
          <w:rPr>
            <w:rStyle w:val="Lienhypertexte"/>
            <w:noProof/>
            <w:webHidden/>
          </w:rPr>
          <w:fldChar w:fldCharType="end"/>
        </w:r>
      </w:hyperlink>
    </w:p>
    <w:p w14:paraId="6DC61FF0" w14:textId="77777777" w:rsidR="008862C7" w:rsidRDefault="00EA1CF0" w:rsidP="008862C7">
      <w:pPr>
        <w:pStyle w:val="TM8"/>
        <w:tabs>
          <w:tab w:val="clear" w:pos="708"/>
          <w:tab w:val="right" w:leader="dot" w:pos="9062"/>
        </w:tabs>
        <w:rPr>
          <w:noProof/>
          <w:sz w:val="22"/>
          <w:szCs w:val="22"/>
        </w:rPr>
      </w:pPr>
      <w:hyperlink r:id="rId217" w:anchor="_Toc395107679" w:history="1">
        <w:r w:rsidR="008862C7">
          <w:rPr>
            <w:rStyle w:val="Lienhypertexte"/>
            <w:rFonts w:ascii="Arial" w:hAnsi="Arial" w:cs="Arial"/>
            <w:b/>
            <w:noProof/>
            <w:lang w:bidi="hi-IN"/>
          </w:rPr>
          <w:t>Coût de transport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_Toc395107679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135</w:t>
        </w:r>
        <w:r w:rsidR="008862C7">
          <w:rPr>
            <w:rStyle w:val="Lienhypertexte"/>
            <w:noProof/>
            <w:webHidden/>
          </w:rPr>
          <w:fldChar w:fldCharType="end"/>
        </w:r>
      </w:hyperlink>
    </w:p>
    <w:p w14:paraId="64C42688" w14:textId="77777777" w:rsidR="008862C7" w:rsidRDefault="00EA1CF0" w:rsidP="008862C7">
      <w:pPr>
        <w:pStyle w:val="TM8"/>
        <w:tabs>
          <w:tab w:val="clear" w:pos="708"/>
          <w:tab w:val="left" w:pos="1843"/>
          <w:tab w:val="right" w:leader="dot" w:pos="9062"/>
        </w:tabs>
        <w:rPr>
          <w:noProof/>
          <w:sz w:val="22"/>
          <w:szCs w:val="22"/>
        </w:rPr>
      </w:pPr>
      <w:hyperlink r:id="rId218" w:anchor="_Toc395107680"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Coût de l’énergie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136</w:t>
        </w:r>
        <w:r w:rsidR="008862C7">
          <w:rPr>
            <w:rStyle w:val="Lienhypertexte"/>
            <w:noProof/>
            <w:webHidden/>
          </w:rPr>
          <w:fldChar w:fldCharType="end"/>
        </w:r>
      </w:hyperlink>
    </w:p>
    <w:p w14:paraId="5407226C" w14:textId="77777777" w:rsidR="008862C7" w:rsidRDefault="00EA1CF0" w:rsidP="008862C7">
      <w:pPr>
        <w:pStyle w:val="TM8"/>
        <w:tabs>
          <w:tab w:val="clear" w:pos="708"/>
          <w:tab w:val="left" w:pos="1843"/>
          <w:tab w:val="right" w:leader="dot" w:pos="9062"/>
        </w:tabs>
        <w:rPr>
          <w:noProof/>
          <w:sz w:val="22"/>
          <w:szCs w:val="22"/>
        </w:rPr>
      </w:pPr>
      <w:hyperlink r:id="rId219" w:anchor="_Toc395107681" w:history="1">
        <w:r w:rsidR="008862C7">
          <w:rPr>
            <w:rStyle w:val="Lienhypertexte"/>
            <w:rFonts w:ascii="Symbol" w:hAnsi="Symbol" w:cs="Arial"/>
            <w:noProof/>
            <w:lang w:bidi="hi-IN"/>
          </w:rPr>
          <w:t>·</w:t>
        </w:r>
        <w:r w:rsidR="008862C7">
          <w:rPr>
            <w:rStyle w:val="Lienhypertexte"/>
            <w:noProof/>
            <w:sz w:val="22"/>
            <w:szCs w:val="22"/>
          </w:rPr>
          <w:tab/>
        </w:r>
        <w:r w:rsidR="008862C7">
          <w:rPr>
            <w:rStyle w:val="Lienhypertexte"/>
            <w:rFonts w:ascii="Arial" w:hAnsi="Arial" w:cs="Arial"/>
            <w:b/>
            <w:noProof/>
            <w:lang w:bidi="hi-IN"/>
          </w:rPr>
          <w:t>Coût salarial effectif</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136</w:t>
        </w:r>
        <w:r w:rsidR="008862C7">
          <w:rPr>
            <w:rStyle w:val="Lienhypertexte"/>
            <w:noProof/>
            <w:webHidden/>
          </w:rPr>
          <w:fldChar w:fldCharType="end"/>
        </w:r>
      </w:hyperlink>
    </w:p>
    <w:p w14:paraId="30C05C1B" w14:textId="77777777" w:rsidR="008862C7" w:rsidRDefault="00EA1CF0" w:rsidP="008862C7">
      <w:pPr>
        <w:pStyle w:val="TM7"/>
        <w:tabs>
          <w:tab w:val="clear" w:pos="708"/>
          <w:tab w:val="left" w:pos="1760"/>
          <w:tab w:val="right" w:leader="dot" w:pos="9062"/>
        </w:tabs>
        <w:rPr>
          <w:noProof/>
          <w:sz w:val="22"/>
          <w:szCs w:val="22"/>
        </w:rPr>
      </w:pPr>
      <w:hyperlink r:id="rId220" w:anchor="_Toc395107682" w:history="1">
        <w:r w:rsidR="008862C7">
          <w:rPr>
            <w:rStyle w:val="Lienhypertexte"/>
            <w:rFonts w:ascii="Arial" w:hAnsi="Arial" w:cs="Arial"/>
            <w:b/>
            <w:noProof/>
          </w:rPr>
          <w:t>b.</w:t>
        </w:r>
        <w:r w:rsidR="008862C7">
          <w:rPr>
            <w:rStyle w:val="Lienhypertexte"/>
            <w:noProof/>
            <w:sz w:val="22"/>
            <w:szCs w:val="22"/>
          </w:rPr>
          <w:tab/>
        </w:r>
        <w:r w:rsidR="008862C7">
          <w:rPr>
            <w:rStyle w:val="Lienhypertexte"/>
            <w:rFonts w:ascii="Arial" w:hAnsi="Arial" w:cs="Arial"/>
            <w:b/>
            <w:noProof/>
          </w:rPr>
          <w:t>Technologie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137</w:t>
        </w:r>
        <w:r w:rsidR="008862C7">
          <w:rPr>
            <w:rStyle w:val="Lienhypertexte"/>
            <w:noProof/>
            <w:webHidden/>
          </w:rPr>
          <w:fldChar w:fldCharType="end"/>
        </w:r>
      </w:hyperlink>
    </w:p>
    <w:p w14:paraId="5E9A4D9A" w14:textId="77777777" w:rsidR="008862C7" w:rsidRDefault="00EA1CF0" w:rsidP="008862C7">
      <w:pPr>
        <w:pStyle w:val="TM8"/>
        <w:tabs>
          <w:tab w:val="clear" w:pos="708"/>
          <w:tab w:val="left" w:pos="1843"/>
          <w:tab w:val="right" w:leader="dot" w:pos="9062"/>
        </w:tabs>
        <w:rPr>
          <w:noProof/>
          <w:sz w:val="22"/>
          <w:szCs w:val="22"/>
        </w:rPr>
      </w:pPr>
      <w:hyperlink r:id="rId221" w:anchor="_Toc39510768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Investissements Directs Etrangers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137</w:t>
        </w:r>
        <w:r w:rsidR="008862C7">
          <w:rPr>
            <w:rStyle w:val="Lienhypertexte"/>
            <w:noProof/>
            <w:webHidden/>
          </w:rPr>
          <w:fldChar w:fldCharType="end"/>
        </w:r>
      </w:hyperlink>
    </w:p>
    <w:p w14:paraId="609FE5F5" w14:textId="77777777" w:rsidR="008862C7" w:rsidRDefault="00EA1CF0" w:rsidP="008862C7">
      <w:pPr>
        <w:pStyle w:val="TM8"/>
        <w:tabs>
          <w:tab w:val="clear" w:pos="708"/>
          <w:tab w:val="left" w:pos="1843"/>
          <w:tab w:val="right" w:leader="dot" w:pos="9062"/>
        </w:tabs>
        <w:rPr>
          <w:noProof/>
          <w:sz w:val="22"/>
          <w:szCs w:val="22"/>
        </w:rPr>
      </w:pPr>
      <w:hyperlink r:id="rId222" w:anchor="_Toc395107684" w:history="1">
        <w:r w:rsidR="008862C7">
          <w:rPr>
            <w:rStyle w:val="Lienhypertexte"/>
            <w:rFonts w:ascii="Symbol" w:hAnsi="Symbol"/>
            <w:noProof/>
          </w:rPr>
          <w:t>·</w:t>
        </w:r>
        <w:r w:rsidR="008862C7">
          <w:rPr>
            <w:rStyle w:val="Lienhypertexte"/>
            <w:noProof/>
            <w:sz w:val="22"/>
            <w:szCs w:val="22"/>
          </w:rPr>
          <w:tab/>
        </w:r>
        <w:r w:rsidR="008862C7">
          <w:rPr>
            <w:rStyle w:val="Lienhypertexte"/>
            <w:b/>
            <w:noProof/>
          </w:rPr>
          <w:t>Technologie de production cotonnière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138</w:t>
        </w:r>
        <w:r w:rsidR="008862C7">
          <w:rPr>
            <w:rStyle w:val="Lienhypertexte"/>
            <w:noProof/>
            <w:webHidden/>
          </w:rPr>
          <w:fldChar w:fldCharType="end"/>
        </w:r>
      </w:hyperlink>
    </w:p>
    <w:p w14:paraId="7145E01C" w14:textId="77777777" w:rsidR="008862C7" w:rsidRDefault="00EA1CF0" w:rsidP="008862C7">
      <w:pPr>
        <w:pStyle w:val="TM7"/>
        <w:tabs>
          <w:tab w:val="clear" w:pos="708"/>
          <w:tab w:val="left" w:pos="1760"/>
          <w:tab w:val="right" w:leader="dot" w:pos="9062"/>
        </w:tabs>
        <w:rPr>
          <w:noProof/>
          <w:sz w:val="22"/>
          <w:szCs w:val="22"/>
        </w:rPr>
      </w:pPr>
      <w:hyperlink r:id="rId223" w:anchor="_Toc395107685" w:history="1">
        <w:r w:rsidR="008862C7">
          <w:rPr>
            <w:rStyle w:val="Lienhypertexte"/>
            <w:rFonts w:ascii="Arial" w:hAnsi="Arial" w:cs="Arial"/>
            <w:b/>
            <w:noProof/>
          </w:rPr>
          <w:t>c.</w:t>
        </w:r>
        <w:r w:rsidR="008862C7">
          <w:rPr>
            <w:rStyle w:val="Lienhypertexte"/>
            <w:noProof/>
            <w:sz w:val="22"/>
            <w:szCs w:val="22"/>
          </w:rPr>
          <w:tab/>
        </w:r>
        <w:r w:rsidR="008862C7">
          <w:rPr>
            <w:rStyle w:val="Lienhypertexte"/>
            <w:rFonts w:ascii="Arial" w:hAnsi="Arial" w:cs="Arial"/>
            <w:b/>
            <w:noProof/>
          </w:rPr>
          <w:t>Economies d’échelles : t</w:t>
        </w:r>
        <w:r w:rsidR="008862C7">
          <w:rPr>
            <w:rStyle w:val="Lienhypertexte"/>
            <w:rFonts w:ascii="Arial" w:hAnsi="Arial" w:cs="Arial"/>
            <w:b/>
            <w:iCs/>
            <w:noProof/>
          </w:rPr>
          <w:t>aille des exploitations cotonnières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138</w:t>
        </w:r>
        <w:r w:rsidR="008862C7">
          <w:rPr>
            <w:rStyle w:val="Lienhypertexte"/>
            <w:noProof/>
            <w:webHidden/>
          </w:rPr>
          <w:fldChar w:fldCharType="end"/>
        </w:r>
      </w:hyperlink>
    </w:p>
    <w:p w14:paraId="20B398E5" w14:textId="77777777" w:rsidR="008862C7" w:rsidRDefault="00EA1CF0" w:rsidP="008862C7">
      <w:pPr>
        <w:pStyle w:val="TM7"/>
        <w:tabs>
          <w:tab w:val="clear" w:pos="708"/>
          <w:tab w:val="left" w:pos="1760"/>
          <w:tab w:val="right" w:leader="dot" w:pos="9062"/>
        </w:tabs>
        <w:rPr>
          <w:noProof/>
          <w:sz w:val="22"/>
          <w:szCs w:val="22"/>
        </w:rPr>
      </w:pPr>
      <w:hyperlink r:id="rId224" w:anchor="_Toc395107686" w:history="1">
        <w:r w:rsidR="008862C7">
          <w:rPr>
            <w:rStyle w:val="Lienhypertexte"/>
            <w:rFonts w:ascii="Arial" w:hAnsi="Arial" w:cs="Arial"/>
            <w:b/>
            <w:noProof/>
          </w:rPr>
          <w:t>d.</w:t>
        </w:r>
        <w:r w:rsidR="008862C7">
          <w:rPr>
            <w:rStyle w:val="Lienhypertexte"/>
            <w:noProof/>
            <w:sz w:val="22"/>
            <w:szCs w:val="22"/>
          </w:rPr>
          <w:tab/>
        </w:r>
        <w:r w:rsidR="008862C7">
          <w:rPr>
            <w:rStyle w:val="Lienhypertexte"/>
            <w:rFonts w:ascii="Arial" w:hAnsi="Arial" w:cs="Arial"/>
            <w:b/>
            <w:noProof/>
          </w:rPr>
          <w:t>Régulation et politiques des échanges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139</w:t>
        </w:r>
        <w:r w:rsidR="008862C7">
          <w:rPr>
            <w:rStyle w:val="Lienhypertexte"/>
            <w:noProof/>
            <w:webHidden/>
          </w:rPr>
          <w:fldChar w:fldCharType="end"/>
        </w:r>
      </w:hyperlink>
    </w:p>
    <w:p w14:paraId="24FD5373" w14:textId="77777777" w:rsidR="008862C7" w:rsidRDefault="00EA1CF0" w:rsidP="008862C7">
      <w:pPr>
        <w:pStyle w:val="TM8"/>
        <w:tabs>
          <w:tab w:val="clear" w:pos="708"/>
          <w:tab w:val="left" w:pos="1843"/>
          <w:tab w:val="right" w:leader="dot" w:pos="9062"/>
        </w:tabs>
        <w:rPr>
          <w:noProof/>
          <w:sz w:val="22"/>
          <w:szCs w:val="22"/>
        </w:rPr>
      </w:pPr>
      <w:hyperlink r:id="rId225" w:anchor="_Toc39510768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Interventions directs des pouvoirs publiques dans la filière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140</w:t>
        </w:r>
        <w:r w:rsidR="008862C7">
          <w:rPr>
            <w:rStyle w:val="Lienhypertexte"/>
            <w:noProof/>
            <w:webHidden/>
          </w:rPr>
          <w:fldChar w:fldCharType="end"/>
        </w:r>
      </w:hyperlink>
    </w:p>
    <w:p w14:paraId="2577167B" w14:textId="77777777" w:rsidR="008862C7" w:rsidRDefault="00EA1CF0" w:rsidP="008862C7">
      <w:pPr>
        <w:pStyle w:val="TM9"/>
        <w:tabs>
          <w:tab w:val="clear" w:pos="708"/>
          <w:tab w:val="left" w:pos="2080"/>
          <w:tab w:val="right" w:leader="dot" w:pos="9062"/>
        </w:tabs>
        <w:rPr>
          <w:noProof/>
          <w:sz w:val="22"/>
          <w:szCs w:val="22"/>
        </w:rPr>
      </w:pPr>
      <w:hyperlink r:id="rId226" w:anchor="_Toc395107688" w:history="1">
        <w:r w:rsidR="008862C7">
          <w:rPr>
            <w:rStyle w:val="Lienhypertexte"/>
            <w:rFonts w:ascii="Arial" w:hAnsi="Arial" w:cs="Arial"/>
            <w:b/>
            <w:noProof/>
          </w:rPr>
          <w:t>i.</w:t>
        </w:r>
        <w:r w:rsidR="008862C7">
          <w:rPr>
            <w:rStyle w:val="Lienhypertexte"/>
            <w:noProof/>
            <w:sz w:val="22"/>
            <w:szCs w:val="22"/>
          </w:rPr>
          <w:tab/>
        </w:r>
        <w:r w:rsidR="008862C7">
          <w:rPr>
            <w:rStyle w:val="Lienhypertexte"/>
            <w:rFonts w:ascii="Arial" w:hAnsi="Arial" w:cs="Arial"/>
            <w:b/>
            <w:noProof/>
          </w:rPr>
          <w:t>Impact sur la superficie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140</w:t>
        </w:r>
        <w:r w:rsidR="008862C7">
          <w:rPr>
            <w:rStyle w:val="Lienhypertexte"/>
            <w:noProof/>
            <w:webHidden/>
          </w:rPr>
          <w:fldChar w:fldCharType="end"/>
        </w:r>
      </w:hyperlink>
    </w:p>
    <w:p w14:paraId="64A62CE5" w14:textId="77777777" w:rsidR="008862C7" w:rsidRDefault="00EA1CF0" w:rsidP="008862C7">
      <w:pPr>
        <w:pStyle w:val="TM9"/>
        <w:tabs>
          <w:tab w:val="clear" w:pos="708"/>
          <w:tab w:val="left" w:pos="2130"/>
          <w:tab w:val="right" w:leader="dot" w:pos="9062"/>
        </w:tabs>
        <w:rPr>
          <w:noProof/>
          <w:sz w:val="22"/>
          <w:szCs w:val="22"/>
        </w:rPr>
      </w:pPr>
      <w:hyperlink r:id="rId227" w:anchor="_Toc395107689" w:history="1">
        <w:r w:rsidR="008862C7">
          <w:rPr>
            <w:rStyle w:val="Lienhypertexte"/>
            <w:rFonts w:ascii="Arial" w:hAnsi="Arial" w:cs="Arial"/>
            <w:b/>
            <w:noProof/>
          </w:rPr>
          <w:t>ii.</w:t>
        </w:r>
        <w:r w:rsidR="008862C7">
          <w:rPr>
            <w:rStyle w:val="Lienhypertexte"/>
            <w:noProof/>
            <w:sz w:val="22"/>
            <w:szCs w:val="22"/>
          </w:rPr>
          <w:tab/>
        </w:r>
        <w:r w:rsidR="008862C7">
          <w:rPr>
            <w:rStyle w:val="Lienhypertexte"/>
            <w:rFonts w:ascii="Arial" w:hAnsi="Arial" w:cs="Arial"/>
            <w:b/>
            <w:noProof/>
          </w:rPr>
          <w:t>Impact sur le rendement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_Toc395107689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141</w:t>
        </w:r>
        <w:r w:rsidR="008862C7">
          <w:rPr>
            <w:rStyle w:val="Lienhypertexte"/>
            <w:noProof/>
            <w:webHidden/>
          </w:rPr>
          <w:fldChar w:fldCharType="end"/>
        </w:r>
      </w:hyperlink>
    </w:p>
    <w:p w14:paraId="56154094" w14:textId="77777777" w:rsidR="008862C7" w:rsidRDefault="00EA1CF0" w:rsidP="008862C7">
      <w:pPr>
        <w:pStyle w:val="TM9"/>
        <w:tabs>
          <w:tab w:val="clear" w:pos="708"/>
          <w:tab w:val="left" w:pos="2180"/>
          <w:tab w:val="right" w:leader="dot" w:pos="9062"/>
        </w:tabs>
        <w:rPr>
          <w:noProof/>
          <w:sz w:val="22"/>
          <w:szCs w:val="22"/>
        </w:rPr>
      </w:pPr>
      <w:hyperlink r:id="rId228" w:anchor="_Toc395107690" w:history="1">
        <w:r w:rsidR="008862C7">
          <w:rPr>
            <w:rStyle w:val="Lienhypertexte"/>
            <w:rFonts w:ascii="Arial" w:hAnsi="Arial" w:cs="Arial"/>
            <w:b/>
            <w:noProof/>
          </w:rPr>
          <w:t>iii.</w:t>
        </w:r>
        <w:r w:rsidR="008862C7">
          <w:rPr>
            <w:rStyle w:val="Lienhypertexte"/>
            <w:noProof/>
            <w:sz w:val="22"/>
            <w:szCs w:val="22"/>
          </w:rPr>
          <w:tab/>
        </w:r>
        <w:r w:rsidR="008862C7">
          <w:rPr>
            <w:rStyle w:val="Lienhypertexte"/>
            <w:rFonts w:ascii="Arial" w:hAnsi="Arial" w:cs="Arial"/>
            <w:b/>
            <w:noProof/>
          </w:rPr>
          <w:t>Impact sur le niveau de la production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141</w:t>
        </w:r>
        <w:r w:rsidR="008862C7">
          <w:rPr>
            <w:rStyle w:val="Lienhypertexte"/>
            <w:noProof/>
            <w:webHidden/>
          </w:rPr>
          <w:fldChar w:fldCharType="end"/>
        </w:r>
      </w:hyperlink>
    </w:p>
    <w:p w14:paraId="085B637B" w14:textId="77777777" w:rsidR="008862C7" w:rsidRDefault="00EA1CF0" w:rsidP="008862C7">
      <w:pPr>
        <w:pStyle w:val="TM8"/>
        <w:tabs>
          <w:tab w:val="clear" w:pos="708"/>
          <w:tab w:val="left" w:pos="1843"/>
          <w:tab w:val="right" w:leader="dot" w:pos="9062"/>
        </w:tabs>
        <w:rPr>
          <w:noProof/>
          <w:sz w:val="22"/>
          <w:szCs w:val="22"/>
        </w:rPr>
      </w:pPr>
      <w:hyperlink r:id="rId229" w:anchor="_Toc395107691"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dépenses publique en recherche, vulgarisation et infrastructures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142</w:t>
        </w:r>
        <w:r w:rsidR="008862C7">
          <w:rPr>
            <w:rStyle w:val="Lienhypertexte"/>
            <w:noProof/>
            <w:webHidden/>
          </w:rPr>
          <w:fldChar w:fldCharType="end"/>
        </w:r>
      </w:hyperlink>
    </w:p>
    <w:p w14:paraId="350426DF" w14:textId="77777777" w:rsidR="008862C7" w:rsidRDefault="00EA1CF0" w:rsidP="008862C7">
      <w:pPr>
        <w:pStyle w:val="TM7"/>
        <w:tabs>
          <w:tab w:val="clear" w:pos="708"/>
          <w:tab w:val="left" w:pos="1760"/>
          <w:tab w:val="right" w:leader="dot" w:pos="9062"/>
        </w:tabs>
        <w:rPr>
          <w:noProof/>
          <w:sz w:val="22"/>
          <w:szCs w:val="22"/>
        </w:rPr>
      </w:pPr>
      <w:hyperlink r:id="rId230" w:anchor="_Toc395107692" w:history="1">
        <w:r w:rsidR="008862C7">
          <w:rPr>
            <w:rStyle w:val="Lienhypertexte"/>
            <w:rFonts w:ascii="Arial" w:hAnsi="Arial" w:cs="Arial"/>
            <w:b/>
            <w:noProof/>
          </w:rPr>
          <w:t>e.</w:t>
        </w:r>
        <w:r w:rsidR="008862C7">
          <w:rPr>
            <w:rStyle w:val="Lienhypertexte"/>
            <w:noProof/>
            <w:sz w:val="22"/>
            <w:szCs w:val="22"/>
          </w:rPr>
          <w:tab/>
        </w:r>
        <w:r w:rsidR="008862C7">
          <w:rPr>
            <w:rStyle w:val="Lienhypertexte"/>
            <w:rFonts w:ascii="Arial" w:hAnsi="Arial" w:cs="Arial"/>
            <w:b/>
            <w:noProof/>
          </w:rPr>
          <w:t>Caractéristiques du produit : qualité et décote du coton fibre exporté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142</w:t>
        </w:r>
        <w:r w:rsidR="008862C7">
          <w:rPr>
            <w:rStyle w:val="Lienhypertexte"/>
            <w:noProof/>
            <w:webHidden/>
          </w:rPr>
          <w:fldChar w:fldCharType="end"/>
        </w:r>
      </w:hyperlink>
    </w:p>
    <w:p w14:paraId="7B5413E5" w14:textId="77777777" w:rsidR="008862C7" w:rsidRDefault="00EA1CF0" w:rsidP="008862C7">
      <w:pPr>
        <w:pStyle w:val="TM4"/>
        <w:tabs>
          <w:tab w:val="clear" w:pos="708"/>
          <w:tab w:val="left" w:pos="1320"/>
          <w:tab w:val="right" w:leader="dot" w:pos="9062"/>
        </w:tabs>
        <w:rPr>
          <w:noProof/>
          <w:sz w:val="22"/>
          <w:szCs w:val="22"/>
        </w:rPr>
      </w:pPr>
      <w:hyperlink r:id="rId231" w:anchor="_Toc395107693" w:history="1">
        <w:r w:rsidR="008862C7">
          <w:rPr>
            <w:rStyle w:val="Lienhypertexte"/>
            <w:rFonts w:ascii="Arial" w:hAnsi="Arial" w:cs="Arial"/>
            <w:b/>
            <w:noProof/>
          </w:rPr>
          <w:t>1.2.</w:t>
        </w:r>
        <w:r w:rsidR="008862C7">
          <w:rPr>
            <w:rStyle w:val="Lienhypertexte"/>
            <w:noProof/>
            <w:sz w:val="22"/>
            <w:szCs w:val="22"/>
          </w:rPr>
          <w:tab/>
        </w:r>
        <w:r w:rsidR="008862C7">
          <w:rPr>
            <w:rStyle w:val="Lienhypertexte"/>
            <w:rFonts w:ascii="Arial" w:hAnsi="Arial" w:cs="Arial"/>
            <w:b/>
            <w:noProof/>
          </w:rPr>
          <w:t>Déterminants externe de la compétitivité du coton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144</w:t>
        </w:r>
        <w:r w:rsidR="008862C7">
          <w:rPr>
            <w:rStyle w:val="Lienhypertexte"/>
            <w:noProof/>
            <w:webHidden/>
          </w:rPr>
          <w:fldChar w:fldCharType="end"/>
        </w:r>
      </w:hyperlink>
    </w:p>
    <w:p w14:paraId="638C450E" w14:textId="77777777" w:rsidR="008862C7" w:rsidRDefault="00EA1CF0" w:rsidP="008862C7">
      <w:pPr>
        <w:pStyle w:val="TM7"/>
        <w:tabs>
          <w:tab w:val="clear" w:pos="708"/>
          <w:tab w:val="left" w:pos="1760"/>
          <w:tab w:val="right" w:leader="dot" w:pos="9062"/>
        </w:tabs>
        <w:rPr>
          <w:noProof/>
          <w:sz w:val="22"/>
          <w:szCs w:val="22"/>
        </w:rPr>
      </w:pPr>
      <w:hyperlink r:id="rId232" w:anchor="_Toc395107694" w:history="1">
        <w:r w:rsidR="008862C7">
          <w:rPr>
            <w:rStyle w:val="Lienhypertexte"/>
            <w:rFonts w:ascii="Arial" w:hAnsi="Arial" w:cs="Arial"/>
            <w:b/>
            <w:noProof/>
          </w:rPr>
          <w:t>a.</w:t>
        </w:r>
        <w:r w:rsidR="008862C7">
          <w:rPr>
            <w:rStyle w:val="Lienhypertexte"/>
            <w:noProof/>
            <w:sz w:val="22"/>
            <w:szCs w:val="22"/>
          </w:rPr>
          <w:tab/>
        </w:r>
        <w:r w:rsidR="008862C7">
          <w:rPr>
            <w:rStyle w:val="Lienhypertexte"/>
            <w:rFonts w:ascii="Arial" w:hAnsi="Arial" w:cs="Arial"/>
            <w:b/>
            <w:noProof/>
          </w:rPr>
          <w:t>Taux de change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144</w:t>
        </w:r>
        <w:r w:rsidR="008862C7">
          <w:rPr>
            <w:rStyle w:val="Lienhypertexte"/>
            <w:noProof/>
            <w:webHidden/>
          </w:rPr>
          <w:fldChar w:fldCharType="end"/>
        </w:r>
      </w:hyperlink>
    </w:p>
    <w:p w14:paraId="17421683" w14:textId="77777777" w:rsidR="008862C7" w:rsidRDefault="00EA1CF0" w:rsidP="008862C7">
      <w:pPr>
        <w:pStyle w:val="TM8"/>
        <w:tabs>
          <w:tab w:val="clear" w:pos="708"/>
          <w:tab w:val="left" w:pos="1843"/>
          <w:tab w:val="right" w:leader="dot" w:pos="9062"/>
        </w:tabs>
        <w:rPr>
          <w:noProof/>
          <w:sz w:val="22"/>
          <w:szCs w:val="22"/>
        </w:rPr>
      </w:pPr>
      <w:hyperlink r:id="rId233" w:anchor="_Toc395107695"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Taux de Change Effectif Réel de la filière coton (TCER)</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144</w:t>
        </w:r>
        <w:r w:rsidR="008862C7">
          <w:rPr>
            <w:rStyle w:val="Lienhypertexte"/>
            <w:noProof/>
            <w:webHidden/>
          </w:rPr>
          <w:fldChar w:fldCharType="end"/>
        </w:r>
      </w:hyperlink>
    </w:p>
    <w:p w14:paraId="5D664CB2" w14:textId="77777777" w:rsidR="008862C7" w:rsidRDefault="00EA1CF0" w:rsidP="008862C7">
      <w:pPr>
        <w:pStyle w:val="TM8"/>
        <w:tabs>
          <w:tab w:val="clear" w:pos="708"/>
          <w:tab w:val="left" w:pos="1843"/>
          <w:tab w:val="right" w:leader="dot" w:pos="9062"/>
        </w:tabs>
        <w:rPr>
          <w:noProof/>
          <w:sz w:val="22"/>
          <w:szCs w:val="22"/>
        </w:rPr>
      </w:pPr>
      <w:hyperlink r:id="rId234" w:anchor="_Toc395107696"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Evolution du dollar américain et cours du coton centrafricain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145</w:t>
        </w:r>
        <w:r w:rsidR="008862C7">
          <w:rPr>
            <w:rStyle w:val="Lienhypertexte"/>
            <w:noProof/>
            <w:webHidden/>
          </w:rPr>
          <w:fldChar w:fldCharType="end"/>
        </w:r>
      </w:hyperlink>
    </w:p>
    <w:p w14:paraId="38992FD7" w14:textId="77777777" w:rsidR="008862C7" w:rsidRDefault="00EA1CF0" w:rsidP="008862C7">
      <w:pPr>
        <w:pStyle w:val="TM8"/>
        <w:tabs>
          <w:tab w:val="clear" w:pos="708"/>
          <w:tab w:val="left" w:pos="1843"/>
          <w:tab w:val="right" w:leader="dot" w:pos="9062"/>
        </w:tabs>
        <w:rPr>
          <w:noProof/>
          <w:sz w:val="22"/>
          <w:szCs w:val="22"/>
        </w:rPr>
      </w:pPr>
      <w:hyperlink r:id="rId235" w:anchor="_Toc395107697"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Fluctuation du dollar et recettes d’exportation cotonnière en Centrafrique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145</w:t>
        </w:r>
        <w:r w:rsidR="008862C7">
          <w:rPr>
            <w:rStyle w:val="Lienhypertexte"/>
            <w:noProof/>
            <w:webHidden/>
          </w:rPr>
          <w:fldChar w:fldCharType="end"/>
        </w:r>
      </w:hyperlink>
    </w:p>
    <w:p w14:paraId="67CD2983" w14:textId="77777777" w:rsidR="008862C7" w:rsidRDefault="00EA1CF0" w:rsidP="008862C7">
      <w:pPr>
        <w:pStyle w:val="TM9"/>
        <w:tabs>
          <w:tab w:val="clear" w:pos="708"/>
          <w:tab w:val="left" w:pos="2140"/>
          <w:tab w:val="right" w:leader="dot" w:pos="9062"/>
        </w:tabs>
        <w:rPr>
          <w:noProof/>
          <w:sz w:val="22"/>
          <w:szCs w:val="22"/>
        </w:rPr>
      </w:pPr>
      <w:hyperlink r:id="rId236" w:anchor="_Toc395107698" w:history="1">
        <w:r w:rsidR="008862C7">
          <w:rPr>
            <w:rStyle w:val="Lienhypertexte"/>
            <w:rFonts w:ascii="Arial" w:hAnsi="Arial" w:cs="Arial"/>
            <w:b/>
            <w:noProof/>
          </w:rPr>
          <w:t>b.</w:t>
        </w:r>
        <w:r w:rsidR="008862C7">
          <w:rPr>
            <w:rStyle w:val="Lienhypertexte"/>
            <w:noProof/>
            <w:sz w:val="22"/>
            <w:szCs w:val="22"/>
          </w:rPr>
          <w:tab/>
        </w:r>
        <w:r w:rsidR="008862C7">
          <w:rPr>
            <w:rStyle w:val="Lienhypertexte"/>
            <w:rFonts w:ascii="Arial" w:hAnsi="Arial" w:cs="Arial"/>
            <w:b/>
            <w:noProof/>
          </w:rPr>
          <w:t>Conditions du marché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147</w:t>
        </w:r>
        <w:r w:rsidR="008862C7">
          <w:rPr>
            <w:rStyle w:val="Lienhypertexte"/>
            <w:noProof/>
            <w:webHidden/>
          </w:rPr>
          <w:fldChar w:fldCharType="end"/>
        </w:r>
      </w:hyperlink>
    </w:p>
    <w:p w14:paraId="44BE81B2" w14:textId="77777777" w:rsidR="008862C7" w:rsidRDefault="00EA1CF0" w:rsidP="008862C7">
      <w:pPr>
        <w:pStyle w:val="TM8"/>
        <w:tabs>
          <w:tab w:val="clear" w:pos="708"/>
          <w:tab w:val="left" w:pos="1843"/>
          <w:tab w:val="right" w:leader="dot" w:pos="9062"/>
        </w:tabs>
        <w:rPr>
          <w:noProof/>
          <w:sz w:val="22"/>
          <w:szCs w:val="22"/>
        </w:rPr>
      </w:pPr>
      <w:hyperlink r:id="rId237" w:anchor="_Toc395107699"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bCs/>
            <w:noProof/>
          </w:rPr>
          <w:t>Concurrence des fibres synthétiques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_Toc395107699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147</w:t>
        </w:r>
        <w:r w:rsidR="008862C7">
          <w:rPr>
            <w:rStyle w:val="Lienhypertexte"/>
            <w:noProof/>
            <w:webHidden/>
          </w:rPr>
          <w:fldChar w:fldCharType="end"/>
        </w:r>
      </w:hyperlink>
    </w:p>
    <w:p w14:paraId="5B827436" w14:textId="77777777" w:rsidR="008862C7" w:rsidRDefault="00EA1CF0" w:rsidP="008862C7">
      <w:pPr>
        <w:pStyle w:val="TM8"/>
        <w:tabs>
          <w:tab w:val="clear" w:pos="708"/>
          <w:tab w:val="left" w:pos="1843"/>
          <w:tab w:val="right" w:leader="dot" w:pos="9062"/>
        </w:tabs>
        <w:rPr>
          <w:noProof/>
          <w:sz w:val="22"/>
          <w:szCs w:val="22"/>
        </w:rPr>
      </w:pPr>
      <w:hyperlink r:id="rId238" w:anchor="_Toc395107700"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Cours du coton centrafricain sur marche mondiale et volume de production nationale de coton graine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_Toc395107700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149</w:t>
        </w:r>
        <w:r w:rsidR="008862C7">
          <w:rPr>
            <w:rStyle w:val="Lienhypertexte"/>
            <w:noProof/>
            <w:webHidden/>
          </w:rPr>
          <w:fldChar w:fldCharType="end"/>
        </w:r>
      </w:hyperlink>
    </w:p>
    <w:p w14:paraId="36B120B2" w14:textId="77777777" w:rsidR="008862C7" w:rsidRDefault="00EA1CF0" w:rsidP="008862C7">
      <w:pPr>
        <w:pStyle w:val="TM7"/>
        <w:tabs>
          <w:tab w:val="clear" w:pos="708"/>
          <w:tab w:val="left" w:pos="1760"/>
          <w:tab w:val="right" w:leader="dot" w:pos="9062"/>
        </w:tabs>
        <w:rPr>
          <w:noProof/>
          <w:sz w:val="22"/>
          <w:szCs w:val="22"/>
        </w:rPr>
      </w:pPr>
      <w:hyperlink r:id="rId239" w:anchor="_Toc395107701" w:history="1">
        <w:r w:rsidR="008862C7">
          <w:rPr>
            <w:rStyle w:val="Lienhypertexte"/>
            <w:rFonts w:ascii="Arial" w:hAnsi="Arial" w:cs="Arial"/>
            <w:b/>
            <w:noProof/>
          </w:rPr>
          <w:t>c.</w:t>
        </w:r>
        <w:r w:rsidR="008862C7">
          <w:rPr>
            <w:rStyle w:val="Lienhypertexte"/>
            <w:noProof/>
            <w:sz w:val="22"/>
            <w:szCs w:val="22"/>
          </w:rPr>
          <w:tab/>
        </w:r>
        <w:r w:rsidR="008862C7">
          <w:rPr>
            <w:rStyle w:val="Lienhypertexte"/>
            <w:rFonts w:ascii="Arial" w:hAnsi="Arial" w:cs="Arial"/>
            <w:b/>
            <w:noProof/>
          </w:rPr>
          <w:t>Coût de transport international</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_Toc395107701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150</w:t>
        </w:r>
        <w:r w:rsidR="008862C7">
          <w:rPr>
            <w:rStyle w:val="Lienhypertexte"/>
            <w:noProof/>
            <w:webHidden/>
          </w:rPr>
          <w:fldChar w:fldCharType="end"/>
        </w:r>
      </w:hyperlink>
    </w:p>
    <w:p w14:paraId="444027C7" w14:textId="77777777" w:rsidR="008862C7" w:rsidRDefault="00EA1CF0" w:rsidP="008862C7">
      <w:pPr>
        <w:pStyle w:val="TM8"/>
        <w:tabs>
          <w:tab w:val="clear" w:pos="708"/>
          <w:tab w:val="left" w:pos="1843"/>
          <w:tab w:val="right" w:leader="dot" w:pos="9062"/>
        </w:tabs>
        <w:rPr>
          <w:noProof/>
          <w:sz w:val="22"/>
          <w:szCs w:val="22"/>
        </w:rPr>
      </w:pPr>
      <w:hyperlink r:id="rId240" w:anchor="_Toc395107702"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eastAsia="Cambria" w:hAnsi="Arial" w:cs="Arial"/>
            <w:b/>
            <w:noProof/>
          </w:rPr>
          <w:t>Structure du marché cotonnier centrafricain : localisation des clients et coût de transport</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150</w:t>
        </w:r>
        <w:r w:rsidR="008862C7">
          <w:rPr>
            <w:rStyle w:val="Lienhypertexte"/>
            <w:noProof/>
            <w:webHidden/>
          </w:rPr>
          <w:fldChar w:fldCharType="end"/>
        </w:r>
      </w:hyperlink>
    </w:p>
    <w:p w14:paraId="6C42D256" w14:textId="77777777" w:rsidR="008862C7" w:rsidRDefault="00EA1CF0" w:rsidP="008862C7">
      <w:pPr>
        <w:pStyle w:val="TM8"/>
        <w:tabs>
          <w:tab w:val="clear" w:pos="708"/>
          <w:tab w:val="left" w:pos="1843"/>
          <w:tab w:val="right" w:leader="dot" w:pos="9062"/>
        </w:tabs>
        <w:rPr>
          <w:noProof/>
          <w:sz w:val="22"/>
          <w:szCs w:val="22"/>
        </w:rPr>
      </w:pPr>
      <w:hyperlink r:id="rId241" w:anchor="_Toc395107703" w:history="1">
        <w:r w:rsidR="008862C7">
          <w:rPr>
            <w:rStyle w:val="Lienhypertexte"/>
            <w:rFonts w:ascii="Symbol" w:hAnsi="Symbol" w:cs="Arial"/>
            <w:noProof/>
          </w:rPr>
          <w:t>·</w:t>
        </w:r>
        <w:r w:rsidR="008862C7">
          <w:rPr>
            <w:rStyle w:val="Lienhypertexte"/>
            <w:noProof/>
            <w:sz w:val="22"/>
            <w:szCs w:val="22"/>
          </w:rPr>
          <w:tab/>
        </w:r>
        <w:r w:rsidR="008862C7">
          <w:rPr>
            <w:rStyle w:val="Lienhypertexte"/>
            <w:rFonts w:ascii="Arial" w:hAnsi="Arial" w:cs="Arial"/>
            <w:b/>
            <w:noProof/>
          </w:rPr>
          <w:t>Localisation géographique de la RCA</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_Toc395107703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152</w:t>
        </w:r>
        <w:r w:rsidR="008862C7">
          <w:rPr>
            <w:rStyle w:val="Lienhypertexte"/>
            <w:noProof/>
            <w:webHidden/>
          </w:rPr>
          <w:fldChar w:fldCharType="end"/>
        </w:r>
      </w:hyperlink>
    </w:p>
    <w:p w14:paraId="5A8C0D4D" w14:textId="77777777" w:rsidR="008862C7" w:rsidRDefault="00EA1CF0" w:rsidP="008862C7">
      <w:pPr>
        <w:pStyle w:val="TM3"/>
        <w:tabs>
          <w:tab w:val="clear" w:pos="708"/>
          <w:tab w:val="left" w:pos="880"/>
          <w:tab w:val="right" w:leader="dot" w:pos="9062"/>
        </w:tabs>
        <w:rPr>
          <w:i w:val="0"/>
          <w:iCs w:val="0"/>
          <w:noProof/>
          <w:sz w:val="22"/>
          <w:szCs w:val="22"/>
        </w:rPr>
      </w:pPr>
      <w:hyperlink r:id="rId242" w:anchor="_Toc395107704" w:history="1">
        <w:r w:rsidR="008862C7">
          <w:rPr>
            <w:rStyle w:val="Lienhypertexte"/>
            <w:rFonts w:ascii="Arial" w:hAnsi="Arial" w:cs="Arial"/>
            <w:b/>
            <w:noProof/>
          </w:rPr>
          <w:t>II.</w:t>
        </w:r>
        <w:r w:rsidR="008862C7">
          <w:rPr>
            <w:rStyle w:val="Lienhypertexte"/>
            <w:i w:val="0"/>
            <w:iCs w:val="0"/>
            <w:noProof/>
            <w:sz w:val="22"/>
            <w:szCs w:val="22"/>
          </w:rPr>
          <w:tab/>
        </w:r>
        <w:r w:rsidR="008862C7">
          <w:rPr>
            <w:rStyle w:val="Lienhypertexte"/>
            <w:rFonts w:ascii="Arial" w:hAnsi="Arial" w:cs="Arial"/>
            <w:b/>
            <w:noProof/>
          </w:rPr>
          <w:t>EVALUATION DES DETERMINANTS ET ANALYSE DES RESULTATS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153</w:t>
        </w:r>
        <w:r w:rsidR="008862C7">
          <w:rPr>
            <w:rStyle w:val="Lienhypertexte"/>
            <w:noProof/>
            <w:webHidden/>
          </w:rPr>
          <w:fldChar w:fldCharType="end"/>
        </w:r>
      </w:hyperlink>
    </w:p>
    <w:p w14:paraId="49E717B7" w14:textId="77777777" w:rsidR="008862C7" w:rsidRDefault="00EA1CF0" w:rsidP="008862C7">
      <w:pPr>
        <w:pStyle w:val="TM4"/>
        <w:tabs>
          <w:tab w:val="clear" w:pos="708"/>
          <w:tab w:val="left" w:pos="1320"/>
          <w:tab w:val="right" w:leader="dot" w:pos="9062"/>
        </w:tabs>
        <w:rPr>
          <w:noProof/>
          <w:sz w:val="22"/>
          <w:szCs w:val="22"/>
        </w:rPr>
      </w:pPr>
      <w:hyperlink r:id="rId243" w:anchor="_Toc395107705" w:history="1">
        <w:r w:rsidR="008862C7">
          <w:rPr>
            <w:rStyle w:val="Lienhypertexte"/>
            <w:rFonts w:ascii="Arial" w:hAnsi="Arial" w:cs="Arial"/>
            <w:b/>
            <w:noProof/>
          </w:rPr>
          <w:t>2.1.</w:t>
        </w:r>
        <w:r w:rsidR="008862C7">
          <w:rPr>
            <w:rStyle w:val="Lienhypertexte"/>
            <w:noProof/>
            <w:sz w:val="22"/>
            <w:szCs w:val="22"/>
          </w:rPr>
          <w:tab/>
        </w:r>
        <w:r w:rsidR="008862C7">
          <w:rPr>
            <w:rStyle w:val="Lienhypertexte"/>
            <w:rFonts w:ascii="Arial" w:hAnsi="Arial" w:cs="Arial"/>
            <w:b/>
            <w:noProof/>
          </w:rPr>
          <w:t>Modélisation et estimation des coefficients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153</w:t>
        </w:r>
        <w:r w:rsidR="008862C7">
          <w:rPr>
            <w:rStyle w:val="Lienhypertexte"/>
            <w:noProof/>
            <w:webHidden/>
          </w:rPr>
          <w:fldChar w:fldCharType="end"/>
        </w:r>
      </w:hyperlink>
    </w:p>
    <w:p w14:paraId="4185B207" w14:textId="77777777" w:rsidR="008862C7" w:rsidRDefault="00EA1CF0" w:rsidP="008862C7">
      <w:pPr>
        <w:pStyle w:val="TM5"/>
        <w:tabs>
          <w:tab w:val="clear" w:pos="708"/>
          <w:tab w:val="left" w:pos="1760"/>
          <w:tab w:val="right" w:leader="dot" w:pos="9062"/>
        </w:tabs>
        <w:rPr>
          <w:noProof/>
          <w:sz w:val="22"/>
          <w:szCs w:val="22"/>
        </w:rPr>
      </w:pPr>
      <w:hyperlink r:id="rId244" w:anchor="_Toc395107706" w:history="1">
        <w:r w:rsidR="008862C7">
          <w:rPr>
            <w:rStyle w:val="Lienhypertexte"/>
            <w:rFonts w:ascii="Arial" w:hAnsi="Arial" w:cs="Arial"/>
            <w:b/>
            <w:noProof/>
          </w:rPr>
          <w:t>2.1.1.</w:t>
        </w:r>
        <w:r w:rsidR="008862C7">
          <w:rPr>
            <w:rStyle w:val="Lienhypertexte"/>
            <w:noProof/>
            <w:sz w:val="22"/>
            <w:szCs w:val="22"/>
          </w:rPr>
          <w:tab/>
        </w:r>
        <w:r w:rsidR="008862C7">
          <w:rPr>
            <w:rStyle w:val="Lienhypertexte"/>
            <w:rFonts w:ascii="Arial" w:hAnsi="Arial" w:cs="Arial"/>
            <w:b/>
            <w:noProof/>
          </w:rPr>
          <w:t>Modèle 1 : Régression sur données de panel de la compétitivité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153</w:t>
        </w:r>
        <w:r w:rsidR="008862C7">
          <w:rPr>
            <w:rStyle w:val="Lienhypertexte"/>
            <w:noProof/>
            <w:webHidden/>
          </w:rPr>
          <w:fldChar w:fldCharType="end"/>
        </w:r>
      </w:hyperlink>
    </w:p>
    <w:p w14:paraId="410B9B9F" w14:textId="77777777" w:rsidR="008862C7" w:rsidRDefault="00EA1CF0" w:rsidP="008862C7">
      <w:pPr>
        <w:pStyle w:val="TM5"/>
        <w:tabs>
          <w:tab w:val="clear" w:pos="708"/>
          <w:tab w:val="left" w:pos="1760"/>
          <w:tab w:val="right" w:leader="dot" w:pos="9062"/>
        </w:tabs>
        <w:rPr>
          <w:noProof/>
          <w:sz w:val="22"/>
          <w:szCs w:val="22"/>
        </w:rPr>
      </w:pPr>
      <w:hyperlink r:id="rId245" w:anchor="_Toc395107707" w:history="1">
        <w:r w:rsidR="008862C7">
          <w:rPr>
            <w:rStyle w:val="Lienhypertexte"/>
            <w:rFonts w:ascii="Arial" w:hAnsi="Arial" w:cs="Arial"/>
            <w:b/>
            <w:noProof/>
          </w:rPr>
          <w:t>2.1.2.</w:t>
        </w:r>
        <w:r w:rsidR="008862C7">
          <w:rPr>
            <w:rStyle w:val="Lienhypertexte"/>
            <w:noProof/>
            <w:sz w:val="22"/>
            <w:szCs w:val="22"/>
          </w:rPr>
          <w:tab/>
        </w:r>
        <w:r w:rsidR="008862C7">
          <w:rPr>
            <w:rStyle w:val="Lienhypertexte"/>
            <w:rFonts w:ascii="Arial" w:hAnsi="Arial" w:cs="Arial"/>
            <w:b/>
            <w:noProof/>
          </w:rPr>
          <w:t>Modèle 2 : Classification des flux d’exportation en termes de performance prix et de performance qualité</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_Toc395107707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156</w:t>
        </w:r>
        <w:r w:rsidR="008862C7">
          <w:rPr>
            <w:rStyle w:val="Lienhypertexte"/>
            <w:noProof/>
            <w:webHidden/>
          </w:rPr>
          <w:fldChar w:fldCharType="end"/>
        </w:r>
      </w:hyperlink>
    </w:p>
    <w:p w14:paraId="755DFDDF" w14:textId="77777777" w:rsidR="008862C7" w:rsidRDefault="00EA1CF0" w:rsidP="008862C7">
      <w:pPr>
        <w:pStyle w:val="TM4"/>
        <w:tabs>
          <w:tab w:val="clear" w:pos="708"/>
          <w:tab w:val="left" w:pos="1320"/>
          <w:tab w:val="right" w:leader="dot" w:pos="9062"/>
        </w:tabs>
        <w:rPr>
          <w:noProof/>
          <w:sz w:val="22"/>
          <w:szCs w:val="22"/>
        </w:rPr>
      </w:pPr>
      <w:hyperlink r:id="rId246" w:anchor="_Toc395107708" w:history="1">
        <w:r w:rsidR="008862C7">
          <w:rPr>
            <w:rStyle w:val="Lienhypertexte"/>
            <w:rFonts w:ascii="Arial" w:hAnsi="Arial" w:cs="Arial"/>
            <w:b/>
            <w:noProof/>
          </w:rPr>
          <w:t>2.2.</w:t>
        </w:r>
        <w:r w:rsidR="008862C7">
          <w:rPr>
            <w:rStyle w:val="Lienhypertexte"/>
            <w:noProof/>
            <w:sz w:val="22"/>
            <w:szCs w:val="22"/>
          </w:rPr>
          <w:tab/>
        </w:r>
        <w:r w:rsidR="008862C7">
          <w:rPr>
            <w:rStyle w:val="Lienhypertexte"/>
            <w:rFonts w:ascii="Arial" w:hAnsi="Arial" w:cs="Arial"/>
            <w:b/>
            <w:noProof/>
          </w:rPr>
          <w:t>Interprétation des résultats et implications en termes de politiques économiques</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_Toc395107708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159</w:t>
        </w:r>
        <w:r w:rsidR="008862C7">
          <w:rPr>
            <w:rStyle w:val="Lienhypertexte"/>
            <w:noProof/>
            <w:webHidden/>
          </w:rPr>
          <w:fldChar w:fldCharType="end"/>
        </w:r>
      </w:hyperlink>
    </w:p>
    <w:p w14:paraId="31E14F6B" w14:textId="77777777" w:rsidR="008862C7" w:rsidRDefault="00EA1CF0" w:rsidP="008862C7">
      <w:pPr>
        <w:pStyle w:val="TM4"/>
        <w:tabs>
          <w:tab w:val="clear" w:pos="708"/>
          <w:tab w:val="right" w:leader="dot" w:pos="9062"/>
        </w:tabs>
        <w:rPr>
          <w:noProof/>
          <w:sz w:val="22"/>
          <w:szCs w:val="22"/>
        </w:rPr>
      </w:pPr>
      <w:hyperlink r:id="rId247" w:anchor="_Toc395107709" w:history="1">
        <w:r w:rsidR="008862C7">
          <w:rPr>
            <w:rStyle w:val="Lienhypertexte"/>
            <w:rFonts w:ascii="Arial" w:hAnsi="Arial" w:cs="Arial"/>
            <w:noProof/>
          </w:rPr>
          <w:t>CONCLUSION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_Toc395107709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161</w:t>
        </w:r>
        <w:r w:rsidR="008862C7">
          <w:rPr>
            <w:rStyle w:val="Lienhypertexte"/>
            <w:noProof/>
            <w:webHidden/>
          </w:rPr>
          <w:fldChar w:fldCharType="end"/>
        </w:r>
      </w:hyperlink>
    </w:p>
    <w:p w14:paraId="2BB09C01" w14:textId="77777777" w:rsidR="008862C7" w:rsidRDefault="00EA1CF0" w:rsidP="008862C7">
      <w:pPr>
        <w:pStyle w:val="TM1"/>
        <w:rPr>
          <w:rFonts w:ascii="Calibri" w:hAnsi="Calibri" w:cs="Times New Roman"/>
          <w:b w:val="0"/>
          <w:bCs w:val="0"/>
          <w:caps w:val="0"/>
          <w:sz w:val="22"/>
          <w:szCs w:val="22"/>
        </w:rPr>
      </w:pPr>
      <w:hyperlink r:id="rId248" w:anchor="_Toc395107710" w:history="1">
        <w:r w:rsidR="008862C7">
          <w:rPr>
            <w:rStyle w:val="Lienhypertexte"/>
          </w:rPr>
          <w:t>CONCLUSION GENERALE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_Toc395107710 \h </w:instrText>
        </w:r>
        <w:r w:rsidR="008862C7">
          <w:rPr>
            <w:rStyle w:val="Lienhypertexte"/>
            <w:webHidden/>
          </w:rPr>
        </w:r>
        <w:r w:rsidR="008862C7">
          <w:rPr>
            <w:rStyle w:val="Lienhypertexte"/>
            <w:webHidden/>
          </w:rPr>
          <w:fldChar w:fldCharType="separate"/>
        </w:r>
        <w:r w:rsidR="00AF344F">
          <w:rPr>
            <w:rStyle w:val="Lienhypertexte"/>
            <w:webHidden/>
          </w:rPr>
          <w:t>162</w:t>
        </w:r>
        <w:r w:rsidR="008862C7">
          <w:rPr>
            <w:rStyle w:val="Lienhypertexte"/>
            <w:webHidden/>
          </w:rPr>
          <w:fldChar w:fldCharType="end"/>
        </w:r>
      </w:hyperlink>
    </w:p>
    <w:p w14:paraId="315DADED" w14:textId="77777777" w:rsidR="008862C7" w:rsidRDefault="00EA1CF0" w:rsidP="008862C7">
      <w:pPr>
        <w:pStyle w:val="TM1"/>
        <w:rPr>
          <w:rFonts w:ascii="Calibri" w:hAnsi="Calibri" w:cs="Times New Roman"/>
          <w:b w:val="0"/>
          <w:bCs w:val="0"/>
          <w:caps w:val="0"/>
          <w:sz w:val="22"/>
          <w:szCs w:val="22"/>
        </w:rPr>
      </w:pPr>
      <w:hyperlink r:id="rId249" w:anchor="_Toc395107711" w:history="1">
        <w:r w:rsidR="008862C7">
          <w:rPr>
            <w:rStyle w:val="Lienhypertexte"/>
          </w:rPr>
          <w:t>BIBLIOGRAPHIE</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_Toc395107711 \h </w:instrText>
        </w:r>
        <w:r w:rsidR="008862C7">
          <w:rPr>
            <w:rStyle w:val="Lienhypertexte"/>
            <w:webHidden/>
          </w:rPr>
        </w:r>
        <w:r w:rsidR="008862C7">
          <w:rPr>
            <w:rStyle w:val="Lienhypertexte"/>
            <w:webHidden/>
          </w:rPr>
          <w:fldChar w:fldCharType="separate"/>
        </w:r>
        <w:r w:rsidR="00AF344F">
          <w:rPr>
            <w:rStyle w:val="Lienhypertexte"/>
            <w:webHidden/>
          </w:rPr>
          <w:t>173</w:t>
        </w:r>
        <w:r w:rsidR="008862C7">
          <w:rPr>
            <w:rStyle w:val="Lienhypertexte"/>
            <w:webHidden/>
          </w:rPr>
          <w:fldChar w:fldCharType="end"/>
        </w:r>
      </w:hyperlink>
    </w:p>
    <w:p w14:paraId="71E63596" w14:textId="77777777" w:rsidR="008862C7" w:rsidRDefault="00EA1CF0" w:rsidP="008862C7">
      <w:pPr>
        <w:pStyle w:val="TM3"/>
        <w:tabs>
          <w:tab w:val="clear" w:pos="708"/>
          <w:tab w:val="right" w:leader="dot" w:pos="9062"/>
        </w:tabs>
        <w:rPr>
          <w:i w:val="0"/>
          <w:iCs w:val="0"/>
          <w:noProof/>
          <w:sz w:val="22"/>
          <w:szCs w:val="22"/>
        </w:rPr>
      </w:pPr>
      <w:hyperlink r:id="rId250" w:anchor="_Toc395107712" w:history="1">
        <w:r w:rsidR="008862C7">
          <w:rPr>
            <w:rStyle w:val="Lienhypertexte"/>
            <w:rFonts w:ascii="Arial" w:hAnsi="Arial" w:cs="Arial"/>
            <w:b/>
            <w:noProof/>
            <w:lang w:bidi="hi-IN"/>
          </w:rPr>
          <w:t>WEBOGRAPHIE</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_Toc395107712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178</w:t>
        </w:r>
        <w:r w:rsidR="008862C7">
          <w:rPr>
            <w:rStyle w:val="Lienhypertexte"/>
            <w:noProof/>
            <w:webHidden/>
          </w:rPr>
          <w:fldChar w:fldCharType="end"/>
        </w:r>
      </w:hyperlink>
    </w:p>
    <w:p w14:paraId="27A2A930" w14:textId="77777777" w:rsidR="008862C7" w:rsidRDefault="00EA1CF0" w:rsidP="008862C7">
      <w:pPr>
        <w:pStyle w:val="TM1"/>
        <w:rPr>
          <w:rFonts w:ascii="Calibri" w:hAnsi="Calibri" w:cs="Times New Roman"/>
          <w:b w:val="0"/>
          <w:bCs w:val="0"/>
          <w:caps w:val="0"/>
          <w:sz w:val="22"/>
          <w:szCs w:val="22"/>
        </w:rPr>
      </w:pPr>
      <w:hyperlink r:id="rId251" w:anchor="_Toc395107713" w:history="1">
        <w:r w:rsidR="008862C7">
          <w:rPr>
            <w:rStyle w:val="Lienhypertexte"/>
          </w:rPr>
          <w:t>ANNEXES</w:t>
        </w:r>
        <w:r w:rsidR="008862C7">
          <w:rPr>
            <w:rStyle w:val="Lienhypertexte"/>
            <w:webHidden/>
          </w:rPr>
          <w:tab/>
        </w:r>
        <w:r w:rsidR="008862C7">
          <w:rPr>
            <w:rStyle w:val="Lienhypertexte"/>
            <w:webHidden/>
          </w:rPr>
          <w:fldChar w:fldCharType="begin"/>
        </w:r>
        <w:r w:rsidR="008862C7">
          <w:rPr>
            <w:rStyle w:val="Lienhypertexte"/>
            <w:webHidden/>
          </w:rPr>
          <w:instrText xml:space="preserve"> PAGEREF _Toc395107713 \h </w:instrText>
        </w:r>
        <w:r w:rsidR="008862C7">
          <w:rPr>
            <w:rStyle w:val="Lienhypertexte"/>
            <w:webHidden/>
          </w:rPr>
        </w:r>
        <w:r w:rsidR="008862C7">
          <w:rPr>
            <w:rStyle w:val="Lienhypertexte"/>
            <w:webHidden/>
          </w:rPr>
          <w:fldChar w:fldCharType="separate"/>
        </w:r>
        <w:r w:rsidR="00AF344F">
          <w:rPr>
            <w:rStyle w:val="Lienhypertexte"/>
            <w:webHidden/>
          </w:rPr>
          <w:t>180</w:t>
        </w:r>
        <w:r w:rsidR="008862C7">
          <w:rPr>
            <w:rStyle w:val="Lienhypertexte"/>
            <w:webHidden/>
          </w:rPr>
          <w:fldChar w:fldCharType="end"/>
        </w:r>
      </w:hyperlink>
    </w:p>
    <w:p w14:paraId="26416D48" w14:textId="77777777" w:rsidR="008862C7" w:rsidRDefault="00EA1CF0" w:rsidP="008862C7">
      <w:pPr>
        <w:pStyle w:val="TM4"/>
        <w:tabs>
          <w:tab w:val="clear" w:pos="708"/>
          <w:tab w:val="right" w:leader="dot" w:pos="9062"/>
        </w:tabs>
        <w:rPr>
          <w:noProof/>
          <w:sz w:val="22"/>
          <w:szCs w:val="22"/>
        </w:rPr>
      </w:pPr>
      <w:hyperlink r:id="rId252" w:anchor="_Toc395107714" w:history="1">
        <w:r w:rsidR="008862C7">
          <w:rPr>
            <w:rStyle w:val="Lienhypertexte"/>
            <w:rFonts w:ascii="Arial" w:hAnsi="Arial" w:cs="Arial"/>
            <w:noProof/>
          </w:rPr>
          <w:t>ANNEXE 1 : FICHE D’ENQUETE ADRESSEE AUX PRODUCTEURS DE COTON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_Toc395107714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181</w:t>
        </w:r>
        <w:r w:rsidR="008862C7">
          <w:rPr>
            <w:rStyle w:val="Lienhypertexte"/>
            <w:noProof/>
            <w:webHidden/>
          </w:rPr>
          <w:fldChar w:fldCharType="end"/>
        </w:r>
      </w:hyperlink>
    </w:p>
    <w:p w14:paraId="370A2AA4" w14:textId="77777777" w:rsidR="008862C7" w:rsidRDefault="00EA1CF0" w:rsidP="008862C7">
      <w:pPr>
        <w:pStyle w:val="TM4"/>
        <w:tabs>
          <w:tab w:val="clear" w:pos="708"/>
          <w:tab w:val="right" w:leader="dot" w:pos="9062"/>
        </w:tabs>
        <w:rPr>
          <w:noProof/>
          <w:sz w:val="22"/>
          <w:szCs w:val="22"/>
        </w:rPr>
      </w:pPr>
      <w:hyperlink r:id="rId253" w:anchor="_Toc395107715" w:history="1">
        <w:r w:rsidR="008862C7">
          <w:rPr>
            <w:rStyle w:val="Lienhypertexte"/>
            <w:rFonts w:ascii="Arial" w:hAnsi="Arial" w:cs="Arial"/>
            <w:noProof/>
          </w:rPr>
          <w:t>ANNEXE 2 : QUESTIONNAIRE D’ENQUETE ADRESSE AUX GIR</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_Toc395107715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185</w:t>
        </w:r>
        <w:r w:rsidR="008862C7">
          <w:rPr>
            <w:rStyle w:val="Lienhypertexte"/>
            <w:noProof/>
            <w:webHidden/>
          </w:rPr>
          <w:fldChar w:fldCharType="end"/>
        </w:r>
      </w:hyperlink>
    </w:p>
    <w:p w14:paraId="1C1293FF" w14:textId="77777777" w:rsidR="008862C7" w:rsidRDefault="00EA1CF0" w:rsidP="008862C7">
      <w:pPr>
        <w:pStyle w:val="TM4"/>
        <w:tabs>
          <w:tab w:val="clear" w:pos="708"/>
          <w:tab w:val="right" w:leader="dot" w:pos="9062"/>
        </w:tabs>
        <w:rPr>
          <w:noProof/>
          <w:sz w:val="22"/>
          <w:szCs w:val="22"/>
        </w:rPr>
      </w:pPr>
      <w:hyperlink r:id="rId254" w:anchor="_Toc395107716" w:history="1">
        <w:r w:rsidR="008862C7">
          <w:rPr>
            <w:rStyle w:val="Lienhypertexte"/>
            <w:rFonts w:ascii="Arial" w:hAnsi="Arial" w:cs="Arial"/>
            <w:noProof/>
          </w:rPr>
          <w:t>ANNEXE 3 : GUIDE D’ENTRETIEN SEMI – DIRECTIF A LA SDIC/CELLULE COTON</w:t>
        </w:r>
        <w:r w:rsidR="008862C7">
          <w:rPr>
            <w:rStyle w:val="Lienhypertexte"/>
            <w:noProof/>
            <w:webHidden/>
          </w:rPr>
          <w:tab/>
        </w:r>
        <w:r w:rsidR="008862C7">
          <w:rPr>
            <w:rStyle w:val="Lienhypertexte"/>
            <w:noProof/>
            <w:webHidden/>
          </w:rPr>
          <w:fldChar w:fldCharType="begin"/>
        </w:r>
        <w:r w:rsidR="008862C7">
          <w:rPr>
            <w:rStyle w:val="Lienhypertexte"/>
            <w:noProof/>
            <w:webHidden/>
          </w:rPr>
          <w:instrText xml:space="preserve"> PAGEREF _Toc395107716 \h </w:instrText>
        </w:r>
        <w:r w:rsidR="008862C7">
          <w:rPr>
            <w:rStyle w:val="Lienhypertexte"/>
            <w:noProof/>
            <w:webHidden/>
          </w:rPr>
        </w:r>
        <w:r w:rsidR="008862C7">
          <w:rPr>
            <w:rStyle w:val="Lienhypertexte"/>
            <w:noProof/>
            <w:webHidden/>
          </w:rPr>
          <w:fldChar w:fldCharType="separate"/>
        </w:r>
        <w:r w:rsidR="00AF344F">
          <w:rPr>
            <w:rStyle w:val="Lienhypertexte"/>
            <w:noProof/>
            <w:webHidden/>
          </w:rPr>
          <w:t>187</w:t>
        </w:r>
        <w:r w:rsidR="008862C7">
          <w:rPr>
            <w:rStyle w:val="Lienhypertexte"/>
            <w:noProof/>
            <w:webHidden/>
          </w:rPr>
          <w:fldChar w:fldCharType="end"/>
        </w:r>
      </w:hyperlink>
    </w:p>
    <w:p w14:paraId="0FC45CE1" w14:textId="77777777" w:rsidR="008862C7" w:rsidRDefault="008862C7" w:rsidP="008862C7">
      <w:pPr>
        <w:jc w:val="both"/>
        <w:rPr>
          <w:rFonts w:ascii="Arial" w:hAnsi="Arial" w:cs="Arial"/>
          <w:sz w:val="24"/>
          <w:szCs w:val="24"/>
        </w:rPr>
      </w:pPr>
      <w:r>
        <w:rPr>
          <w:rFonts w:ascii="Arial" w:hAnsi="Arial" w:cs="Arial"/>
          <w:bCs/>
          <w:iCs/>
          <w:caps/>
          <w:sz w:val="24"/>
          <w:szCs w:val="24"/>
        </w:rPr>
        <w:fldChar w:fldCharType="end"/>
      </w:r>
    </w:p>
    <w:p w14:paraId="7B2BE2E6" w14:textId="77777777" w:rsidR="008862C7" w:rsidRDefault="005C0325" w:rsidP="008862C7">
      <w:pPr>
        <w:jc w:val="both"/>
        <w:rPr>
          <w:rFonts w:ascii="Arial" w:hAnsi="Arial" w:cs="Arial"/>
          <w:sz w:val="24"/>
        </w:rPr>
      </w:pPr>
      <w:r>
        <w:rPr>
          <w:rFonts w:ascii="Courier New" w:hAnsi="Courier New" w:cs="Courier New"/>
          <w:noProof/>
          <w:sz w:val="20"/>
          <w:szCs w:val="20"/>
          <w:lang w:eastAsia="fr-FR"/>
        </w:rPr>
        <w:drawing>
          <wp:inline distT="0" distB="0" distL="0" distR="0" wp14:anchorId="739FD079" wp14:editId="550D9649">
            <wp:extent cx="5842635" cy="3122930"/>
            <wp:effectExtent l="0" t="0" r="0" b="0"/>
            <wp:docPr id="8"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r>
        <w:rPr>
          <w:noProof/>
          <w:lang w:eastAsia="fr-FR"/>
        </w:rPr>
        <w:drawing>
          <wp:inline distT="0" distB="0" distL="0" distR="0" wp14:anchorId="054B50C1" wp14:editId="3565B49C">
            <wp:extent cx="5747385" cy="2683510"/>
            <wp:effectExtent l="0" t="0" r="0" b="0"/>
            <wp:docPr id="9" name="Obje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5DAC967A" w14:textId="77777777" w:rsidR="008862C7" w:rsidRDefault="008862C7" w:rsidP="008862C7">
      <w:pPr>
        <w:jc w:val="both"/>
        <w:rPr>
          <w:rFonts w:ascii="Arial" w:hAnsi="Arial" w:cs="Arial"/>
          <w:sz w:val="24"/>
        </w:rPr>
      </w:pPr>
    </w:p>
    <w:p w14:paraId="4115A927" w14:textId="77777777" w:rsidR="008862C7" w:rsidRPr="008862C7" w:rsidRDefault="00E72C3F" w:rsidP="008862C7">
      <w:pPr>
        <w:tabs>
          <w:tab w:val="center" w:pos="4536"/>
        </w:tabs>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1248" behindDoc="0" locked="0" layoutInCell="1" allowOverlap="1" wp14:anchorId="19CE9CDD" wp14:editId="26649C1C">
                <wp:simplePos x="0" y="0"/>
                <wp:positionH relativeFrom="column">
                  <wp:posOffset>-540385</wp:posOffset>
                </wp:positionH>
                <wp:positionV relativeFrom="paragraph">
                  <wp:posOffset>-4050030</wp:posOffset>
                </wp:positionV>
                <wp:extent cx="914400" cy="914400"/>
                <wp:effectExtent l="9525" t="9525" r="9525" b="9525"/>
                <wp:wrapNone/>
                <wp:docPr id="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D4F9B3A" w14:textId="77777777" w:rsidR="00B63507" w:rsidRDefault="00B635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9CDD" id="Text Box 100" o:spid="_x0000_s1112" type="#_x0000_t202" style="position:absolute;left:0;text-align:left;margin-left:-42.55pt;margin-top:-318.9pt;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">
                <v:textbox>
                  <w:txbxContent>
                    <w:p w14:paraId="5D4F9B3A" w14:textId="77777777" w:rsidR="00B63507" w:rsidRDefault="00B63507"/>
                  </w:txbxContent>
                </v:textbox>
              </v:shape>
            </w:pict>
          </mc:Fallback>
        </mc:AlternateContent>
      </w:r>
    </w:p>
    <w:sectPr w:rsidR="008862C7" w:rsidRPr="008862C7" w:rsidSect="0003018C">
      <w:pgSz w:w="11906" w:h="16838"/>
      <w:pgMar w:top="1417" w:right="707" w:bottom="1417"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9" w:author="KADEKOY" w:date="2016-01-21T15:39:00Z" w:initials="K">
    <w:p w14:paraId="4535503D" w14:textId="77777777" w:rsidR="00B63507" w:rsidRDefault="00B63507" w:rsidP="008862C7">
      <w:pPr>
        <w:pStyle w:val="Commentaire"/>
      </w:pPr>
      <w:r>
        <w:rPr>
          <w:rStyle w:val="Marquedecommentaire"/>
        </w:rPr>
        <w:annotationRef/>
      </w:r>
      <w:r>
        <w:t>Raisons de cette baisse de production ??</w:t>
      </w:r>
    </w:p>
  </w:comment>
  <w:comment w:id="100" w:author="KADEKOY" w:date="2016-01-21T15:39:00Z" w:initials="K">
    <w:p w14:paraId="29541053" w14:textId="77777777" w:rsidR="00B63507" w:rsidRDefault="00B63507" w:rsidP="008862C7">
      <w:pPr>
        <w:pStyle w:val="Commentaire"/>
      </w:pPr>
      <w:r>
        <w:rPr>
          <w:rStyle w:val="Marquedecommentaire"/>
        </w:rPr>
        <w:annotationRef/>
      </w:r>
      <w:r>
        <w:t>Pour quelles raisons ???</w:t>
      </w:r>
    </w:p>
  </w:comment>
  <w:comment w:id="112" w:author="KADEKOY" w:date="2016-01-21T15:39:00Z" w:initials="K">
    <w:p w14:paraId="190303AA" w14:textId="77777777" w:rsidR="00B63507" w:rsidRDefault="00B63507" w:rsidP="008862C7">
      <w:pPr>
        <w:pStyle w:val="Commentaire"/>
      </w:pPr>
      <w:r>
        <w:rPr>
          <w:rStyle w:val="Marquedecommentaire"/>
        </w:rPr>
        <w:annotationRef/>
      </w:r>
      <w:r>
        <w:t>Pour quelles valeurs ????</w:t>
      </w:r>
    </w:p>
  </w:comment>
  <w:comment w:id="118" w:author="KADEKOY" w:date="2016-01-21T15:39:00Z" w:initials="K">
    <w:p w14:paraId="23B05D7D" w14:textId="77777777" w:rsidR="00B63507" w:rsidRDefault="00B63507" w:rsidP="008862C7">
      <w:pPr>
        <w:pStyle w:val="Commentaire"/>
      </w:pPr>
      <w:r>
        <w:rPr>
          <w:rStyle w:val="Marquedecommentaire"/>
        </w:rPr>
        <w:annotationRef/>
      </w:r>
      <w:r>
        <w:t>Spécifier ?????</w:t>
      </w:r>
    </w:p>
  </w:comment>
  <w:comment w:id="119" w:author="KADEKOY" w:date="2016-01-21T15:39:00Z" w:initials="K">
    <w:p w14:paraId="3FFF37E3" w14:textId="77777777" w:rsidR="00B63507" w:rsidRDefault="00B63507" w:rsidP="008862C7">
      <w:pPr>
        <w:pStyle w:val="Commentaire"/>
      </w:pPr>
      <w:r>
        <w:rPr>
          <w:rStyle w:val="Marquedecommentaire"/>
        </w:rPr>
        <w:annotationRef/>
      </w:r>
      <w:r>
        <w:t>Quoi ? Préciser</w:t>
      </w:r>
    </w:p>
  </w:comment>
  <w:comment w:id="122" w:author="KADEKOY" w:date="2016-01-21T15:39:00Z" w:initials="K">
    <w:p w14:paraId="3D0FD123" w14:textId="77777777" w:rsidR="00B63507" w:rsidRDefault="00B63507" w:rsidP="008862C7">
      <w:pPr>
        <w:pStyle w:val="Commentaire"/>
      </w:pPr>
      <w:r>
        <w:rPr>
          <w:rStyle w:val="Marquedecommentaire"/>
        </w:rPr>
        <w:annotationRef/>
      </w:r>
      <w:r>
        <w:t>Quels sont ces pays ??????</w:t>
      </w:r>
    </w:p>
  </w:comment>
  <w:comment w:id="126" w:author="KADEKOY" w:date="2016-01-21T15:39:00Z" w:initials="K">
    <w:p w14:paraId="22D7051B" w14:textId="77777777" w:rsidR="00B63507" w:rsidRDefault="00B63507" w:rsidP="008862C7">
      <w:pPr>
        <w:pStyle w:val="Commentaire"/>
      </w:pPr>
      <w:r>
        <w:rPr>
          <w:rStyle w:val="Marquedecommentaire"/>
        </w:rPr>
        <w:annotationRef/>
      </w:r>
      <w:r>
        <w:t>Sou</w:t>
      </w:r>
    </w:p>
  </w:comment>
  <w:comment w:id="127" w:author="KADEKOY" w:date="2016-01-21T15:39:00Z" w:initials="K">
    <w:p w14:paraId="2DEBAB09" w14:textId="77777777" w:rsidR="00B63507" w:rsidRDefault="00B63507" w:rsidP="008862C7">
      <w:pPr>
        <w:pStyle w:val="Commentaire"/>
      </w:pPr>
      <w:r>
        <w:rPr>
          <w:rStyle w:val="Marquedecommentaire"/>
        </w:rPr>
        <w:annotationRef/>
      </w:r>
      <w:r>
        <w:t>A nuancer en tenant compte des récents événements</w:t>
      </w:r>
    </w:p>
  </w:comment>
  <w:comment w:id="131" w:author="KADEKOY" w:date="2016-01-21T15:39:00Z" w:initials="K">
    <w:p w14:paraId="450D4406" w14:textId="77777777" w:rsidR="00B63507" w:rsidRDefault="00B63507" w:rsidP="008862C7">
      <w:pPr>
        <w:pStyle w:val="Commentaire"/>
      </w:pPr>
      <w:r>
        <w:rPr>
          <w:rStyle w:val="Marquedecommentaire"/>
        </w:rPr>
        <w:annotationRef/>
      </w:r>
      <w:r>
        <w:t>Lesquelles ???? Préciser</w:t>
      </w:r>
    </w:p>
  </w:comment>
  <w:comment w:id="132" w:author="KADEKOY" w:date="2016-01-21T15:39:00Z" w:initials="K">
    <w:p w14:paraId="28F76629" w14:textId="77777777" w:rsidR="00B63507" w:rsidRDefault="00B63507" w:rsidP="008862C7">
      <w:pPr>
        <w:pStyle w:val="Commentaire"/>
      </w:pPr>
      <w:r>
        <w:rPr>
          <w:rStyle w:val="Marquedecommentaire"/>
        </w:rPr>
        <w:annotationRef/>
      </w:r>
      <w:r>
        <w:t>Phrase à revoir !!!!</w:t>
      </w:r>
    </w:p>
  </w:comment>
  <w:comment w:id="146" w:author="KADEKOY" w:date="2016-01-21T15:39:00Z" w:initials="K">
    <w:p w14:paraId="3616ED6A" w14:textId="77777777" w:rsidR="00B63507" w:rsidRDefault="00B63507" w:rsidP="008862C7">
      <w:pPr>
        <w:pStyle w:val="Commentaire"/>
      </w:pPr>
      <w:r>
        <w:rPr>
          <w:rStyle w:val="Marquedecommentaire"/>
        </w:rPr>
        <w:annotationRef/>
      </w:r>
      <w:r>
        <w:t>Lesquelles ??? Il serait intéressant de les préciser ici avant de continuer !!!!!</w:t>
      </w:r>
    </w:p>
  </w:comment>
  <w:comment w:id="160" w:author="KADEKOY" w:date="2016-01-21T15:39:00Z" w:initials="K">
    <w:p w14:paraId="289ED007" w14:textId="77777777" w:rsidR="00B63507" w:rsidRDefault="00B63507" w:rsidP="008862C7">
      <w:pPr>
        <w:pStyle w:val="Commentaire"/>
      </w:pPr>
      <w:r>
        <w:rPr>
          <w:rStyle w:val="Marquedecommentaire"/>
        </w:rPr>
        <w:annotationRef/>
      </w:r>
      <w:r>
        <w:t>Je ne crois pas. Les producteurs font les poquets avec une houe !!!!!</w:t>
      </w:r>
    </w:p>
  </w:comment>
  <w:comment w:id="184" w:author="KADEKOY" w:date="2016-01-21T15:39:00Z" w:initials="K">
    <w:p w14:paraId="6F9F722F" w14:textId="77777777" w:rsidR="00B63507" w:rsidRDefault="00B63507" w:rsidP="008862C7">
      <w:pPr>
        <w:pStyle w:val="Commentaire"/>
      </w:pPr>
      <w:r>
        <w:rPr>
          <w:rStyle w:val="Marquedecommentaire"/>
        </w:rPr>
        <w:annotationRef/>
      </w:r>
      <w:r>
        <w:t>Quel rôle pour l’Union des Producteurs de Coton de Centrafrique ????</w:t>
      </w:r>
    </w:p>
  </w:comment>
  <w:comment w:id="255" w:author="KADEKOY" w:date="2016-01-21T15:39:00Z" w:initials="K">
    <w:p w14:paraId="52EC6684" w14:textId="77777777" w:rsidR="00B63507" w:rsidRDefault="00B63507" w:rsidP="008862C7">
      <w:pPr>
        <w:pStyle w:val="Commentaire"/>
      </w:pPr>
      <w:r>
        <w:rPr>
          <w:rStyle w:val="Marquedecommentaire"/>
        </w:rPr>
        <w:annotationRef/>
      </w:r>
      <w:r>
        <w:t>A placer avant la colonne Valeur d’export de coton</w:t>
      </w:r>
    </w:p>
  </w:comment>
  <w:comment w:id="256" w:author="KADEKOY" w:date="2016-01-21T15:39:00Z" w:initials="K">
    <w:p w14:paraId="5225B017" w14:textId="77777777" w:rsidR="00B63507" w:rsidRDefault="00B63507" w:rsidP="008862C7">
      <w:pPr>
        <w:pStyle w:val="Commentaire"/>
      </w:pPr>
      <w:r>
        <w:rPr>
          <w:rStyle w:val="Marquedecommentaire"/>
        </w:rPr>
        <w:annotationRef/>
      </w:r>
      <w:r>
        <w:t>Attention, le tableau indique 11,2 en 2000</w:t>
      </w:r>
    </w:p>
  </w:comment>
  <w:comment w:id="257" w:author="KADEKOY" w:date="2016-01-21T15:39:00Z" w:initials="K">
    <w:p w14:paraId="0AE14FE7" w14:textId="77777777" w:rsidR="00B63507" w:rsidRDefault="00B63507" w:rsidP="008862C7">
      <w:pPr>
        <w:pStyle w:val="Commentaire"/>
      </w:pPr>
      <w:r>
        <w:rPr>
          <w:rStyle w:val="Marquedecommentaire"/>
        </w:rPr>
        <w:annotationRef/>
      </w:r>
      <w:r>
        <w:t>Les recettes sont exprimées en FCFA et non en tonnes</w:t>
      </w:r>
    </w:p>
  </w:comment>
  <w:comment w:id="264" w:author="KADEKOY" w:date="2016-01-21T15:39:00Z" w:initials="K">
    <w:p w14:paraId="00C319D4" w14:textId="77777777" w:rsidR="00B63507" w:rsidRDefault="00B63507" w:rsidP="008862C7">
      <w:pPr>
        <w:pStyle w:val="Commentaire"/>
      </w:pPr>
      <w:r>
        <w:rPr>
          <w:rStyle w:val="Marquedecommentaire"/>
        </w:rPr>
        <w:annotationRef/>
      </w:r>
      <w:r>
        <w:t>Quelles années ????</w:t>
      </w:r>
    </w:p>
  </w:comment>
  <w:comment w:id="278" w:author="KADEKOY" w:date="2016-01-21T15:39:00Z" w:initials="K">
    <w:p w14:paraId="57C28360" w14:textId="77777777" w:rsidR="00B63507" w:rsidRDefault="00B63507" w:rsidP="008862C7">
      <w:pPr>
        <w:pStyle w:val="Commentaire"/>
      </w:pPr>
      <w:r>
        <w:rPr>
          <w:rStyle w:val="Marquedecommentaire"/>
        </w:rPr>
        <w:annotationRef/>
      </w:r>
      <w:r>
        <w:t>Ha ????</w:t>
      </w:r>
    </w:p>
  </w:comment>
  <w:comment w:id="282" w:author="KADEKOY" w:date="2016-01-21T15:39:00Z" w:initials="K">
    <w:p w14:paraId="5C36DDE7" w14:textId="77777777" w:rsidR="00B63507" w:rsidRDefault="00B63507" w:rsidP="008862C7">
      <w:pPr>
        <w:pStyle w:val="Commentaire"/>
      </w:pPr>
      <w:r>
        <w:rPr>
          <w:rStyle w:val="Marquedecommentaire"/>
        </w:rPr>
        <w:annotationRef/>
      </w:r>
      <w:r>
        <w:t>Non, F135 n’a pas été introduite depuis la période coloniale</w:t>
      </w:r>
    </w:p>
  </w:comment>
  <w:comment w:id="290" w:author="KADEKOY" w:date="2016-01-21T15:39:00Z" w:initials="K">
    <w:p w14:paraId="3FEBDF07" w14:textId="77777777" w:rsidR="00B63507" w:rsidRDefault="00B63507" w:rsidP="008862C7">
      <w:pPr>
        <w:pStyle w:val="Commentaire"/>
      </w:pPr>
      <w:r>
        <w:rPr>
          <w:rStyle w:val="Marquedecommentaire"/>
        </w:rPr>
        <w:annotationRef/>
      </w:r>
      <w:r>
        <w:t>A spécifier</w:t>
      </w:r>
    </w:p>
  </w:comment>
  <w:comment w:id="292" w:author="KADEKOY" w:date="2016-01-21T15:39:00Z" w:initials="K">
    <w:p w14:paraId="56D7EFE6" w14:textId="77777777" w:rsidR="00B63507" w:rsidRDefault="00B63507" w:rsidP="008862C7">
      <w:pPr>
        <w:pStyle w:val="Commentaire"/>
      </w:pPr>
      <w:r>
        <w:rPr>
          <w:rStyle w:val="Marquedecommentaire"/>
        </w:rPr>
        <w:annotationRef/>
      </w:r>
      <w:r>
        <w:t>Année ????</w:t>
      </w:r>
    </w:p>
  </w:comment>
  <w:comment w:id="308" w:author="KADEKOY" w:date="2016-01-21T15:39:00Z" w:initials="K">
    <w:p w14:paraId="351B3B06" w14:textId="77777777" w:rsidR="00B63507" w:rsidRDefault="00B63507" w:rsidP="008862C7">
      <w:pPr>
        <w:pStyle w:val="Commentaire"/>
      </w:pPr>
      <w:r>
        <w:rPr>
          <w:rStyle w:val="Marquedecommentaire"/>
        </w:rPr>
        <w:annotationRef/>
      </w:r>
      <w:r>
        <w:t>Quelles propositions pour inciter les producteurs à améliorer la qualité de coton-graine ???</w:t>
      </w:r>
    </w:p>
  </w:comment>
  <w:comment w:id="309" w:author="KADEKOY" w:date="2016-01-21T15:39:00Z" w:initials="K">
    <w:p w14:paraId="70B4214E" w14:textId="77777777" w:rsidR="00B63507" w:rsidRDefault="00B63507" w:rsidP="008862C7">
      <w:pPr>
        <w:pStyle w:val="Commentaire"/>
      </w:pPr>
      <w:r>
        <w:rPr>
          <w:rStyle w:val="Marquedecommentaire"/>
        </w:rPr>
        <w:annotationRef/>
      </w:r>
      <w:r>
        <w:t xml:space="preserve">Quelles sont les mesures concrètes à mettre en œuvre pour faciliter cet accès ????? </w:t>
      </w:r>
    </w:p>
  </w:comment>
  <w:comment w:id="310" w:author="KADEKOY" w:date="2016-01-21T15:39:00Z" w:initials="K">
    <w:p w14:paraId="496E9C28" w14:textId="77777777" w:rsidR="00B63507" w:rsidRDefault="00B63507" w:rsidP="008862C7">
      <w:pPr>
        <w:pStyle w:val="Commentaire"/>
      </w:pPr>
      <w:r>
        <w:rPr>
          <w:rStyle w:val="Marquedecommentaire"/>
        </w:rPr>
        <w:annotationRef/>
      </w:r>
      <w:r>
        <w:t>Et alors, quelles sont les conséquences et quelles propositions pour y remédier ?????</w:t>
      </w:r>
    </w:p>
  </w:comment>
  <w:comment w:id="314" w:author="KADEKOY" w:date="2016-01-21T15:39:00Z" w:initials="K">
    <w:p w14:paraId="336976E2" w14:textId="77777777" w:rsidR="00B63507" w:rsidRDefault="00B63507" w:rsidP="008862C7">
      <w:pPr>
        <w:pStyle w:val="Commentaire"/>
      </w:pPr>
      <w:r>
        <w:rPr>
          <w:rStyle w:val="Marquedecommentaire"/>
        </w:rPr>
        <w:annotationRef/>
      </w:r>
      <w:r>
        <w:t>Lister tous les auteurs</w:t>
      </w:r>
    </w:p>
  </w:comment>
  <w:comment w:id="315" w:author="KADEKOY" w:date="2016-01-21T15:39:00Z" w:initials="K">
    <w:p w14:paraId="70029976" w14:textId="77777777" w:rsidR="00B63507" w:rsidRDefault="00B63507" w:rsidP="008862C7">
      <w:pPr>
        <w:pStyle w:val="Commentaire"/>
      </w:pPr>
      <w:r>
        <w:rPr>
          <w:rStyle w:val="Marquedecommentaire"/>
        </w:rPr>
        <w:annotationRef/>
      </w:r>
      <w:r>
        <w:t>En toute lettre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35503D" w15:done="0"/>
  <w15:commentEx w15:paraId="29541053" w15:done="0"/>
  <w15:commentEx w15:paraId="190303AA" w15:done="0"/>
  <w15:commentEx w15:paraId="23B05D7D" w15:done="0"/>
  <w15:commentEx w15:paraId="3FFF37E3" w15:done="0"/>
  <w15:commentEx w15:paraId="3D0FD123" w15:done="0"/>
  <w15:commentEx w15:paraId="22D7051B" w15:done="0"/>
  <w15:commentEx w15:paraId="2DEBAB09" w15:done="0"/>
  <w15:commentEx w15:paraId="450D4406" w15:done="0"/>
  <w15:commentEx w15:paraId="28F76629" w15:done="0"/>
  <w15:commentEx w15:paraId="3616ED6A" w15:done="0"/>
  <w15:commentEx w15:paraId="289ED007" w15:done="0"/>
  <w15:commentEx w15:paraId="6F9F722F" w15:done="0"/>
  <w15:commentEx w15:paraId="52EC6684" w15:done="0"/>
  <w15:commentEx w15:paraId="5225B017" w15:done="0"/>
  <w15:commentEx w15:paraId="0AE14FE7" w15:done="0"/>
  <w15:commentEx w15:paraId="00C319D4" w15:done="0"/>
  <w15:commentEx w15:paraId="57C28360" w15:done="0"/>
  <w15:commentEx w15:paraId="5C36DDE7" w15:done="0"/>
  <w15:commentEx w15:paraId="3FEBDF07" w15:done="0"/>
  <w15:commentEx w15:paraId="56D7EFE6" w15:done="0"/>
  <w15:commentEx w15:paraId="351B3B06" w15:done="0"/>
  <w15:commentEx w15:paraId="70B4214E" w15:done="0"/>
  <w15:commentEx w15:paraId="496E9C28" w15:done="0"/>
  <w15:commentEx w15:paraId="336976E2" w15:done="0"/>
  <w15:commentEx w15:paraId="7002997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D49DC" w14:textId="77777777" w:rsidR="00EA1CF0" w:rsidRDefault="00EA1CF0" w:rsidP="008862C7">
      <w:pPr>
        <w:spacing w:after="0" w:line="240" w:lineRule="auto"/>
      </w:pPr>
      <w:r>
        <w:separator/>
      </w:r>
    </w:p>
  </w:endnote>
  <w:endnote w:type="continuationSeparator" w:id="0">
    <w:p w14:paraId="278ECB1A" w14:textId="77777777" w:rsidR="00EA1CF0" w:rsidRDefault="00EA1CF0" w:rsidP="0088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0000000000000000000"/>
    <w:charset w:val="00"/>
    <w:family w:val="roman"/>
    <w:pitch w:val="variable"/>
    <w:sig w:usb0="A00002EF" w:usb1="420020EB" w:usb2="00000000" w:usb3="00000000" w:csb0="0000019F" w:csb1="00000000"/>
  </w:font>
  <w:font w:name="Calibri">
    <w:charset w:val="00"/>
    <w:family w:val="swiss"/>
    <w:pitch w:val="variable"/>
    <w:sig w:usb0="E10002FF" w:usb1="4000ACFF" w:usb2="00000009" w:usb3="00000000" w:csb0="0000019F" w:csb1="00000000"/>
  </w:font>
  <w:font w:name="Cambria">
    <w:charset w:val="00"/>
    <w:family w:val="roman"/>
    <w:pitch w:val="variable"/>
    <w:sig w:usb0="A00002EF" w:usb1="4000004B" w:usb2="00000000" w:usb3="00000000" w:csb0="000001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PMincho"/>
    <w:charset w:val="8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ZMSVRQ+TimesNewRomanPS-BoldMT">
    <w:altName w:val="Times New Roman PS"/>
    <w:panose1 w:val="00000000000000000000"/>
    <w:charset w:val="00"/>
    <w:family w:val="roman"/>
    <w:notTrueType/>
    <w:pitch w:val="default"/>
    <w:sig w:usb0="00000003" w:usb1="00000000" w:usb2="00000000" w:usb3="00000000" w:csb0="00000001" w:csb1="00000000"/>
  </w:font>
  <w:font w:name="BKSCTM+TimesNewRomanPSMT">
    <w:altName w:val="Times New Roman PSMT"/>
    <w:panose1 w:val="00000000000000000000"/>
    <w:charset w:val="00"/>
    <w:family w:val="roman"/>
    <w:notTrueType/>
    <w:pitch w:val="default"/>
    <w:sig w:usb0="00000003" w:usb1="00000000" w:usb2="00000000" w:usb3="00000000" w:csb0="00000001" w:csb1="00000000"/>
  </w:font>
  <w:font w:name="MS Reference Sans Serif">
    <w:charset w:val="00"/>
    <w:family w:val="swiss"/>
    <w:pitch w:val="variable"/>
    <w:sig w:usb0="20000287" w:usb1="00000000" w:usb2="00000000" w:usb3="00000000" w:csb0="0000019F" w:csb1="00000000"/>
  </w:font>
  <w:font w:name="Georgia Ref">
    <w:charset w:val="00"/>
    <w:family w:val="roman"/>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MS PMincho">
    <w:charset w:val="80"/>
    <w:family w:val="roman"/>
    <w:pitch w:val="variable"/>
    <w:sig w:usb0="E00002FF" w:usb1="6AC7FDFB" w:usb2="00000012" w:usb3="00000000" w:csb0="0002009F" w:csb1="00000000"/>
  </w:font>
  <w:font w:name="Comic Sans MS">
    <w:charset w:val="00"/>
    <w:family w:val="script"/>
    <w:pitch w:val="variable"/>
    <w:sig w:usb0="00000287" w:usb1="00000000" w:usb2="00000000" w:usb3="00000000" w:csb0="0000009F" w:csb1="00000000"/>
  </w:font>
  <w:font w:name="LiberationSans-Identity-H">
    <w:altName w:val="MS Mincho"/>
    <w:panose1 w:val="00000000000000000000"/>
    <w:charset w:val="80"/>
    <w:family w:val="auto"/>
    <w:notTrueType/>
    <w:pitch w:val="default"/>
    <w:sig w:usb0="00000001" w:usb1="08070000" w:usb2="00000010" w:usb3="00000000" w:csb0="00020000" w:csb1="00000000"/>
  </w:font>
  <w:font w:name="ArialM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entury">
    <w:panose1 w:val="020406030507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mbusRomNo9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E9D83" w14:textId="77777777" w:rsidR="00EA1CF0" w:rsidRDefault="00EA1CF0" w:rsidP="008862C7">
      <w:pPr>
        <w:spacing w:after="0" w:line="240" w:lineRule="auto"/>
      </w:pPr>
      <w:r>
        <w:separator/>
      </w:r>
    </w:p>
  </w:footnote>
  <w:footnote w:type="continuationSeparator" w:id="0">
    <w:p w14:paraId="52C13C75" w14:textId="77777777" w:rsidR="00EA1CF0" w:rsidRDefault="00EA1CF0" w:rsidP="008862C7">
      <w:pPr>
        <w:spacing w:after="0" w:line="240" w:lineRule="auto"/>
      </w:pPr>
      <w:r>
        <w:continuationSeparator/>
      </w:r>
    </w:p>
  </w:footnote>
  <w:footnote w:id="1">
    <w:p w14:paraId="2694D818" w14:textId="77777777" w:rsidR="00B63507" w:rsidRDefault="00B63507" w:rsidP="008862C7">
      <w:pPr>
        <w:pStyle w:val="Notedebasdepage"/>
        <w:spacing w:after="0"/>
        <w:jc w:val="both"/>
        <w:rPr>
          <w:rFonts w:ascii="Arial" w:hAnsi="Arial" w:cs="Arial"/>
        </w:rPr>
      </w:pPr>
      <w:r>
        <w:rPr>
          <w:rStyle w:val="Appelnotedebasdep"/>
          <w:rFonts w:ascii="Arial" w:hAnsi="Arial" w:cs="Arial"/>
        </w:rPr>
        <w:footnoteRef/>
      </w:r>
      <w:r>
        <w:rPr>
          <w:rFonts w:ascii="Arial" w:hAnsi="Arial" w:cs="Arial"/>
        </w:rPr>
        <w:t xml:space="preserve">  Les économistes suédois </w:t>
      </w:r>
      <w:r>
        <w:rPr>
          <w:rFonts w:ascii="Arial" w:hAnsi="Arial" w:cs="Arial"/>
          <w:lang w:bidi="he-IL"/>
        </w:rPr>
        <w:t>Ohlin et Hecksher établissent en 1933 ce théorème et plus tard l’économiste américain  Samuelson en a présenté une formulation mathématique.</w:t>
      </w:r>
    </w:p>
  </w:footnote>
  <w:footnote w:id="2">
    <w:p w14:paraId="3732D44E" w14:textId="77777777" w:rsidR="00B63507" w:rsidRDefault="00B63507" w:rsidP="008862C7">
      <w:pPr>
        <w:autoSpaceDE w:val="0"/>
        <w:autoSpaceDN w:val="0"/>
        <w:adjustRightInd w:val="0"/>
        <w:jc w:val="both"/>
        <w:rPr>
          <w:rFonts w:ascii="Calibri" w:hAnsi="Calibri" w:cs="Times New Roman"/>
        </w:rPr>
      </w:pPr>
      <w:r>
        <w:rPr>
          <w:rStyle w:val="Appelnotedebasdep"/>
          <w:b/>
        </w:rPr>
        <w:footnoteRef/>
      </w:r>
      <w:r>
        <w:rPr>
          <w:b/>
          <w:sz w:val="20"/>
          <w:szCs w:val="20"/>
        </w:rPr>
        <w:t xml:space="preserve"> </w:t>
      </w:r>
      <w:r>
        <w:rPr>
          <w:rFonts w:ascii="Arial" w:hAnsi="Arial" w:cs="Arial"/>
          <w:b/>
          <w:sz w:val="20"/>
          <w:szCs w:val="20"/>
        </w:rPr>
        <w:t>Porter</w:t>
      </w:r>
      <w:r>
        <w:rPr>
          <w:rFonts w:ascii="Arial" w:hAnsi="Arial" w:cs="Arial"/>
          <w:sz w:val="20"/>
          <w:szCs w:val="20"/>
        </w:rPr>
        <w:t xml:space="preserve"> développe le concept de </w:t>
      </w:r>
      <w:r>
        <w:rPr>
          <w:rFonts w:ascii="Arial" w:hAnsi="Arial" w:cs="Arial"/>
          <w:b/>
          <w:sz w:val="20"/>
          <w:szCs w:val="20"/>
        </w:rPr>
        <w:t xml:space="preserve">“cluster” </w:t>
      </w:r>
      <w:r>
        <w:rPr>
          <w:rFonts w:ascii="Arial" w:hAnsi="Arial" w:cs="Arial"/>
          <w:sz w:val="20"/>
          <w:szCs w:val="20"/>
        </w:rPr>
        <w:t>d’entreprises pour expliquer la plus grande productivité des entreprises. Un cluster est défini comme “un groupe, géographiquement proche, d’entreprises interconnectées et d’Industries associées, dans un secteur particulier, reliées par des caractéristiques et complexités communes.”</w:t>
      </w:r>
    </w:p>
    <w:p w14:paraId="34078808" w14:textId="77777777" w:rsidR="00B63507" w:rsidRDefault="00B63507" w:rsidP="008862C7">
      <w:pPr>
        <w:pStyle w:val="Notedebasdepage"/>
        <w:jc w:val="both"/>
      </w:pPr>
    </w:p>
  </w:footnote>
  <w:footnote w:id="3">
    <w:p w14:paraId="1FFA70A0" w14:textId="77777777" w:rsidR="00B63507" w:rsidRDefault="00B63507" w:rsidP="008862C7">
      <w:pPr>
        <w:autoSpaceDE w:val="0"/>
        <w:autoSpaceDN w:val="0"/>
        <w:adjustRightInd w:val="0"/>
        <w:jc w:val="both"/>
        <w:rPr>
          <w:rFonts w:ascii="Arial" w:hAnsi="Arial" w:cs="Arial"/>
          <w:sz w:val="20"/>
          <w:szCs w:val="20"/>
        </w:rPr>
      </w:pPr>
      <w:r>
        <w:rPr>
          <w:rStyle w:val="Appelnotedebasdep"/>
          <w:rFonts w:ascii="Arial" w:hAnsi="Arial" w:cs="Arial"/>
          <w:sz w:val="20"/>
          <w:szCs w:val="20"/>
        </w:rPr>
        <w:footnoteRef/>
      </w:r>
      <w:r>
        <w:rPr>
          <w:rFonts w:ascii="Arial" w:hAnsi="Arial" w:cs="Arial"/>
          <w:sz w:val="20"/>
          <w:szCs w:val="20"/>
        </w:rPr>
        <w:t xml:space="preserve"> Lorsqu’on analyse la compétitivité, il est important de distinguer les 4 niveaux d’analyse : entreprises, industries (ou secteurs), un pays ou une région, pour éviter des interprétations incorrectes de ce concept.</w:t>
      </w:r>
    </w:p>
  </w:footnote>
  <w:footnote w:id="4">
    <w:p w14:paraId="65BF7C2B"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Selon que la concurrence porte sur des produits comparables en termes de qualité ou non on distingue la compétitivité prix de la compétitivité hors prix encore appelée compétitivité structurelle (compétitivité qualité ou compétitivité produits), qui tient à ce qu’un produit se maintienne ou progresse sur un marché en raison de la nature de ce produit.</w:t>
      </w:r>
    </w:p>
  </w:footnote>
  <w:footnote w:id="5">
    <w:p w14:paraId="7E0B79D9"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 xml:space="preserve">Porter (1990) par exemple estime que parler de la compétitivité au niveau national est injuste, ce qu’il convient d’en parler à se niveau </w:t>
      </w:r>
      <w:r>
        <w:rPr>
          <w:rFonts w:ascii="Arial" w:hAnsi="Arial" w:cs="Arial"/>
          <w:color w:val="000000"/>
        </w:rPr>
        <w:t>se sont les déterminants de la productivité et le taux  de croissance de la productivité.</w:t>
      </w:r>
      <w:r>
        <w:rPr>
          <w:rFonts w:ascii="Arial" w:hAnsi="Arial" w:cs="Arial"/>
        </w:rPr>
        <w:t xml:space="preserve"> Or même si elles sont proches, les notions de productivité et de compétitivité ont deux sens différents et complémentaires.</w:t>
      </w:r>
    </w:p>
  </w:footnote>
  <w:footnote w:id="6">
    <w:p w14:paraId="194E802E"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r>
      <w:r>
        <w:rPr>
          <w:rFonts w:ascii="Arial" w:hAnsi="Arial" w:cs="Arial"/>
          <w:color w:val="000000"/>
        </w:rPr>
        <w:t xml:space="preserve">Porter Michael (1992) : Par la profondeur et la qualité de ces  travaux sur la compétitivité (L’avantage concurrentiel des firmes, Inter éditions, Université de Harvard.) des entreprises, Porter constitue l’un des penseurs majeur dans ce domaine. C’est pourquoi dans cette partie l’accent est principalement mis sur ses pensées et complétée par celles de quelques auteurs.  </w:t>
      </w:r>
    </w:p>
  </w:footnote>
  <w:footnote w:id="7">
    <w:p w14:paraId="73983269" w14:textId="77777777" w:rsidR="00B63507" w:rsidRDefault="00B63507" w:rsidP="008862C7">
      <w:pPr>
        <w:pStyle w:val="Notedebasdepage"/>
        <w:ind w:left="0" w:firstLine="0"/>
      </w:pPr>
      <w:r>
        <w:rPr>
          <w:rStyle w:val="Appelnotedebasdep"/>
          <w:rFonts w:ascii="Arial" w:hAnsi="Arial" w:cs="Arial"/>
        </w:rPr>
        <w:footnoteRef/>
      </w:r>
      <w:r>
        <w:rPr>
          <w:rFonts w:ascii="Arial" w:hAnsi="Arial" w:cs="Arial"/>
        </w:rPr>
        <w:t xml:space="preserve"> En 1983, l’Assemblée générale des Nations unies décide d’instituer une commission mondiale sur l’environnement et le développement (également appelée Commission Brundtland, du nom de sa présidente Madame Gro Harlem Brundtland). En 1987, cette commission rend son rapport intitulé « Notre avenir à tous », plus connu sous l’appellation de « rapport Brundtland »</w:t>
      </w:r>
      <w:r>
        <w:rPr>
          <w:rFonts w:hint="eastAsia"/>
        </w:rPr>
        <w:t>.</w:t>
      </w:r>
    </w:p>
  </w:footnote>
  <w:footnote w:id="8">
    <w:p w14:paraId="30D2CDD9" w14:textId="77777777" w:rsidR="00B63507" w:rsidRDefault="00B63507" w:rsidP="008862C7">
      <w:pPr>
        <w:autoSpaceDE w:val="0"/>
        <w:autoSpaceDN w:val="0"/>
        <w:adjustRightInd w:val="0"/>
        <w:jc w:val="both"/>
        <w:rPr>
          <w:rFonts w:ascii="Arial" w:hAnsi="Arial" w:cs="Arial"/>
          <w:sz w:val="20"/>
          <w:szCs w:val="20"/>
        </w:rPr>
      </w:pPr>
      <w:r>
        <w:rPr>
          <w:rStyle w:val="Appelnotedebasdep"/>
          <w:rFonts w:ascii="Arial" w:hAnsi="Arial" w:cs="Arial"/>
          <w:sz w:val="20"/>
          <w:szCs w:val="20"/>
        </w:rPr>
        <w:footnoteRef/>
      </w:r>
      <w:r>
        <w:rPr>
          <w:rFonts w:ascii="Arial" w:hAnsi="Arial" w:cs="Arial"/>
          <w:sz w:val="20"/>
          <w:szCs w:val="20"/>
        </w:rPr>
        <w:t xml:space="preserve"> Malgré son utilisation répandue, le modèle de l'avantage comparatif présente deux problèmes majeurs à savoir : (i) il s'intéresse aux coûts de production et fait abstraction des autres coûts, i.e. coût de la recherche et le développement du produit, coût de sa commercialisation, etc. ; et (ii) le concept s'applique à un monde dépourvu de distorsions, donc idyllique. </w:t>
      </w:r>
    </w:p>
  </w:footnote>
  <w:footnote w:id="9">
    <w:p w14:paraId="222FC04C" w14:textId="77777777" w:rsidR="00B63507" w:rsidRDefault="00B63507" w:rsidP="008862C7">
      <w:pPr>
        <w:pStyle w:val="Notedebasdepage"/>
        <w:spacing w:after="0"/>
        <w:jc w:val="both"/>
        <w:rPr>
          <w:rFonts w:ascii="Arial" w:hAnsi="Arial" w:cs="Arial"/>
        </w:rPr>
      </w:pPr>
      <w:r>
        <w:rPr>
          <w:rStyle w:val="Appelnotedebasdep"/>
          <w:rFonts w:ascii="Arial" w:hAnsi="Arial" w:cs="Arial"/>
        </w:rPr>
        <w:footnoteRef/>
      </w:r>
      <w:r>
        <w:rPr>
          <w:rFonts w:ascii="Arial" w:hAnsi="Arial" w:cs="Arial"/>
        </w:rPr>
        <w:t xml:space="preserve"> </w:t>
      </w:r>
      <m:oMath>
        <m:r>
          <w:rPr>
            <w:rFonts w:ascii="Cambria Math" w:hAnsi="Cambria Math" w:cs="Arial"/>
          </w:rPr>
          <m:t>XPMM</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X</m:t>
                </m:r>
              </m:e>
              <m:sub>
                <m:r>
                  <w:rPr>
                    <w:rFonts w:ascii="Cambria Math" w:hAnsi="Cambria Math" w:cs="Arial"/>
                  </w:rPr>
                  <m:t>t</m:t>
                </m:r>
                <m:r>
                  <w:rPr>
                    <w:rFonts w:ascii="Cambria Math" w:hAnsi="Arial" w:cs="Arial"/>
                  </w:rPr>
                  <m:t>+1</m:t>
                </m:r>
              </m:sub>
            </m:sSub>
            <m:r>
              <w:rPr>
                <w:rFonts w:ascii="Cambria Math" w:hAnsi="Cambria Math" w:cs="Arial"/>
              </w:rPr>
              <m:t>-</m:t>
            </m:r>
            <m:r>
              <w:rPr>
                <w:rFonts w:ascii="Cambria Math" w:hAnsi="Arial" w:cs="Arial"/>
              </w:rPr>
              <m:t xml:space="preserve"> </m:t>
            </m:r>
            <m:sSub>
              <m:sSubPr>
                <m:ctrlPr>
                  <w:rPr>
                    <w:rFonts w:ascii="Cambria Math" w:hAnsi="Arial" w:cs="Arial"/>
                    <w:i/>
                  </w:rPr>
                </m:ctrlPr>
              </m:sSubPr>
              <m:e>
                <m:r>
                  <w:rPr>
                    <w:rFonts w:ascii="Cambria Math" w:hAnsi="Cambria Math" w:cs="Arial"/>
                  </w:rPr>
                  <m:t>X</m:t>
                </m:r>
              </m:e>
              <m:sub>
                <m:r>
                  <w:rPr>
                    <w:rFonts w:ascii="Cambria Math" w:hAnsi="Cambria Math" w:cs="Arial"/>
                  </w:rPr>
                  <m:t>t</m:t>
                </m:r>
              </m:sub>
            </m:sSub>
          </m:num>
          <m:den>
            <m:sSub>
              <m:sSubPr>
                <m:ctrlPr>
                  <w:rPr>
                    <w:rFonts w:ascii="Cambria Math" w:hAnsi="Arial" w:cs="Arial"/>
                    <w:i/>
                  </w:rPr>
                </m:ctrlPr>
              </m:sSubPr>
              <m:e>
                <m:r>
                  <w:rPr>
                    <w:rFonts w:ascii="Cambria Math" w:hAnsi="Cambria Math" w:cs="Arial"/>
                  </w:rPr>
                  <m:t>X</m:t>
                </m:r>
              </m:e>
              <m:sub>
                <m:r>
                  <w:rPr>
                    <w:rFonts w:ascii="Cambria Math" w:hAnsi="Cambria Math" w:cs="Arial"/>
                  </w:rPr>
                  <m:t>t</m:t>
                </m:r>
                <m:r>
                  <w:rPr>
                    <w:rFonts w:ascii="Cambria Math" w:hAnsi="Arial" w:cs="Arial"/>
                  </w:rPr>
                  <m:t>+1</m:t>
                </m:r>
              </m:sub>
            </m:sSub>
          </m:den>
        </m:f>
        <m:r>
          <w:rPr>
            <w:rFonts w:ascii="Cambria Math" w:hAnsi="Arial" w:cs="Arial"/>
          </w:rPr>
          <m:t>×</m:t>
        </m:r>
        <m:r>
          <w:rPr>
            <w:rFonts w:ascii="Cambria Math" w:hAnsi="Arial" w:cs="Arial"/>
          </w:rPr>
          <m:t>100</m:t>
        </m:r>
      </m:oMath>
      <w:r>
        <w:rPr>
          <w:rFonts w:ascii="Arial" w:hAnsi="Arial" w:cs="Arial"/>
        </w:rPr>
        <w:t xml:space="preserve"> ; Avec X</w:t>
      </w:r>
      <w:r>
        <w:rPr>
          <w:rFonts w:ascii="Arial" w:hAnsi="Arial" w:cs="Arial"/>
          <w:vertAlign w:val="subscript"/>
        </w:rPr>
        <w:t>t</w:t>
      </w:r>
      <w:r>
        <w:rPr>
          <w:rFonts w:ascii="Arial" w:hAnsi="Arial" w:cs="Arial"/>
        </w:rPr>
        <w:t xml:space="preserve"> exportation de l’année de base et X</w:t>
      </w:r>
      <w:r>
        <w:rPr>
          <w:rFonts w:ascii="Arial" w:hAnsi="Arial" w:cs="Arial"/>
          <w:vertAlign w:val="subscript"/>
        </w:rPr>
        <w:t xml:space="preserve">t+1 </w:t>
      </w:r>
      <w:r>
        <w:rPr>
          <w:rFonts w:ascii="Arial" w:hAnsi="Arial" w:cs="Arial"/>
        </w:rPr>
        <w:t xml:space="preserve">l’exportation de la période t. </w:t>
      </w:r>
    </w:p>
    <w:p w14:paraId="1CF0DB82" w14:textId="77777777" w:rsidR="00B63507" w:rsidRDefault="00B63507" w:rsidP="008862C7">
      <w:pPr>
        <w:pStyle w:val="Notedebasdepage"/>
        <w:spacing w:after="0"/>
        <w:jc w:val="both"/>
        <w:rPr>
          <w:rFonts w:ascii="Arial" w:hAnsi="Arial" w:cs="Arial"/>
        </w:rPr>
      </w:pPr>
      <w:r>
        <w:rPr>
          <w:rFonts w:ascii="Arial" w:hAnsi="Arial" w:cs="Arial"/>
        </w:rPr>
        <w:t xml:space="preserve">Ou plus exactement la croissance de la part du marché du coton centrafricain sur le marché mondial : </w:t>
      </w:r>
      <m:oMath>
        <m:r>
          <w:rPr>
            <w:rFonts w:ascii="Cambria Math" w:hAnsi="Cambria Math" w:cs="Arial"/>
          </w:rPr>
          <m:t>XPMM</m:t>
        </m:r>
        <m:r>
          <w:rPr>
            <w:rFonts w:ascii="Cambria Math" w:hAnsi="Arial" w:cs="Arial"/>
          </w:rPr>
          <m:t>=</m:t>
        </m:r>
        <m:f>
          <m:fPr>
            <m:ctrlPr>
              <w:rPr>
                <w:rFonts w:ascii="Cambria Math" w:hAnsi="Arial" w:cs="Arial"/>
                <w:i/>
              </w:rPr>
            </m:ctrlPr>
          </m:fPr>
          <m:num>
            <m:sSub>
              <m:sSubPr>
                <m:ctrlPr>
                  <w:rPr>
                    <w:rFonts w:ascii="Cambria Math" w:hAnsi="Arial" w:cs="Arial"/>
                    <w:i/>
                  </w:rPr>
                </m:ctrlPr>
              </m:sSubPr>
              <m:e>
                <m:sSub>
                  <m:sSubPr>
                    <m:ctrlPr>
                      <w:rPr>
                        <w:rFonts w:ascii="Cambria Math" w:hAnsi="Arial" w:cs="Arial"/>
                        <w:i/>
                      </w:rPr>
                    </m:ctrlPr>
                  </m:sSubPr>
                  <m:e>
                    <m:r>
                      <w:rPr>
                        <w:rFonts w:ascii="Cambria Math" w:hAnsi="Cambria Math" w:cs="Arial"/>
                      </w:rPr>
                      <m:t>PM</m:t>
                    </m:r>
                  </m:e>
                  <m:sub>
                    <m:r>
                      <w:rPr>
                        <w:rFonts w:ascii="Cambria Math" w:hAnsi="Cambria Math" w:cs="Arial"/>
                      </w:rPr>
                      <m:t>t</m:t>
                    </m:r>
                    <m:r>
                      <w:rPr>
                        <w:rFonts w:ascii="Cambria Math" w:hAnsi="Arial" w:cs="Arial"/>
                      </w:rPr>
                      <m:t>+1</m:t>
                    </m:r>
                  </m:sub>
                </m:sSub>
                <m:r>
                  <w:rPr>
                    <w:rFonts w:ascii="Cambria Math" w:hAnsi="Cambria Math" w:cs="Arial"/>
                  </w:rPr>
                  <m:t>-</m:t>
                </m:r>
                <m:r>
                  <w:rPr>
                    <w:rFonts w:ascii="Cambria Math" w:hAnsi="Arial" w:cs="Arial"/>
                  </w:rPr>
                  <m:t xml:space="preserve"> </m:t>
                </m:r>
                <m:r>
                  <w:rPr>
                    <w:rFonts w:ascii="Cambria Math" w:hAnsi="Cambria Math" w:cs="Arial"/>
                  </w:rPr>
                  <m:t>PM</m:t>
                </m:r>
              </m:e>
              <m:sub>
                <m:r>
                  <w:rPr>
                    <w:rFonts w:ascii="Cambria Math" w:hAnsi="Cambria Math" w:cs="Arial"/>
                  </w:rPr>
                  <m:t>t</m:t>
                </m:r>
              </m:sub>
            </m:sSub>
          </m:num>
          <m:den>
            <m:sSub>
              <m:sSubPr>
                <m:ctrlPr>
                  <w:rPr>
                    <w:rFonts w:ascii="Cambria Math" w:hAnsi="Arial" w:cs="Arial"/>
                    <w:i/>
                  </w:rPr>
                </m:ctrlPr>
              </m:sSubPr>
              <m:e>
                <m:r>
                  <w:rPr>
                    <w:rFonts w:ascii="Cambria Math" w:hAnsi="Cambria Math" w:cs="Arial"/>
                  </w:rPr>
                  <m:t>PM</m:t>
                </m:r>
              </m:e>
              <m:sub>
                <m:r>
                  <w:rPr>
                    <w:rFonts w:ascii="Cambria Math" w:hAnsi="Cambria Math" w:cs="Arial"/>
                  </w:rPr>
                  <m:t>t</m:t>
                </m:r>
                <m:r>
                  <w:rPr>
                    <w:rFonts w:ascii="Cambria Math" w:hAnsi="Arial" w:cs="Arial"/>
                  </w:rPr>
                  <m:t>+1</m:t>
                </m:r>
              </m:sub>
            </m:sSub>
          </m:den>
        </m:f>
        <m:r>
          <w:rPr>
            <w:rFonts w:ascii="Cambria Math" w:hAnsi="Arial" w:cs="Arial"/>
          </w:rPr>
          <m:t>×</m:t>
        </m:r>
        <m:r>
          <w:rPr>
            <w:rFonts w:ascii="Cambria Math" w:hAnsi="Arial" w:cs="Arial"/>
          </w:rPr>
          <m:t xml:space="preserve">100 </m:t>
        </m:r>
      </m:oMath>
      <w:r>
        <w:rPr>
          <w:rFonts w:ascii="Arial" w:hAnsi="Arial" w:cs="Arial"/>
        </w:rPr>
        <w:t xml:space="preserve">où PM est un indicateur de spécialisation qui se calcule de la manière suivante: </w:t>
      </w:r>
      <m:oMath>
        <m:sSub>
          <m:sSubPr>
            <m:ctrlPr>
              <w:rPr>
                <w:rFonts w:ascii="Cambria Math" w:hAnsi="Arial" w:cs="Arial"/>
                <w:i/>
              </w:rPr>
            </m:ctrlPr>
          </m:sSubPr>
          <m:e>
            <m:r>
              <w:rPr>
                <w:rFonts w:ascii="Cambria Math" w:hAnsi="Cambria Math" w:cs="Arial"/>
              </w:rPr>
              <m:t>PM</m:t>
            </m:r>
          </m:e>
          <m:sub>
            <m:r>
              <w:rPr>
                <w:rFonts w:ascii="Cambria Math" w:hAnsi="Cambria Math" w:cs="Arial"/>
              </w:rPr>
              <m:t>k</m:t>
            </m:r>
            <m:d>
              <m:dPr>
                <m:ctrlPr>
                  <w:rPr>
                    <w:rFonts w:ascii="Cambria Math" w:hAnsi="Arial" w:cs="Arial"/>
                    <w:i/>
                  </w:rPr>
                </m:ctrlPr>
              </m:dPr>
              <m:e>
                <m:r>
                  <w:rPr>
                    <w:rFonts w:ascii="Cambria Math" w:hAnsi="Cambria Math" w:cs="Arial"/>
                  </w:rPr>
                  <m:t>i</m:t>
                </m:r>
                <m:r>
                  <w:rPr>
                    <w:rFonts w:ascii="Cambria Math" w:hAnsi="Arial" w:cs="Arial"/>
                  </w:rPr>
                  <m:t xml:space="preserve">, </m:t>
                </m:r>
                <m:r>
                  <w:rPr>
                    <w:rFonts w:ascii="Cambria Math" w:hAnsi="Cambria Math" w:cs="Arial"/>
                  </w:rPr>
                  <m:t>w</m:t>
                </m:r>
              </m:e>
            </m:d>
          </m:sub>
        </m:sSub>
        <m:r>
          <w:rPr>
            <w:rFonts w:ascii="Cambria Math" w:hAnsi="Arial" w:cs="Arial"/>
          </w:rPr>
          <m:t>=</m:t>
        </m:r>
        <m:d>
          <m:dPr>
            <m:begChr m:val="["/>
            <m:endChr m:val="]"/>
            <m:shp m:val="match"/>
            <m:ctrlPr>
              <w:rPr>
                <w:rFonts w:ascii="Cambria Math" w:hAnsi="Arial" w:cs="Arial"/>
                <w:i/>
              </w:rPr>
            </m:ctrlPr>
          </m:dPr>
          <m:e>
            <m:f>
              <m:fPr>
                <m:ctrlPr>
                  <w:rPr>
                    <w:rFonts w:ascii="Cambria Math" w:hAnsi="Arial" w:cs="Arial"/>
                    <w:i/>
                  </w:rPr>
                </m:ctrlPr>
              </m:fPr>
              <m:num>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X</m:t>
                        </m:r>
                      </m:e>
                      <m:sub>
                        <m:r>
                          <w:rPr>
                            <w:rFonts w:ascii="Cambria Math" w:hAnsi="Cambria Math" w:cs="Arial"/>
                          </w:rPr>
                          <m:t>k</m:t>
                        </m:r>
                        <m:d>
                          <m:dPr>
                            <m:ctrlPr>
                              <w:rPr>
                                <w:rFonts w:ascii="Cambria Math" w:hAnsi="Arial" w:cs="Arial"/>
                                <w:i/>
                              </w:rPr>
                            </m:ctrlPr>
                          </m:dPr>
                          <m:e>
                            <m:r>
                              <w:rPr>
                                <w:rFonts w:ascii="Cambria Math" w:hAnsi="Cambria Math" w:cs="Arial"/>
                              </w:rPr>
                              <m:t>i</m:t>
                            </m:r>
                          </m:e>
                        </m:d>
                      </m:sub>
                    </m:sSub>
                  </m:e>
                </m:acc>
              </m:num>
              <m:den>
                <m:acc>
                  <m:accPr>
                    <m:chr m:val="̅"/>
                    <m:ctrlPr>
                      <w:rPr>
                        <w:rFonts w:ascii="Cambria Math" w:hAnsi="Arial" w:cs="Arial"/>
                        <w:i/>
                      </w:rPr>
                    </m:ctrlPr>
                  </m:accPr>
                  <m:e>
                    <m:sSub>
                      <m:sSubPr>
                        <m:ctrlPr>
                          <w:rPr>
                            <w:rFonts w:ascii="Cambria Math" w:hAnsi="Arial" w:cs="Arial"/>
                            <w:i/>
                          </w:rPr>
                        </m:ctrlPr>
                      </m:sSubPr>
                      <m:e>
                        <m:r>
                          <w:rPr>
                            <w:rFonts w:ascii="Cambria Math" w:hAnsi="Cambria Math" w:cs="Arial"/>
                          </w:rPr>
                          <m:t>X</m:t>
                        </m:r>
                      </m:e>
                      <m:sub>
                        <m:r>
                          <w:rPr>
                            <w:rFonts w:ascii="Cambria Math" w:hAnsi="Cambria Math" w:cs="Arial"/>
                          </w:rPr>
                          <m:t>k</m:t>
                        </m:r>
                        <m:d>
                          <m:dPr>
                            <m:ctrlPr>
                              <w:rPr>
                                <w:rFonts w:ascii="Cambria Math" w:hAnsi="Arial" w:cs="Arial"/>
                                <w:i/>
                              </w:rPr>
                            </m:ctrlPr>
                          </m:dPr>
                          <m:e>
                            <m:r>
                              <w:rPr>
                                <w:rFonts w:ascii="Cambria Math" w:hAnsi="Cambria Math" w:cs="Arial"/>
                              </w:rPr>
                              <m:t>w</m:t>
                            </m:r>
                          </m:e>
                        </m:d>
                      </m:sub>
                    </m:sSub>
                  </m:e>
                </m:acc>
              </m:den>
            </m:f>
          </m:e>
        </m:d>
      </m:oMath>
      <w:r>
        <w:rPr>
          <w:rFonts w:ascii="Arial" w:hAnsi="Arial" w:cs="Arial"/>
        </w:rPr>
        <w:t xml:space="preserve"> avec :</w:t>
      </w:r>
    </w:p>
    <w:p w14:paraId="5F21D108" w14:textId="77777777" w:rsidR="00B63507" w:rsidRDefault="00B63507" w:rsidP="008862C7">
      <w:pPr>
        <w:pStyle w:val="Notedebasdepage"/>
        <w:numPr>
          <w:ilvl w:val="0"/>
          <w:numId w:val="66"/>
        </w:numPr>
        <w:suppressLineNumbers w:val="0"/>
        <w:suppressAutoHyphens w:val="0"/>
        <w:spacing w:after="0" w:line="240" w:lineRule="auto"/>
        <w:jc w:val="both"/>
        <w:rPr>
          <w:rFonts w:ascii="Arial" w:hAnsi="Arial" w:cs="Arial"/>
        </w:rPr>
      </w:pPr>
      <w:r>
        <w:rPr>
          <w:rFonts w:ascii="Arial" w:hAnsi="Arial" w:cs="Arial"/>
          <w:i/>
        </w:rPr>
        <w:t>X</w:t>
      </w:r>
      <w:r>
        <w:rPr>
          <w:rFonts w:ascii="Arial" w:hAnsi="Arial" w:cs="Arial"/>
          <w:i/>
          <w:vertAlign w:val="subscript"/>
        </w:rPr>
        <w:t>k(i) </w:t>
      </w:r>
      <w:r>
        <w:rPr>
          <w:rFonts w:ascii="Arial" w:hAnsi="Arial" w:cs="Arial"/>
          <w:b/>
        </w:rPr>
        <w:t xml:space="preserve">: </w:t>
      </w:r>
      <w:r>
        <w:rPr>
          <w:rFonts w:ascii="Arial" w:hAnsi="Arial" w:cs="Arial"/>
        </w:rPr>
        <w:t xml:space="preserve">les exportations du bien k (le coton) du pays </w:t>
      </w:r>
      <w:r>
        <w:rPr>
          <w:rFonts w:ascii="Arial" w:hAnsi="Arial" w:cs="Arial"/>
          <w:i/>
        </w:rPr>
        <w:t>i</w:t>
      </w:r>
      <w:r>
        <w:rPr>
          <w:rFonts w:ascii="Arial" w:hAnsi="Arial" w:cs="Arial"/>
        </w:rPr>
        <w:t xml:space="preserve"> au monde </w:t>
      </w:r>
      <w:r>
        <w:rPr>
          <w:rFonts w:ascii="Arial" w:hAnsi="Arial" w:cs="Arial"/>
          <w:i/>
        </w:rPr>
        <w:t>w ;</w:t>
      </w:r>
    </w:p>
    <w:p w14:paraId="2F5D12B3" w14:textId="77777777" w:rsidR="00B63507" w:rsidRDefault="00B63507" w:rsidP="008862C7">
      <w:pPr>
        <w:pStyle w:val="Notedebasdepage"/>
        <w:numPr>
          <w:ilvl w:val="0"/>
          <w:numId w:val="66"/>
        </w:numPr>
        <w:suppressLineNumbers w:val="0"/>
        <w:suppressAutoHyphens w:val="0"/>
        <w:spacing w:after="0" w:line="240" w:lineRule="auto"/>
        <w:jc w:val="both"/>
        <w:rPr>
          <w:rFonts w:ascii="Arial" w:hAnsi="Arial" w:cs="Arial"/>
        </w:rPr>
      </w:pPr>
      <w:r>
        <w:rPr>
          <w:rFonts w:ascii="Arial" w:hAnsi="Arial" w:cs="Arial"/>
          <w:i/>
        </w:rPr>
        <w:t xml:space="preserve"> X</w:t>
      </w:r>
      <w:r>
        <w:rPr>
          <w:rFonts w:ascii="Arial" w:hAnsi="Arial" w:cs="Arial"/>
          <w:i/>
          <w:vertAlign w:val="subscript"/>
        </w:rPr>
        <w:t>k(w) </w:t>
      </w:r>
      <w:r>
        <w:rPr>
          <w:rFonts w:ascii="Arial" w:hAnsi="Arial" w:cs="Arial"/>
          <w:b/>
        </w:rPr>
        <w:t xml:space="preserve">: </w:t>
      </w:r>
      <w:r>
        <w:rPr>
          <w:rFonts w:ascii="Arial" w:hAnsi="Arial" w:cs="Arial"/>
        </w:rPr>
        <w:t xml:space="preserve">les exportations du bien k  (le coton) par le monde </w:t>
      </w:r>
      <w:r>
        <w:rPr>
          <w:rFonts w:ascii="Arial" w:hAnsi="Arial" w:cs="Arial"/>
          <w:i/>
        </w:rPr>
        <w:t>w</w:t>
      </w:r>
      <w:r>
        <w:rPr>
          <w:rFonts w:ascii="Arial" w:hAnsi="Arial" w:cs="Arial"/>
        </w:rPr>
        <w:t>.</w:t>
      </w:r>
      <w:r>
        <w:rPr>
          <w:rFonts w:ascii="Arial" w:hAnsi="Arial" w:cs="Arial"/>
          <w:i/>
        </w:rPr>
        <w:t> </w:t>
      </w:r>
    </w:p>
  </w:footnote>
  <w:footnote w:id="10">
    <w:p w14:paraId="20A31AFF" w14:textId="77777777" w:rsidR="00B63507" w:rsidRDefault="00B63507" w:rsidP="008862C7">
      <w:pPr>
        <w:autoSpaceDE w:val="0"/>
        <w:autoSpaceDN w:val="0"/>
        <w:adjustRightInd w:val="0"/>
        <w:spacing w:after="0"/>
        <w:jc w:val="both"/>
        <w:rPr>
          <w:rFonts w:ascii="Arial" w:hAnsi="Arial" w:cs="Arial"/>
          <w:sz w:val="20"/>
          <w:szCs w:val="20"/>
        </w:rPr>
      </w:pPr>
      <w:r>
        <w:rPr>
          <w:rStyle w:val="Appelnotedebasdep"/>
          <w:rFonts w:ascii="Arial" w:hAnsi="Arial" w:cs="Arial"/>
          <w:b/>
          <w:sz w:val="20"/>
          <w:szCs w:val="20"/>
        </w:rPr>
        <w:footnoteRef/>
      </w:r>
      <w:r>
        <w:rPr>
          <w:rFonts w:ascii="Arial" w:hAnsi="Arial" w:cs="Arial"/>
          <w:color w:val="000000"/>
          <w:sz w:val="20"/>
          <w:szCs w:val="20"/>
        </w:rPr>
        <w:t xml:space="preserve"> Une filière intégrée est définie « comme l’ensemble des opérations de production, d’égrenage et de commercialisation incluant, notamment, le conseil technique, l’approvisionnement de la fibre et la trituration des graines obtenues », contrôlé par un agent économique dominant (Kadékoy-Tigagué ; 2010).</w:t>
      </w:r>
    </w:p>
  </w:footnote>
  <w:footnote w:id="11">
    <w:p w14:paraId="2C4F646E" w14:textId="77777777" w:rsidR="00B63507" w:rsidRDefault="00B63507" w:rsidP="008862C7">
      <w:pPr>
        <w:autoSpaceDE w:val="0"/>
        <w:autoSpaceDN w:val="0"/>
        <w:adjustRightInd w:val="0"/>
        <w:jc w:val="both"/>
        <w:rPr>
          <w:rFonts w:ascii="Arial" w:hAnsi="Arial" w:cs="Arial"/>
          <w:color w:val="000000"/>
          <w:sz w:val="20"/>
          <w:szCs w:val="20"/>
        </w:rPr>
      </w:pPr>
      <w:r>
        <w:rPr>
          <w:rStyle w:val="Appelnotedebasdep"/>
          <w:rFonts w:ascii="Arial" w:hAnsi="Arial" w:cs="Arial"/>
          <w:b/>
          <w:sz w:val="20"/>
          <w:szCs w:val="20"/>
        </w:rPr>
        <w:footnoteRef/>
      </w:r>
      <w:r>
        <w:rPr>
          <w:rFonts w:ascii="Arial" w:hAnsi="Arial" w:cs="Arial"/>
          <w:sz w:val="20"/>
          <w:szCs w:val="20"/>
        </w:rPr>
        <w:t xml:space="preserve"> </w:t>
      </w:r>
      <w:r>
        <w:rPr>
          <w:rFonts w:ascii="Arial" w:hAnsi="Arial" w:cs="Arial"/>
          <w:color w:val="000000"/>
          <w:sz w:val="20"/>
          <w:szCs w:val="20"/>
        </w:rPr>
        <w:t xml:space="preserve"> Le terme « filière » n’a pas de traduction en anglais.</w:t>
      </w:r>
    </w:p>
    <w:p w14:paraId="7CCCA7D9" w14:textId="77777777" w:rsidR="00B63507" w:rsidRDefault="00B63507" w:rsidP="008862C7">
      <w:pPr>
        <w:pStyle w:val="Notedebasdepage"/>
      </w:pPr>
    </w:p>
  </w:footnote>
  <w:footnote w:id="12">
    <w:p w14:paraId="52503282" w14:textId="77777777" w:rsidR="00B63507" w:rsidRDefault="00B63507" w:rsidP="008862C7">
      <w:pPr>
        <w:pStyle w:val="Notedebasdepage"/>
        <w:jc w:val="both"/>
        <w:rPr>
          <w:rFonts w:ascii="Arial" w:hAnsi="Arial" w:cs="Arial"/>
        </w:rPr>
      </w:pPr>
      <w:r>
        <w:rPr>
          <w:rStyle w:val="Appelnotedebasdep"/>
          <w:rFonts w:ascii="Arial" w:hAnsi="Arial" w:cs="Arial"/>
          <w:b/>
        </w:rPr>
        <w:footnoteRef/>
      </w:r>
      <w:r>
        <w:rPr>
          <w:rFonts w:ascii="Arial" w:hAnsi="Arial" w:cs="Arial"/>
        </w:rPr>
        <w:t xml:space="preserve"> </w:t>
      </w:r>
      <w:r>
        <w:rPr>
          <w:rFonts w:ascii="Arial" w:hAnsi="Arial" w:cs="Arial"/>
        </w:rPr>
        <w:tab/>
        <w:t xml:space="preserve">La spécialisation internationale des pays par rapport à leur avantage absolu conduit inévitablement à « la division internationale du travail » </w:t>
      </w:r>
    </w:p>
  </w:footnote>
  <w:footnote w:id="13">
    <w:p w14:paraId="69AE76AC" w14:textId="77777777" w:rsidR="00B63507" w:rsidRDefault="00B63507" w:rsidP="008862C7">
      <w:pPr>
        <w:jc w:val="both"/>
        <w:rPr>
          <w:rFonts w:ascii="Arial" w:hAnsi="Arial" w:cs="Arial"/>
          <w:sz w:val="20"/>
          <w:szCs w:val="20"/>
        </w:rPr>
      </w:pPr>
      <w:r>
        <w:rPr>
          <w:rStyle w:val="Appelnotedebasdep"/>
          <w:rFonts w:ascii="Arial" w:hAnsi="Arial" w:cs="Arial"/>
          <w:b/>
          <w:sz w:val="20"/>
          <w:szCs w:val="20"/>
        </w:rPr>
        <w:footnoteRef/>
      </w:r>
      <w:r>
        <w:rPr>
          <w:rFonts w:ascii="Arial" w:hAnsi="Arial" w:cs="Arial"/>
          <w:sz w:val="20"/>
          <w:szCs w:val="20"/>
        </w:rPr>
        <w:t xml:space="preserve"> Parabole du vin anglais et du drap portugais. Cette parabole  repose sur une comparaison des coûts de production dans une économie à deux pays (Ex l’Angleterre et le Portugal). Selon Adam Smith (1776), « Recherche sur la nature et les causes de la richesse des nations », les pays se spécialiseront dans la production et l’exportation des produits obtenus avec un avantage absolu, c’est à dire avec les niveaux absolus de coûts les plus faibles et la productivité la plus élevée. La théorie de l’avantage absolu exclut les échanges entre pays ayant des niveaux de développement très différents. Les échanges s’effectueront alors entrent des pays économiquement  proches.</w:t>
      </w:r>
    </w:p>
  </w:footnote>
  <w:footnote w:id="14">
    <w:p w14:paraId="650B8F55" w14:textId="77777777" w:rsidR="00B63507" w:rsidRDefault="00B63507" w:rsidP="008862C7">
      <w:pPr>
        <w:pStyle w:val="Notedebasdepage"/>
        <w:ind w:left="709" w:hanging="709"/>
      </w:pPr>
      <w:r>
        <w:rPr>
          <w:rStyle w:val="Appelnotedebasdep"/>
          <w:b/>
        </w:rPr>
        <w:footnoteRef/>
      </w:r>
      <w:r>
        <w:rPr>
          <w:rFonts w:hint="eastAsia"/>
          <w:b/>
        </w:rPr>
        <w:t xml:space="preserve"> </w:t>
      </w:r>
      <w:r>
        <w:rPr>
          <w:rFonts w:hint="eastAsia"/>
        </w:rPr>
        <w:t>T</w:t>
      </w:r>
      <w:r>
        <w:rPr>
          <w:rFonts w:hint="eastAsia"/>
          <w:color w:val="000000"/>
        </w:rPr>
        <w:t xml:space="preserve">outes choses </w:t>
      </w:r>
      <w:r>
        <w:rPr>
          <w:rFonts w:hint="eastAsia"/>
          <w:color w:val="000000"/>
        </w:rPr>
        <w:t>é</w:t>
      </w:r>
      <w:r>
        <w:rPr>
          <w:rFonts w:hint="eastAsia"/>
          <w:color w:val="000000"/>
        </w:rPr>
        <w:t>gales par ailleurs.</w:t>
      </w:r>
    </w:p>
  </w:footnote>
  <w:footnote w:id="15">
    <w:p w14:paraId="07868A79" w14:textId="77777777" w:rsidR="00B63507" w:rsidRDefault="00B63507" w:rsidP="008862C7">
      <w:pPr>
        <w:autoSpaceDE w:val="0"/>
        <w:autoSpaceDN w:val="0"/>
        <w:adjustRightInd w:val="0"/>
        <w:jc w:val="both"/>
        <w:rPr>
          <w:rFonts w:ascii="Arial" w:hAnsi="Arial" w:cs="Arial"/>
          <w:color w:val="000000"/>
          <w:sz w:val="20"/>
          <w:szCs w:val="20"/>
        </w:rPr>
      </w:pPr>
      <w:r>
        <w:rPr>
          <w:rStyle w:val="Appelnotedebasdep"/>
          <w:rFonts w:ascii="Arial" w:hAnsi="Arial" w:cs="Arial"/>
          <w:b/>
          <w:sz w:val="20"/>
          <w:szCs w:val="20"/>
        </w:rPr>
        <w:footnoteRef/>
      </w:r>
      <w:r>
        <w:rPr>
          <w:rFonts w:ascii="Arial" w:hAnsi="Arial" w:cs="Arial"/>
          <w:sz w:val="20"/>
          <w:szCs w:val="20"/>
        </w:rPr>
        <w:t xml:space="preserve"> On distingue : </w:t>
      </w:r>
      <w:r>
        <w:rPr>
          <w:rFonts w:ascii="Arial" w:hAnsi="Arial" w:cs="Arial"/>
          <w:b/>
          <w:i/>
          <w:color w:val="000000"/>
          <w:sz w:val="20"/>
          <w:szCs w:val="20"/>
        </w:rPr>
        <w:t>la différenciation horizontale</w:t>
      </w:r>
      <w:r>
        <w:rPr>
          <w:rFonts w:ascii="Arial" w:hAnsi="Arial" w:cs="Arial"/>
          <w:b/>
          <w:color w:val="000000"/>
          <w:sz w:val="20"/>
          <w:szCs w:val="20"/>
        </w:rPr>
        <w:t xml:space="preserve"> </w:t>
      </w:r>
      <w:r>
        <w:rPr>
          <w:rFonts w:ascii="Arial" w:hAnsi="Arial" w:cs="Arial"/>
          <w:color w:val="000000"/>
          <w:sz w:val="20"/>
          <w:szCs w:val="20"/>
        </w:rPr>
        <w:t xml:space="preserve">où les produits présentent la même qualité mais sont distingués en raison de leurs caractéristiques réelles ou perçues et la </w:t>
      </w:r>
      <w:r>
        <w:rPr>
          <w:rFonts w:ascii="Arial" w:hAnsi="Arial" w:cs="Arial"/>
          <w:b/>
          <w:i/>
          <w:color w:val="000000"/>
          <w:sz w:val="20"/>
          <w:szCs w:val="20"/>
        </w:rPr>
        <w:t>différenciation verticale</w:t>
      </w:r>
      <w:r>
        <w:rPr>
          <w:rFonts w:ascii="Arial" w:hAnsi="Arial" w:cs="Arial"/>
          <w:b/>
          <w:color w:val="000000"/>
          <w:sz w:val="20"/>
          <w:szCs w:val="20"/>
        </w:rPr>
        <w:t xml:space="preserve"> </w:t>
      </w:r>
      <w:r>
        <w:rPr>
          <w:rFonts w:ascii="Arial" w:hAnsi="Arial" w:cs="Arial"/>
          <w:color w:val="000000"/>
          <w:sz w:val="20"/>
          <w:szCs w:val="20"/>
        </w:rPr>
        <w:t>où les</w:t>
      </w:r>
      <w:r>
        <w:rPr>
          <w:rFonts w:ascii="Arial" w:hAnsi="Arial" w:cs="Arial"/>
          <w:b/>
          <w:color w:val="000000"/>
          <w:sz w:val="20"/>
          <w:szCs w:val="20"/>
        </w:rPr>
        <w:t xml:space="preserve"> </w:t>
      </w:r>
      <w:r>
        <w:rPr>
          <w:rFonts w:ascii="Arial" w:hAnsi="Arial" w:cs="Arial"/>
          <w:color w:val="000000"/>
          <w:sz w:val="20"/>
          <w:szCs w:val="20"/>
        </w:rPr>
        <w:t>consommateurs sont confrontés à des produits qui sont de qualités différentes et donc à des prix différents.</w:t>
      </w:r>
    </w:p>
  </w:footnote>
  <w:footnote w:id="16">
    <w:p w14:paraId="4F7AE839"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Les travaux fondateurs ont été présentés respectivement par Hotelling, (1929) et Chamberlin, (1933).</w:t>
      </w:r>
    </w:p>
  </w:footnote>
  <w:footnote w:id="17">
    <w:p w14:paraId="392BA940" w14:textId="77777777" w:rsidR="00B63507" w:rsidRDefault="00B63507" w:rsidP="008862C7">
      <w:pPr>
        <w:autoSpaceDE w:val="0"/>
        <w:autoSpaceDN w:val="0"/>
        <w:adjustRightInd w:val="0"/>
        <w:jc w:val="both"/>
        <w:rPr>
          <w:rFonts w:ascii="Arial" w:hAnsi="Arial" w:cs="Arial"/>
          <w:sz w:val="20"/>
          <w:szCs w:val="20"/>
        </w:rPr>
      </w:pPr>
      <w:r>
        <w:rPr>
          <w:rStyle w:val="Appelnotedebasdep"/>
          <w:rFonts w:ascii="Arial" w:hAnsi="Arial" w:cs="Arial"/>
          <w:sz w:val="20"/>
          <w:szCs w:val="20"/>
        </w:rPr>
        <w:footnoteRef/>
      </w:r>
      <w:r>
        <w:rPr>
          <w:rFonts w:ascii="Arial" w:hAnsi="Arial" w:cs="Arial"/>
          <w:sz w:val="20"/>
          <w:szCs w:val="20"/>
        </w:rPr>
        <w:t xml:space="preserve"> Vanek considère que </w:t>
      </w:r>
      <w:r>
        <w:rPr>
          <w:rFonts w:ascii="Arial" w:hAnsi="Arial" w:cs="Arial"/>
          <w:iCs/>
          <w:sz w:val="20"/>
          <w:szCs w:val="20"/>
        </w:rPr>
        <w:t>ce ne sont pas des produits qui sont échangés, mais des services de facteurs de production</w:t>
      </w:r>
      <w:r>
        <w:rPr>
          <w:rFonts w:ascii="Arial" w:hAnsi="Arial" w:cs="Arial"/>
          <w:sz w:val="20"/>
          <w:szCs w:val="20"/>
        </w:rPr>
        <w:t xml:space="preserve">. A titre d’exemple, ce ne sont pas des articles d’habillement qui seront exportés par un pays en développement, mais des services du travail non qualifié. Finalement, </w:t>
      </w:r>
      <w:r>
        <w:rPr>
          <w:rFonts w:ascii="Arial" w:hAnsi="Arial" w:cs="Arial"/>
          <w:iCs/>
          <w:sz w:val="20"/>
          <w:szCs w:val="20"/>
        </w:rPr>
        <w:t>l’impact attendu du commerce international sur les rémunérations nationales dépend de la différence de contenu en services de facteurs entre la production nationale et le panier de consommation nationale.</w:t>
      </w:r>
    </w:p>
  </w:footnote>
  <w:footnote w:id="18">
    <w:p w14:paraId="5B08CE38" w14:textId="77777777" w:rsidR="00B63507" w:rsidRDefault="00B63507" w:rsidP="008862C7">
      <w:pPr>
        <w:pStyle w:val="Notedebasdepage"/>
        <w:jc w:val="both"/>
        <w:rPr>
          <w:rFonts w:ascii="Arial" w:hAnsi="Arial" w:cs="Arial"/>
        </w:rPr>
      </w:pPr>
      <w:r>
        <w:rPr>
          <w:rStyle w:val="Appelnotedebasdep"/>
          <w:rFonts w:ascii="Arial" w:hAnsi="Arial" w:cs="Arial"/>
          <w:b/>
        </w:rPr>
        <w:footnoteRef/>
      </w:r>
      <w:r>
        <w:rPr>
          <w:rFonts w:ascii="Arial" w:hAnsi="Arial" w:cs="Arial"/>
          <w:b/>
        </w:rPr>
        <w:t xml:space="preserve"> </w:t>
      </w:r>
      <w:r>
        <w:rPr>
          <w:rFonts w:ascii="Arial" w:hAnsi="Arial" w:cs="Arial"/>
        </w:rPr>
        <w:t>Ces résultats peuvent aussi s’expliquer par la structure du commerce de coton en AOC. En effet, contrairement aux producteurs occidentaux, chinois et américains ou une part significative de leur production est consommée au niveau national, en AOC c’est environ 90% de la production qui est destinée à l’exportation, ce qui accroit ces part de marché sur le marché mondial.</w:t>
      </w:r>
    </w:p>
  </w:footnote>
  <w:footnote w:id="19">
    <w:p w14:paraId="7BDC2F9A" w14:textId="77777777" w:rsidR="00B63507" w:rsidRDefault="00B63507" w:rsidP="008862C7">
      <w:pPr>
        <w:pStyle w:val="Notedebasdepage"/>
        <w:ind w:left="0" w:firstLine="0"/>
      </w:pPr>
      <w:r>
        <w:rPr>
          <w:rStyle w:val="Appelnotedebasdep"/>
          <w:rFonts w:ascii="Arial" w:hAnsi="Arial" w:cs="Arial"/>
          <w:b/>
        </w:rPr>
        <w:footnoteRef/>
      </w:r>
      <w:r>
        <w:rPr>
          <w:rFonts w:ascii="Arial" w:hAnsi="Arial" w:cs="Arial"/>
          <w:b/>
        </w:rPr>
        <w:t xml:space="preserve"> </w:t>
      </w:r>
      <w:r>
        <w:rPr>
          <w:rFonts w:ascii="Arial" w:hAnsi="Arial" w:cs="Arial"/>
        </w:rPr>
        <w:t xml:space="preserve">On entend par </w:t>
      </w:r>
      <w:r>
        <w:rPr>
          <w:rFonts w:ascii="Arial" w:hAnsi="Arial" w:cs="Arial"/>
          <w:b/>
          <w:i/>
        </w:rPr>
        <w:t>dumping </w:t>
      </w:r>
      <w:r>
        <w:rPr>
          <w:rFonts w:ascii="Arial" w:hAnsi="Arial" w:cs="Arial"/>
        </w:rPr>
        <w:t>: pratique anticoncurrentielle consistant à exporter et à vendre sur un marché étranger un produit à un prix inférieur de celui pratiqué dans le pays d’origine. On distingue généralement le « </w:t>
      </w:r>
      <w:r>
        <w:rPr>
          <w:rFonts w:ascii="Arial" w:hAnsi="Arial" w:cs="Arial"/>
          <w:b/>
          <w:i/>
        </w:rPr>
        <w:t>dumping économique</w:t>
      </w:r>
      <w:r>
        <w:rPr>
          <w:rFonts w:ascii="Arial" w:hAnsi="Arial" w:cs="Arial"/>
        </w:rPr>
        <w:t> »  qui traduits les diverses formes de soutien aux exportations expliquant le bas prix de certains produits dans le cadre d’échanges internationaux ; et le  « </w:t>
      </w:r>
      <w:r>
        <w:rPr>
          <w:rFonts w:ascii="Arial" w:hAnsi="Arial" w:cs="Arial"/>
          <w:b/>
          <w:i/>
        </w:rPr>
        <w:t>dumping social</w:t>
      </w:r>
      <w:r>
        <w:rPr>
          <w:rFonts w:ascii="Arial" w:hAnsi="Arial" w:cs="Arial"/>
        </w:rPr>
        <w:t xml:space="preserve"> »  employée pour désigner et stigmatiser les pays qui tirent un avantage compétitif de leurs coûts salariaux « anormalement » bas s’expliquant par la modicité des charges salariales, la faiblesse du niveau des salaires ou encore une durée du travail particulièrement élevée. </w:t>
      </w:r>
    </w:p>
  </w:footnote>
  <w:footnote w:id="20">
    <w:p w14:paraId="491B316A" w14:textId="77777777" w:rsidR="00B63507" w:rsidRDefault="00B63507" w:rsidP="008862C7">
      <w:pPr>
        <w:pStyle w:val="Notedebasdepage"/>
        <w:jc w:val="both"/>
        <w:rPr>
          <w:rFonts w:ascii="Arial" w:hAnsi="Arial" w:cs="Arial"/>
        </w:rPr>
      </w:pPr>
      <w:r>
        <w:rPr>
          <w:rStyle w:val="Appelnotedebasdep"/>
          <w:rFonts w:ascii="Arial" w:hAnsi="Arial" w:cs="Arial"/>
          <w:b/>
        </w:rPr>
        <w:footnoteRef/>
      </w:r>
      <w:r>
        <w:rPr>
          <w:rFonts w:ascii="Arial" w:hAnsi="Arial" w:cs="Arial"/>
        </w:rPr>
        <w:t xml:space="preserve"> Cet argument est prôné par les organismes tels que l’Agence Française de Développement (AFD) et Compagnie Française de Développement du Textile (CFDT)</w:t>
      </w:r>
    </w:p>
  </w:footnote>
  <w:footnote w:id="21">
    <w:p w14:paraId="33437CC3" w14:textId="77777777" w:rsidR="00B63507" w:rsidRDefault="00B63507" w:rsidP="008862C7">
      <w:pPr>
        <w:widowControl w:val="0"/>
        <w:autoSpaceDE w:val="0"/>
        <w:autoSpaceDN w:val="0"/>
        <w:adjustRightInd w:val="0"/>
        <w:spacing w:before="29"/>
        <w:ind w:left="116" w:right="-56"/>
        <w:rPr>
          <w:rFonts w:ascii="Calibri" w:hAnsi="Calibri" w:cs="Times New Roman"/>
          <w:sz w:val="20"/>
          <w:szCs w:val="20"/>
        </w:rPr>
      </w:pPr>
      <w:r>
        <w:rPr>
          <w:rStyle w:val="Appelnotedebasdep"/>
          <w:b/>
        </w:rPr>
        <w:footnoteRef/>
      </w:r>
      <w:r>
        <w:rPr>
          <w:b/>
          <w:sz w:val="20"/>
          <w:szCs w:val="20"/>
        </w:rPr>
        <w:t xml:space="preserve"> </w:t>
      </w:r>
      <w:r>
        <w:rPr>
          <w:spacing w:val="-1"/>
          <w:sz w:val="20"/>
          <w:szCs w:val="20"/>
        </w:rPr>
        <w:t>L</w:t>
      </w:r>
      <w:r>
        <w:rPr>
          <w:sz w:val="20"/>
          <w:szCs w:val="20"/>
        </w:rPr>
        <w:t>e</w:t>
      </w:r>
      <w:r>
        <w:rPr>
          <w:spacing w:val="-1"/>
          <w:sz w:val="20"/>
          <w:szCs w:val="20"/>
        </w:rPr>
        <w:t xml:space="preserve"> </w:t>
      </w:r>
      <w:r>
        <w:rPr>
          <w:sz w:val="20"/>
          <w:szCs w:val="20"/>
        </w:rPr>
        <w:t>c</w:t>
      </w:r>
      <w:r>
        <w:rPr>
          <w:spacing w:val="1"/>
          <w:sz w:val="20"/>
          <w:szCs w:val="20"/>
        </w:rPr>
        <w:t>oû</w:t>
      </w:r>
      <w:r>
        <w:rPr>
          <w:sz w:val="20"/>
          <w:szCs w:val="20"/>
        </w:rPr>
        <w:t>t</w:t>
      </w:r>
      <w:r>
        <w:rPr>
          <w:spacing w:val="-5"/>
          <w:sz w:val="20"/>
          <w:szCs w:val="20"/>
        </w:rPr>
        <w:t xml:space="preserve"> </w:t>
      </w:r>
      <w:r>
        <w:rPr>
          <w:spacing w:val="1"/>
          <w:sz w:val="20"/>
          <w:szCs w:val="20"/>
        </w:rPr>
        <w:t>d</w:t>
      </w:r>
      <w:r>
        <w:rPr>
          <w:sz w:val="20"/>
          <w:szCs w:val="20"/>
        </w:rPr>
        <w:t>e</w:t>
      </w:r>
      <w:r>
        <w:rPr>
          <w:spacing w:val="-1"/>
          <w:sz w:val="20"/>
          <w:szCs w:val="20"/>
        </w:rPr>
        <w:t xml:space="preserve"> </w:t>
      </w:r>
      <w:r>
        <w:rPr>
          <w:spacing w:val="1"/>
          <w:sz w:val="20"/>
          <w:szCs w:val="20"/>
        </w:rPr>
        <w:t>p</w:t>
      </w:r>
      <w:r>
        <w:rPr>
          <w:sz w:val="20"/>
          <w:szCs w:val="20"/>
        </w:rPr>
        <w:t>r</w:t>
      </w:r>
      <w:r>
        <w:rPr>
          <w:spacing w:val="1"/>
          <w:sz w:val="20"/>
          <w:szCs w:val="20"/>
        </w:rPr>
        <w:t>odu</w:t>
      </w:r>
      <w:r>
        <w:rPr>
          <w:sz w:val="20"/>
          <w:szCs w:val="20"/>
        </w:rPr>
        <w:t>c</w:t>
      </w:r>
      <w:r>
        <w:rPr>
          <w:spacing w:val="-1"/>
          <w:sz w:val="20"/>
          <w:szCs w:val="20"/>
        </w:rPr>
        <w:t>t</w:t>
      </w:r>
      <w:r>
        <w:rPr>
          <w:sz w:val="20"/>
          <w:szCs w:val="20"/>
        </w:rPr>
        <w:t>i</w:t>
      </w:r>
      <w:r>
        <w:rPr>
          <w:spacing w:val="1"/>
          <w:sz w:val="20"/>
          <w:szCs w:val="20"/>
        </w:rPr>
        <w:t>o</w:t>
      </w:r>
      <w:r>
        <w:rPr>
          <w:sz w:val="20"/>
          <w:szCs w:val="20"/>
        </w:rPr>
        <w:t>n</w:t>
      </w:r>
      <w:r>
        <w:rPr>
          <w:spacing w:val="-9"/>
          <w:sz w:val="20"/>
          <w:szCs w:val="20"/>
        </w:rPr>
        <w:t xml:space="preserve"> </w:t>
      </w:r>
      <w:r>
        <w:rPr>
          <w:spacing w:val="1"/>
          <w:sz w:val="20"/>
          <w:szCs w:val="20"/>
        </w:rPr>
        <w:t>p</w:t>
      </w:r>
      <w:r>
        <w:rPr>
          <w:sz w:val="20"/>
          <w:szCs w:val="20"/>
        </w:rPr>
        <w:t>ar</w:t>
      </w:r>
      <w:r>
        <w:rPr>
          <w:spacing w:val="-3"/>
          <w:sz w:val="20"/>
          <w:szCs w:val="20"/>
        </w:rPr>
        <w:t xml:space="preserve"> </w:t>
      </w:r>
      <w:r>
        <w:rPr>
          <w:sz w:val="20"/>
          <w:szCs w:val="20"/>
        </w:rPr>
        <w:t>kg</w:t>
      </w:r>
      <w:r>
        <w:rPr>
          <w:spacing w:val="-1"/>
          <w:sz w:val="20"/>
          <w:szCs w:val="20"/>
        </w:rPr>
        <w:t xml:space="preserve"> </w:t>
      </w:r>
      <w:r>
        <w:rPr>
          <w:spacing w:val="1"/>
          <w:sz w:val="20"/>
          <w:szCs w:val="20"/>
        </w:rPr>
        <w:t>d</w:t>
      </w:r>
      <w:r>
        <w:rPr>
          <w:sz w:val="20"/>
          <w:szCs w:val="20"/>
        </w:rPr>
        <w:t>e</w:t>
      </w:r>
      <w:r>
        <w:rPr>
          <w:spacing w:val="-1"/>
          <w:sz w:val="20"/>
          <w:szCs w:val="20"/>
        </w:rPr>
        <w:t xml:space="preserve"> </w:t>
      </w:r>
      <w:r>
        <w:rPr>
          <w:sz w:val="20"/>
          <w:szCs w:val="20"/>
        </w:rPr>
        <w:t>c</w:t>
      </w:r>
      <w:r>
        <w:rPr>
          <w:spacing w:val="1"/>
          <w:sz w:val="20"/>
          <w:szCs w:val="20"/>
        </w:rPr>
        <w:t>o</w:t>
      </w:r>
      <w:r>
        <w:rPr>
          <w:spacing w:val="-1"/>
          <w:sz w:val="20"/>
          <w:szCs w:val="20"/>
        </w:rPr>
        <w:t>t</w:t>
      </w:r>
      <w:r>
        <w:rPr>
          <w:spacing w:val="1"/>
          <w:sz w:val="20"/>
          <w:szCs w:val="20"/>
        </w:rPr>
        <w:t>o</w:t>
      </w:r>
      <w:r>
        <w:rPr>
          <w:sz w:val="20"/>
          <w:szCs w:val="20"/>
        </w:rPr>
        <w:t>n</w:t>
      </w:r>
      <w:r>
        <w:rPr>
          <w:spacing w:val="-4"/>
          <w:sz w:val="20"/>
          <w:szCs w:val="20"/>
        </w:rPr>
        <w:t xml:space="preserve"> </w:t>
      </w:r>
      <w:r>
        <w:rPr>
          <w:spacing w:val="1"/>
          <w:sz w:val="20"/>
          <w:szCs w:val="20"/>
        </w:rPr>
        <w:t>dép</w:t>
      </w:r>
      <w:r>
        <w:rPr>
          <w:sz w:val="20"/>
          <w:szCs w:val="20"/>
        </w:rPr>
        <w:t>a</w:t>
      </w:r>
      <w:r>
        <w:rPr>
          <w:spacing w:val="-1"/>
          <w:sz w:val="20"/>
          <w:szCs w:val="20"/>
        </w:rPr>
        <w:t>ss</w:t>
      </w:r>
      <w:r>
        <w:rPr>
          <w:sz w:val="20"/>
          <w:szCs w:val="20"/>
        </w:rPr>
        <w:t>a</w:t>
      </w:r>
      <w:r>
        <w:rPr>
          <w:spacing w:val="2"/>
          <w:sz w:val="20"/>
          <w:szCs w:val="20"/>
        </w:rPr>
        <w:t>i</w:t>
      </w:r>
      <w:r>
        <w:rPr>
          <w:sz w:val="20"/>
          <w:szCs w:val="20"/>
        </w:rPr>
        <w:t>t</w:t>
      </w:r>
      <w:r>
        <w:rPr>
          <w:spacing w:val="-10"/>
          <w:sz w:val="20"/>
          <w:szCs w:val="20"/>
        </w:rPr>
        <w:t xml:space="preserve"> </w:t>
      </w:r>
      <w:r>
        <w:rPr>
          <w:spacing w:val="1"/>
          <w:sz w:val="20"/>
          <w:szCs w:val="20"/>
        </w:rPr>
        <w:t>d</w:t>
      </w:r>
      <w:r>
        <w:rPr>
          <w:sz w:val="20"/>
          <w:szCs w:val="20"/>
        </w:rPr>
        <w:t>e</w:t>
      </w:r>
      <w:r>
        <w:rPr>
          <w:spacing w:val="1"/>
          <w:sz w:val="20"/>
          <w:szCs w:val="20"/>
        </w:rPr>
        <w:t xml:space="preserve"> </w:t>
      </w:r>
      <w:r>
        <w:rPr>
          <w:sz w:val="20"/>
          <w:szCs w:val="20"/>
        </w:rPr>
        <w:t>50%</w:t>
      </w:r>
      <w:r>
        <w:rPr>
          <w:spacing w:val="-4"/>
          <w:sz w:val="20"/>
          <w:szCs w:val="20"/>
        </w:rPr>
        <w:t xml:space="preserve"> </w:t>
      </w:r>
      <w:r>
        <w:rPr>
          <w:sz w:val="20"/>
          <w:szCs w:val="20"/>
        </w:rPr>
        <w:t>c</w:t>
      </w:r>
      <w:r>
        <w:rPr>
          <w:spacing w:val="1"/>
          <w:sz w:val="20"/>
          <w:szCs w:val="20"/>
        </w:rPr>
        <w:t>e</w:t>
      </w:r>
      <w:r>
        <w:rPr>
          <w:sz w:val="20"/>
          <w:szCs w:val="20"/>
        </w:rPr>
        <w:t>l</w:t>
      </w:r>
      <w:r>
        <w:rPr>
          <w:spacing w:val="1"/>
          <w:sz w:val="20"/>
          <w:szCs w:val="20"/>
        </w:rPr>
        <w:t>u</w:t>
      </w:r>
      <w:r>
        <w:rPr>
          <w:sz w:val="20"/>
          <w:szCs w:val="20"/>
        </w:rPr>
        <w:t>i</w:t>
      </w:r>
      <w:r>
        <w:rPr>
          <w:spacing w:val="-4"/>
          <w:sz w:val="20"/>
          <w:szCs w:val="20"/>
        </w:rPr>
        <w:t xml:space="preserve"> </w:t>
      </w:r>
      <w:r>
        <w:rPr>
          <w:spacing w:val="1"/>
          <w:sz w:val="20"/>
          <w:szCs w:val="20"/>
        </w:rPr>
        <w:t>d</w:t>
      </w:r>
      <w:r>
        <w:rPr>
          <w:spacing w:val="4"/>
          <w:sz w:val="20"/>
          <w:szCs w:val="20"/>
        </w:rPr>
        <w:t>e</w:t>
      </w:r>
      <w:r>
        <w:rPr>
          <w:sz w:val="20"/>
          <w:szCs w:val="20"/>
        </w:rPr>
        <w:t>s</w:t>
      </w:r>
      <w:r>
        <w:rPr>
          <w:spacing w:val="-4"/>
          <w:sz w:val="20"/>
          <w:szCs w:val="20"/>
        </w:rPr>
        <w:t xml:space="preserve"> </w:t>
      </w:r>
      <w:r>
        <w:rPr>
          <w:spacing w:val="1"/>
          <w:sz w:val="20"/>
          <w:szCs w:val="20"/>
        </w:rPr>
        <w:t>p</w:t>
      </w:r>
      <w:r>
        <w:rPr>
          <w:sz w:val="20"/>
          <w:szCs w:val="20"/>
        </w:rPr>
        <w:t>a</w:t>
      </w:r>
      <w:r>
        <w:rPr>
          <w:spacing w:val="1"/>
          <w:sz w:val="20"/>
          <w:szCs w:val="20"/>
        </w:rPr>
        <w:t>y</w:t>
      </w:r>
      <w:r>
        <w:rPr>
          <w:sz w:val="20"/>
          <w:szCs w:val="20"/>
        </w:rPr>
        <w:t>s</w:t>
      </w:r>
      <w:r>
        <w:rPr>
          <w:spacing w:val="-5"/>
          <w:sz w:val="20"/>
          <w:szCs w:val="20"/>
        </w:rPr>
        <w:t xml:space="preserve"> </w:t>
      </w:r>
      <w:r>
        <w:rPr>
          <w:spacing w:val="1"/>
          <w:sz w:val="20"/>
          <w:szCs w:val="20"/>
        </w:rPr>
        <w:t>d</w:t>
      </w:r>
      <w:r>
        <w:rPr>
          <w:sz w:val="20"/>
          <w:szCs w:val="20"/>
        </w:rPr>
        <w:t>e</w:t>
      </w:r>
      <w:r>
        <w:rPr>
          <w:spacing w:val="-1"/>
          <w:sz w:val="20"/>
          <w:szCs w:val="20"/>
        </w:rPr>
        <w:t xml:space="preserve"> </w:t>
      </w:r>
      <w:r>
        <w:rPr>
          <w:sz w:val="20"/>
          <w:szCs w:val="20"/>
        </w:rPr>
        <w:t>l</w:t>
      </w:r>
      <w:r>
        <w:rPr>
          <w:spacing w:val="2"/>
          <w:sz w:val="20"/>
          <w:szCs w:val="20"/>
        </w:rPr>
        <w:t>’</w:t>
      </w:r>
      <w:r>
        <w:rPr>
          <w:sz w:val="20"/>
          <w:szCs w:val="20"/>
        </w:rPr>
        <w:t>A</w:t>
      </w:r>
      <w:r>
        <w:rPr>
          <w:spacing w:val="1"/>
          <w:sz w:val="20"/>
          <w:szCs w:val="20"/>
        </w:rPr>
        <w:t>O</w:t>
      </w:r>
      <w:r>
        <w:rPr>
          <w:sz w:val="20"/>
          <w:szCs w:val="20"/>
        </w:rPr>
        <w:t>C.</w:t>
      </w:r>
    </w:p>
  </w:footnote>
  <w:footnote w:id="22">
    <w:p w14:paraId="3F1602BB" w14:textId="77777777" w:rsidR="00B63507" w:rsidRDefault="00B63507" w:rsidP="008862C7">
      <w:pPr>
        <w:autoSpaceDE w:val="0"/>
        <w:autoSpaceDN w:val="0"/>
        <w:adjustRightInd w:val="0"/>
        <w:jc w:val="both"/>
      </w:pPr>
      <w:r>
        <w:rPr>
          <w:rStyle w:val="Appelnotedebasdep"/>
          <w:rFonts w:ascii="Arial" w:hAnsi="Arial" w:cs="Arial"/>
          <w:b/>
          <w:sz w:val="20"/>
          <w:szCs w:val="20"/>
        </w:rPr>
        <w:footnoteRef/>
      </w:r>
      <w:r>
        <w:rPr>
          <w:rFonts w:ascii="Arial" w:hAnsi="Arial" w:cs="Arial"/>
          <w:sz w:val="20"/>
          <w:szCs w:val="20"/>
        </w:rPr>
        <w:t xml:space="preserve"> </w:t>
      </w:r>
      <w:r>
        <w:rPr>
          <w:rFonts w:ascii="Arial" w:hAnsi="Arial" w:cs="Arial"/>
          <w:color w:val="000000"/>
          <w:sz w:val="20"/>
          <w:szCs w:val="20"/>
        </w:rPr>
        <w:t>Cents $USA/livre (Indice A de Cotton Outlook), 1 livre de coton correspond à 0,4536 kg de coton fibre. Le marché de coton a deux cotations principales. La cotation à terme, pratiquement accessible seulement au coton d’origine américaine (New York Cotton Exchange ou Indice de Nyce) ; et la cotation de référence de Liverpool : Indice A en cents/livre, qualité midling 1’’3/32 en position CAF ports nord européens (Cotton Outlook) (Dello, 1997). C’est cette dernière cotation qui est utilisée dans notre étude.</w:t>
      </w:r>
    </w:p>
  </w:footnote>
  <w:footnote w:id="23">
    <w:p w14:paraId="4A739B1F" w14:textId="77777777" w:rsidR="00B63507" w:rsidRDefault="00B63507" w:rsidP="008862C7">
      <w:pPr>
        <w:pStyle w:val="Notedebasdepage"/>
        <w:spacing w:line="240" w:lineRule="auto"/>
        <w:jc w:val="both"/>
        <w:rPr>
          <w:rFonts w:ascii="Arial" w:hAnsi="Arial" w:cs="Arial"/>
        </w:rPr>
      </w:pPr>
      <w:r>
        <w:rPr>
          <w:rStyle w:val="Appelnotedebasdep"/>
          <w:rFonts w:ascii="Arial" w:hAnsi="Arial" w:cs="Arial"/>
          <w:b/>
        </w:rPr>
        <w:footnoteRef/>
      </w:r>
      <w:r>
        <w:rPr>
          <w:rFonts w:ascii="Arial" w:hAnsi="Arial" w:cs="Arial"/>
        </w:rPr>
        <w:t xml:space="preserve"> </w:t>
      </w:r>
      <w:r>
        <w:rPr>
          <w:rFonts w:ascii="Arial" w:hAnsi="Arial" w:cs="Arial"/>
        </w:rPr>
        <w:tab/>
        <w:t>Les</w:t>
      </w:r>
      <w:r>
        <w:rPr>
          <w:rFonts w:ascii="Arial" w:hAnsi="Arial" w:cs="Arial"/>
          <w:spacing w:val="1"/>
        </w:rPr>
        <w:t xml:space="preserve"> </w:t>
      </w:r>
      <w:r>
        <w:rPr>
          <w:rFonts w:ascii="Arial" w:hAnsi="Arial" w:cs="Arial"/>
        </w:rPr>
        <w:t>MAP</w:t>
      </w:r>
      <w:r>
        <w:rPr>
          <w:rFonts w:ascii="Arial" w:hAnsi="Arial" w:cs="Arial"/>
          <w:spacing w:val="1"/>
        </w:rPr>
        <w:t xml:space="preserve"> </w:t>
      </w:r>
      <w:r>
        <w:rPr>
          <w:rFonts w:ascii="Arial" w:hAnsi="Arial" w:cs="Arial"/>
        </w:rPr>
        <w:t>sont</w:t>
      </w:r>
      <w:r>
        <w:rPr>
          <w:rFonts w:ascii="Arial" w:hAnsi="Arial" w:cs="Arial"/>
          <w:spacing w:val="1"/>
        </w:rPr>
        <w:t xml:space="preserve"> </w:t>
      </w:r>
      <w:r>
        <w:rPr>
          <w:rFonts w:ascii="Arial" w:hAnsi="Arial" w:cs="Arial"/>
        </w:rPr>
        <w:t>des</w:t>
      </w:r>
      <w:r>
        <w:rPr>
          <w:rFonts w:ascii="Arial" w:hAnsi="Arial" w:cs="Arial"/>
          <w:spacing w:val="1"/>
        </w:rPr>
        <w:t xml:space="preserve"> </w:t>
      </w:r>
      <w:r>
        <w:rPr>
          <w:rFonts w:ascii="Arial" w:hAnsi="Arial" w:cs="Arial"/>
        </w:rPr>
        <w:t>tableaux</w:t>
      </w:r>
      <w:r>
        <w:rPr>
          <w:rFonts w:ascii="Arial" w:hAnsi="Arial" w:cs="Arial"/>
          <w:spacing w:val="1"/>
        </w:rPr>
        <w:t xml:space="preserve"> </w:t>
      </w:r>
      <w:r>
        <w:rPr>
          <w:rFonts w:ascii="Arial" w:hAnsi="Arial" w:cs="Arial"/>
        </w:rPr>
        <w:t>synthétiques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présentation</w:t>
      </w:r>
      <w:r>
        <w:rPr>
          <w:rFonts w:ascii="Arial" w:hAnsi="Arial" w:cs="Arial"/>
          <w:spacing w:val="1"/>
        </w:rPr>
        <w:t xml:space="preserve"> </w:t>
      </w:r>
      <w:r>
        <w:rPr>
          <w:rFonts w:ascii="Arial" w:hAnsi="Arial" w:cs="Arial"/>
        </w:rPr>
        <w:t>co</w:t>
      </w:r>
      <w:r>
        <w:rPr>
          <w:rFonts w:ascii="Arial" w:hAnsi="Arial" w:cs="Arial"/>
          <w:spacing w:val="-2"/>
        </w:rPr>
        <w:t>m</w:t>
      </w:r>
      <w:r>
        <w:rPr>
          <w:rFonts w:ascii="Arial" w:hAnsi="Arial" w:cs="Arial"/>
        </w:rPr>
        <w:t>parée</w:t>
      </w:r>
      <w:r>
        <w:rPr>
          <w:rFonts w:ascii="Arial" w:hAnsi="Arial" w:cs="Arial"/>
          <w:spacing w:val="1"/>
        </w:rPr>
        <w:t xml:space="preserve"> </w:t>
      </w:r>
      <w:r>
        <w:rPr>
          <w:rFonts w:ascii="Arial" w:hAnsi="Arial" w:cs="Arial"/>
        </w:rPr>
        <w:t>des</w:t>
      </w:r>
      <w:r>
        <w:rPr>
          <w:rFonts w:ascii="Arial" w:hAnsi="Arial" w:cs="Arial"/>
          <w:spacing w:val="1"/>
        </w:rPr>
        <w:t xml:space="preserve"> </w:t>
      </w:r>
      <w:r>
        <w:rPr>
          <w:rFonts w:ascii="Arial" w:hAnsi="Arial" w:cs="Arial"/>
        </w:rPr>
        <w:t>comptes d’expl</w:t>
      </w:r>
      <w:r>
        <w:rPr>
          <w:rFonts w:ascii="Arial" w:hAnsi="Arial" w:cs="Arial"/>
          <w:spacing w:val="-1"/>
        </w:rPr>
        <w:t>o</w:t>
      </w:r>
      <w:r>
        <w:rPr>
          <w:rFonts w:ascii="Arial" w:hAnsi="Arial" w:cs="Arial"/>
        </w:rPr>
        <w:t>it</w:t>
      </w:r>
      <w:r>
        <w:rPr>
          <w:rFonts w:ascii="Arial" w:hAnsi="Arial" w:cs="Arial"/>
          <w:spacing w:val="-1"/>
        </w:rPr>
        <w:t>a</w:t>
      </w:r>
      <w:r>
        <w:rPr>
          <w:rFonts w:ascii="Arial" w:hAnsi="Arial" w:cs="Arial"/>
        </w:rPr>
        <w:t>ti</w:t>
      </w:r>
      <w:r>
        <w:rPr>
          <w:rFonts w:ascii="Arial" w:hAnsi="Arial" w:cs="Arial"/>
          <w:spacing w:val="-1"/>
        </w:rPr>
        <w:t>o</w:t>
      </w:r>
      <w:r>
        <w:rPr>
          <w:rFonts w:ascii="Arial" w:hAnsi="Arial" w:cs="Arial"/>
        </w:rPr>
        <w:t>n</w:t>
      </w:r>
      <w:r>
        <w:rPr>
          <w:rFonts w:ascii="Arial" w:hAnsi="Arial" w:cs="Arial"/>
          <w:spacing w:val="1"/>
        </w:rPr>
        <w:t xml:space="preserve"> </w:t>
      </w:r>
      <w:r>
        <w:rPr>
          <w:rFonts w:ascii="Arial" w:hAnsi="Arial" w:cs="Arial"/>
        </w:rPr>
        <w:t>des</w:t>
      </w:r>
      <w:r>
        <w:rPr>
          <w:rFonts w:ascii="Arial" w:hAnsi="Arial" w:cs="Arial"/>
          <w:spacing w:val="1"/>
        </w:rPr>
        <w:t xml:space="preserve"> </w:t>
      </w:r>
      <w:r>
        <w:rPr>
          <w:rFonts w:ascii="Arial" w:hAnsi="Arial" w:cs="Arial"/>
          <w:spacing w:val="-1"/>
        </w:rPr>
        <w:t>f</w:t>
      </w:r>
      <w:r>
        <w:rPr>
          <w:rFonts w:ascii="Arial" w:hAnsi="Arial" w:cs="Arial"/>
        </w:rPr>
        <w:t>ilièr</w:t>
      </w:r>
      <w:r>
        <w:rPr>
          <w:rFonts w:ascii="Arial" w:hAnsi="Arial" w:cs="Arial"/>
          <w:spacing w:val="-1"/>
        </w:rPr>
        <w:t>e</w:t>
      </w:r>
      <w:r>
        <w:rPr>
          <w:rFonts w:ascii="Arial" w:hAnsi="Arial" w:cs="Arial"/>
        </w:rPr>
        <w:t>s</w:t>
      </w:r>
      <w:r>
        <w:rPr>
          <w:rFonts w:ascii="Arial" w:hAnsi="Arial" w:cs="Arial"/>
          <w:spacing w:val="1"/>
        </w:rPr>
        <w:t xml:space="preserve"> </w:t>
      </w:r>
      <w:r>
        <w:rPr>
          <w:rFonts w:ascii="Arial" w:hAnsi="Arial" w:cs="Arial"/>
        </w:rPr>
        <w:t>en</w:t>
      </w:r>
      <w:r>
        <w:rPr>
          <w:rFonts w:ascii="Arial" w:hAnsi="Arial" w:cs="Arial"/>
          <w:spacing w:val="1"/>
        </w:rPr>
        <w:t xml:space="preserve"> </w:t>
      </w:r>
      <w:r>
        <w:rPr>
          <w:rFonts w:ascii="Arial" w:hAnsi="Arial" w:cs="Arial"/>
        </w:rPr>
        <w:t>prix</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spacing w:val="-2"/>
        </w:rPr>
        <w:t>m</w:t>
      </w:r>
      <w:r>
        <w:rPr>
          <w:rFonts w:ascii="Arial" w:hAnsi="Arial" w:cs="Arial"/>
        </w:rPr>
        <w:t>arché</w:t>
      </w:r>
      <w:r>
        <w:rPr>
          <w:rFonts w:ascii="Arial" w:hAnsi="Arial" w:cs="Arial"/>
          <w:spacing w:val="1"/>
        </w:rPr>
        <w:t xml:space="preserve"> </w:t>
      </w:r>
      <w:r>
        <w:rPr>
          <w:rFonts w:ascii="Arial" w:hAnsi="Arial" w:cs="Arial"/>
        </w:rPr>
        <w:t>et</w:t>
      </w:r>
      <w:r>
        <w:rPr>
          <w:rFonts w:ascii="Arial" w:hAnsi="Arial" w:cs="Arial"/>
          <w:spacing w:val="1"/>
        </w:rPr>
        <w:t xml:space="preserve"> </w:t>
      </w:r>
      <w:r>
        <w:rPr>
          <w:rFonts w:ascii="Arial" w:hAnsi="Arial" w:cs="Arial"/>
        </w:rPr>
        <w:t>en</w:t>
      </w:r>
      <w:r>
        <w:rPr>
          <w:rFonts w:ascii="Arial" w:hAnsi="Arial" w:cs="Arial"/>
          <w:spacing w:val="1"/>
        </w:rPr>
        <w:t xml:space="preserve"> </w:t>
      </w:r>
      <w:r>
        <w:rPr>
          <w:rFonts w:ascii="Arial" w:hAnsi="Arial" w:cs="Arial"/>
        </w:rPr>
        <w:t>prix</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spacing w:val="-1"/>
        </w:rPr>
        <w:t>r</w:t>
      </w:r>
      <w:r>
        <w:rPr>
          <w:rFonts w:ascii="Arial" w:hAnsi="Arial" w:cs="Arial"/>
        </w:rPr>
        <w:t>é</w:t>
      </w:r>
      <w:r>
        <w:rPr>
          <w:rFonts w:ascii="Arial" w:hAnsi="Arial" w:cs="Arial"/>
          <w:spacing w:val="-1"/>
        </w:rPr>
        <w:t>f</w:t>
      </w:r>
      <w:r>
        <w:rPr>
          <w:rFonts w:ascii="Arial" w:hAnsi="Arial" w:cs="Arial"/>
        </w:rPr>
        <w:t>érence</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rPr>
        <w:t>nt</w:t>
      </w:r>
      <w:r>
        <w:rPr>
          <w:rFonts w:ascii="Arial" w:hAnsi="Arial" w:cs="Arial"/>
          <w:spacing w:val="1"/>
        </w:rPr>
        <w:t xml:space="preserve"> </w:t>
      </w:r>
      <w:r>
        <w:rPr>
          <w:rFonts w:ascii="Arial" w:hAnsi="Arial" w:cs="Arial"/>
        </w:rPr>
        <w:t>l’objectif est d’éval</w:t>
      </w:r>
      <w:r>
        <w:rPr>
          <w:rFonts w:ascii="Arial" w:hAnsi="Arial" w:cs="Arial"/>
          <w:spacing w:val="-1"/>
        </w:rPr>
        <w:t>u</w:t>
      </w:r>
      <w:r>
        <w:rPr>
          <w:rFonts w:ascii="Arial" w:hAnsi="Arial" w:cs="Arial"/>
        </w:rPr>
        <w:t>er</w:t>
      </w:r>
      <w:r>
        <w:rPr>
          <w:rFonts w:ascii="Arial" w:hAnsi="Arial" w:cs="Arial"/>
          <w:spacing w:val="1"/>
        </w:rPr>
        <w:t xml:space="preserve"> </w:t>
      </w:r>
      <w:r>
        <w:rPr>
          <w:rFonts w:ascii="Arial" w:hAnsi="Arial" w:cs="Arial"/>
        </w:rPr>
        <w:t>les</w:t>
      </w:r>
      <w:r>
        <w:rPr>
          <w:rFonts w:ascii="Arial" w:hAnsi="Arial" w:cs="Arial"/>
          <w:spacing w:val="1"/>
        </w:rPr>
        <w:t xml:space="preserve"> </w:t>
      </w:r>
      <w:r>
        <w:rPr>
          <w:rFonts w:ascii="Arial" w:hAnsi="Arial" w:cs="Arial"/>
        </w:rPr>
        <w:t>écarts.</w:t>
      </w:r>
    </w:p>
  </w:footnote>
  <w:footnote w:id="24">
    <w:p w14:paraId="5012D046" w14:textId="77777777" w:rsidR="00B63507" w:rsidRDefault="00B63507" w:rsidP="008862C7">
      <w:pPr>
        <w:autoSpaceDE w:val="0"/>
        <w:autoSpaceDN w:val="0"/>
        <w:adjustRightInd w:val="0"/>
        <w:spacing w:after="0" w:line="240" w:lineRule="auto"/>
        <w:jc w:val="both"/>
        <w:rPr>
          <w:rFonts w:ascii="Arial" w:hAnsi="Arial" w:cs="Arial"/>
          <w:sz w:val="20"/>
          <w:szCs w:val="20"/>
        </w:rPr>
      </w:pPr>
      <w:r>
        <w:rPr>
          <w:rStyle w:val="Appelnotedebasdep"/>
          <w:rFonts w:ascii="Arial" w:hAnsi="Arial" w:cs="Arial"/>
          <w:b/>
          <w:sz w:val="20"/>
          <w:szCs w:val="20"/>
        </w:rPr>
        <w:footnoteRef/>
      </w:r>
      <w:r>
        <w:rPr>
          <w:rFonts w:ascii="Arial" w:hAnsi="Arial" w:cs="Arial"/>
          <w:sz w:val="20"/>
          <w:szCs w:val="20"/>
        </w:rPr>
        <w:t xml:space="preserve"> </w:t>
      </w:r>
      <w:r>
        <w:rPr>
          <w:rFonts w:ascii="Arial" w:hAnsi="Arial" w:cs="Arial"/>
          <w:color w:val="000000"/>
          <w:sz w:val="20"/>
          <w:szCs w:val="20"/>
        </w:rPr>
        <w:t>Cette méthodologie a été proposée en 2000 par Michel Ternisien,  et Anne-Françoise Diguet lors d’une étude réalisée sur les « indicateurs et facteurs de compétitivité des services rendus à l’industrie »  à la demande du Ministère de l’Economie des Finances et de l’Industrie. France.</w:t>
      </w:r>
    </w:p>
  </w:footnote>
  <w:footnote w:id="25">
    <w:p w14:paraId="7CCCE95D" w14:textId="77777777" w:rsidR="00B63507" w:rsidRDefault="00B63507" w:rsidP="008862C7">
      <w:pPr>
        <w:autoSpaceDE w:val="0"/>
        <w:autoSpaceDN w:val="0"/>
        <w:adjustRightInd w:val="0"/>
        <w:spacing w:after="0" w:line="240" w:lineRule="auto"/>
        <w:jc w:val="both"/>
        <w:rPr>
          <w:rFonts w:ascii="Arial" w:hAnsi="Arial" w:cs="Arial"/>
          <w:sz w:val="20"/>
          <w:szCs w:val="20"/>
        </w:rPr>
      </w:pPr>
      <w:r>
        <w:rPr>
          <w:rStyle w:val="Appelnotedebasdep"/>
          <w:rFonts w:ascii="Arial" w:hAnsi="Arial" w:cs="Arial"/>
          <w:b/>
          <w:sz w:val="20"/>
          <w:szCs w:val="20"/>
        </w:rPr>
        <w:footnoteRef/>
      </w:r>
      <w:r>
        <w:rPr>
          <w:rFonts w:ascii="Arial" w:hAnsi="Arial" w:cs="Arial"/>
          <w:b/>
          <w:sz w:val="20"/>
          <w:szCs w:val="20"/>
        </w:rPr>
        <w:t xml:space="preserve"> </w:t>
      </w:r>
      <w:r>
        <w:rPr>
          <w:rFonts w:ascii="Arial" w:hAnsi="Arial" w:cs="Arial"/>
          <w:sz w:val="20"/>
          <w:szCs w:val="20"/>
        </w:rPr>
        <w:t xml:space="preserve"> </w:t>
      </w:r>
      <w:r>
        <w:rPr>
          <w:rFonts w:ascii="Arial" w:hAnsi="Arial" w:cs="Arial"/>
          <w:color w:val="000000"/>
          <w:sz w:val="20"/>
          <w:szCs w:val="20"/>
        </w:rPr>
        <w:t xml:space="preserve">Le principe d'une </w:t>
      </w:r>
      <w:r>
        <w:rPr>
          <w:rFonts w:ascii="Arial" w:hAnsi="Arial" w:cs="Arial"/>
          <w:b/>
          <w:i/>
          <w:color w:val="000000"/>
          <w:sz w:val="20"/>
          <w:szCs w:val="20"/>
        </w:rPr>
        <w:t>démarche par la notation</w:t>
      </w:r>
      <w:r>
        <w:rPr>
          <w:rFonts w:ascii="Arial" w:hAnsi="Arial" w:cs="Arial"/>
          <w:color w:val="000000"/>
          <w:sz w:val="20"/>
          <w:szCs w:val="20"/>
        </w:rPr>
        <w:t xml:space="preserve"> est aujourd'hui largement répandu. Il est des domaines où cette approche est usuelle depuis fort longtemps sans qu'il y ait de remise en cause fondamentale. Les agences de notation telles que MOODY's ou STANDARD &amp; POOR's recourent à une approche équivalente pour apprécier le risque des entreprises. L'Institut WATSON WYATT WORLWIDE utilise un index obtenu par une notation résultant d'une analyse des meilleures pratiques.</w:t>
      </w:r>
    </w:p>
  </w:footnote>
  <w:footnote w:id="26">
    <w:p w14:paraId="5C21901E" w14:textId="77777777" w:rsidR="00B63507" w:rsidRDefault="00B63507" w:rsidP="008862C7">
      <w:pPr>
        <w:pStyle w:val="Notedebasdepage"/>
        <w:spacing w:after="0" w:line="240" w:lineRule="auto"/>
        <w:rPr>
          <w:rFonts w:ascii="Arial" w:hAnsi="Arial" w:cs="Arial"/>
        </w:rPr>
      </w:pPr>
      <w:r>
        <w:rPr>
          <w:rStyle w:val="Appelnotedebasdep"/>
          <w:rFonts w:ascii="Arial" w:hAnsi="Arial" w:cs="Arial"/>
          <w:b/>
        </w:rPr>
        <w:footnoteRef/>
      </w:r>
      <w:r>
        <w:rPr>
          <w:rFonts w:ascii="Arial" w:hAnsi="Arial" w:cs="Arial"/>
          <w:b/>
        </w:rPr>
        <w:t xml:space="preserve"> </w:t>
      </w:r>
      <w:r>
        <w:rPr>
          <w:rFonts w:ascii="Arial" w:hAnsi="Arial" w:cs="Arial"/>
        </w:rPr>
        <w:t xml:space="preserve">Cette approche est celle de </w:t>
      </w:r>
      <w:r>
        <w:rPr>
          <w:rFonts w:ascii="Arial" w:hAnsi="Arial" w:cs="Arial"/>
          <w:color w:val="000000"/>
        </w:rPr>
        <w:t xml:space="preserve"> </w:t>
      </w:r>
      <w:r>
        <w:rPr>
          <w:rFonts w:ascii="Arial" w:hAnsi="Arial" w:cs="Arial"/>
          <w:bCs/>
          <w:color w:val="000000"/>
        </w:rPr>
        <w:t>Erkel-Rousse</w:t>
      </w:r>
      <w:r>
        <w:rPr>
          <w:rFonts w:ascii="Arial" w:hAnsi="Arial" w:cs="Arial"/>
          <w:color w:val="000000"/>
        </w:rPr>
        <w:t xml:space="preserve"> H. et Le Gallo F. (2002)</w:t>
      </w:r>
    </w:p>
  </w:footnote>
  <w:footnote w:id="27">
    <w:p w14:paraId="0EA2A824" w14:textId="77777777" w:rsidR="00B63507" w:rsidRDefault="00B63507" w:rsidP="008862C7">
      <w:pPr>
        <w:autoSpaceDE w:val="0"/>
        <w:autoSpaceDN w:val="0"/>
        <w:adjustRightInd w:val="0"/>
        <w:spacing w:after="0" w:line="240" w:lineRule="auto"/>
        <w:jc w:val="both"/>
        <w:rPr>
          <w:rFonts w:ascii="Arial" w:hAnsi="Arial" w:cs="Arial"/>
          <w:color w:val="000000"/>
          <w:sz w:val="20"/>
          <w:szCs w:val="20"/>
        </w:rPr>
      </w:pPr>
      <w:r>
        <w:rPr>
          <w:rStyle w:val="Appelnotedebasdep"/>
          <w:rFonts w:ascii="Arial" w:hAnsi="Arial" w:cs="Arial"/>
          <w:b/>
          <w:sz w:val="20"/>
          <w:szCs w:val="20"/>
        </w:rPr>
        <w:footnoteRef/>
      </w:r>
      <w:r>
        <w:rPr>
          <w:rFonts w:ascii="Arial" w:hAnsi="Arial" w:cs="Arial"/>
          <w:b/>
          <w:sz w:val="20"/>
          <w:szCs w:val="20"/>
        </w:rPr>
        <w:t xml:space="preserve"> </w:t>
      </w:r>
      <w:r>
        <w:rPr>
          <w:rFonts w:ascii="Arial" w:hAnsi="Arial" w:cs="Arial"/>
          <w:sz w:val="20"/>
          <w:szCs w:val="20"/>
        </w:rPr>
        <w:t xml:space="preserve">Selon les auteurs cette approche avaient déjà été proposé par </w:t>
      </w:r>
      <w:r>
        <w:rPr>
          <w:rFonts w:ascii="Arial" w:hAnsi="Arial" w:cs="Arial"/>
          <w:color w:val="000000"/>
          <w:sz w:val="20"/>
          <w:szCs w:val="20"/>
        </w:rPr>
        <w:t>Hallak J.-C (2003) puis Hallak J.-C et Scott P.-K (2005).</w:t>
      </w:r>
    </w:p>
    <w:p w14:paraId="11192D5F" w14:textId="77777777" w:rsidR="00B63507" w:rsidRDefault="00B63507" w:rsidP="008862C7">
      <w:pPr>
        <w:pStyle w:val="Notedebasdepage"/>
        <w:spacing w:after="0"/>
        <w:rPr>
          <w:rFonts w:ascii="Arial" w:hAnsi="Arial" w:cs="Arial"/>
        </w:rPr>
      </w:pPr>
    </w:p>
  </w:footnote>
  <w:footnote w:id="28">
    <w:p w14:paraId="0DEE4325" w14:textId="77777777" w:rsidR="00B63507" w:rsidRDefault="00B63507" w:rsidP="008862C7">
      <w:pPr>
        <w:spacing w:after="0" w:line="240" w:lineRule="auto"/>
        <w:jc w:val="both"/>
        <w:rPr>
          <w:rFonts w:ascii="Arial" w:hAnsi="Arial" w:cs="Arial"/>
          <w:color w:val="000000"/>
          <w:sz w:val="20"/>
          <w:szCs w:val="20"/>
        </w:rPr>
      </w:pPr>
      <w:r>
        <w:rPr>
          <w:rStyle w:val="Appelnotedebasdep"/>
          <w:rFonts w:ascii="Arial" w:hAnsi="Arial" w:cs="Arial"/>
          <w:b/>
          <w:color w:val="000000"/>
          <w:sz w:val="20"/>
          <w:szCs w:val="20"/>
        </w:rPr>
        <w:footnoteRef/>
      </w:r>
      <w:r>
        <w:rPr>
          <w:rFonts w:ascii="Arial" w:hAnsi="Arial" w:cs="Arial"/>
          <w:color w:val="000000"/>
          <w:sz w:val="20"/>
          <w:szCs w:val="20"/>
        </w:rPr>
        <w:t xml:space="preserve"> Ces sept  usines étaient abritées par les villes suivantes : Bossangoa, Bambari, Péndé, Guiffa, Ndim, Grimari et Alindao</w:t>
      </w:r>
    </w:p>
  </w:footnote>
  <w:footnote w:id="29">
    <w:p w14:paraId="0892ADAC" w14:textId="77777777" w:rsidR="00B63507" w:rsidRDefault="00B63507" w:rsidP="008862C7">
      <w:pPr>
        <w:pStyle w:val="Notedebasdepage"/>
        <w:spacing w:after="0" w:line="240" w:lineRule="auto"/>
        <w:jc w:val="both"/>
        <w:rPr>
          <w:rFonts w:ascii="Arial" w:hAnsi="Arial" w:cs="Arial"/>
        </w:rPr>
      </w:pPr>
      <w:r>
        <w:rPr>
          <w:rStyle w:val="Appelnotedebasdep"/>
          <w:rFonts w:ascii="Arial" w:hAnsi="Arial" w:cs="Arial"/>
          <w:b/>
        </w:rPr>
        <w:footnoteRef/>
      </w:r>
      <w:r>
        <w:rPr>
          <w:rFonts w:ascii="Arial" w:hAnsi="Arial" w:cs="Arial"/>
          <w:b/>
        </w:rPr>
        <w:t xml:space="preserve"> </w:t>
      </w:r>
      <w:r>
        <w:rPr>
          <w:rFonts w:ascii="Arial" w:hAnsi="Arial" w:cs="Arial"/>
          <w:color w:val="000000"/>
        </w:rPr>
        <w:t>Celle de Guiffa n’est de nouveau opérationnelle qu’à partir de la compagne 2011/2012.</w:t>
      </w:r>
    </w:p>
  </w:footnote>
  <w:footnote w:id="30">
    <w:p w14:paraId="7E1D610B" w14:textId="77777777" w:rsidR="00B63507" w:rsidRDefault="00B63507" w:rsidP="008862C7">
      <w:pPr>
        <w:pStyle w:val="Notedebasdepage"/>
        <w:spacing w:after="0"/>
        <w:jc w:val="both"/>
        <w:rPr>
          <w:rFonts w:ascii="Arial" w:hAnsi="Arial" w:cs="Arial"/>
        </w:rPr>
      </w:pPr>
      <w:r>
        <w:rPr>
          <w:rStyle w:val="Appelnotedebasdep"/>
          <w:rFonts w:ascii="Arial" w:hAnsi="Arial" w:cs="Arial"/>
          <w:b/>
        </w:rPr>
        <w:footnoteRef/>
      </w:r>
      <w:r>
        <w:rPr>
          <w:rFonts w:ascii="Arial" w:hAnsi="Arial" w:cs="Arial"/>
          <w:b/>
        </w:rPr>
        <w:t xml:space="preserve">  </w:t>
      </w:r>
      <w:r>
        <w:rPr>
          <w:rFonts w:ascii="Arial" w:hAnsi="Arial" w:cs="Arial"/>
        </w:rPr>
        <w:t>En phase de réfection, l’usine de Péndé n’est pas encore entièrement opérationnelle. Les travaux sont bloqués à cause des événements militaro politique que connait le pays depuis le 15 décembre 2012.</w:t>
      </w:r>
    </w:p>
  </w:footnote>
  <w:footnote w:id="31">
    <w:p w14:paraId="4820E0BA" w14:textId="77777777" w:rsidR="00B63507" w:rsidRDefault="00B63507" w:rsidP="008862C7">
      <w:pPr>
        <w:pStyle w:val="Notedebasdepage"/>
        <w:spacing w:line="240" w:lineRule="auto"/>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Les principaux  facteurs de production dans la filière cotonnière sont : la terre, le travail, les consommations intermédiaires (intrants chimiques et semence), les biens d'équipement (outils agricoles).</w:t>
      </w:r>
    </w:p>
  </w:footnote>
  <w:footnote w:id="32">
    <w:p w14:paraId="305A119E" w14:textId="77777777" w:rsidR="00B63507" w:rsidRDefault="00B63507" w:rsidP="008862C7">
      <w:pPr>
        <w:pStyle w:val="Notedebasdepage"/>
        <w:spacing w:after="0" w:line="240" w:lineRule="auto"/>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Conditions d'accès au foncier agricole (propriété, location, métayage, prêt avec ou sans contrepartie,), à la force de travail (familiale, rémunérée, entraide, convocation), aux intrants (auto-approvisionnement ou achat, directement sur le marché ou par l'intermédiaire d'une coopérative, d'un organisme d'encadrement, de l'acheteur des produits).</w:t>
      </w:r>
    </w:p>
  </w:footnote>
  <w:footnote w:id="33">
    <w:p w14:paraId="0A62B045" w14:textId="77777777" w:rsidR="00B63507" w:rsidRDefault="00B63507" w:rsidP="008862C7">
      <w:pPr>
        <w:pStyle w:val="Notedebasdepage"/>
        <w:spacing w:before="120" w:after="0" w:line="240" w:lineRule="auto"/>
        <w:jc w:val="both"/>
        <w:rPr>
          <w:rFonts w:ascii="Arial" w:hAnsi="Arial" w:cs="Arial"/>
        </w:rPr>
      </w:pPr>
      <w:r>
        <w:rPr>
          <w:rStyle w:val="Appelnotedebasdep"/>
          <w:rFonts w:ascii="Arial" w:hAnsi="Arial" w:cs="Arial"/>
        </w:rPr>
        <w:footnoteRef/>
      </w:r>
      <w:r>
        <w:rPr>
          <w:rFonts w:ascii="Arial" w:hAnsi="Arial" w:cs="Arial"/>
        </w:rPr>
        <w:t xml:space="preserve"> Choix de certaines cultures conciliables avec une activité à temps partiel, source de revenus qui peuvent être investis dans l'exploitation, possibilité de supporter pendant un certain temps des résultats d'exploitation déficitaires, etc.</w:t>
      </w:r>
    </w:p>
  </w:footnote>
  <w:footnote w:id="34">
    <w:p w14:paraId="071100B1" w14:textId="77777777" w:rsidR="00B63507" w:rsidRDefault="00B63507" w:rsidP="008862C7">
      <w:pPr>
        <w:pStyle w:val="Notedebasdepage"/>
        <w:rPr>
          <w:rFonts w:ascii="Arial" w:hAnsi="Arial" w:cs="Arial"/>
        </w:rPr>
      </w:pPr>
      <w:r>
        <w:rPr>
          <w:rStyle w:val="Appelnotedebasdep"/>
          <w:rFonts w:ascii="Arial" w:hAnsi="Arial" w:cs="Arial"/>
        </w:rPr>
        <w:footnoteRef/>
      </w:r>
      <w:r>
        <w:rPr>
          <w:rFonts w:ascii="Arial" w:hAnsi="Arial" w:cs="Arial"/>
        </w:rPr>
        <w:t xml:space="preserve"> L’aversion aux risques serait une fonction croissante de l’âge.</w:t>
      </w:r>
    </w:p>
  </w:footnote>
  <w:footnote w:id="35">
    <w:p w14:paraId="32542D90"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w:t>
      </w:r>
      <w:r>
        <w:rPr>
          <w:rFonts w:ascii="Arial" w:hAnsi="Arial" w:cs="Arial"/>
        </w:rPr>
        <w:tab/>
        <w:t>La Théorie du cycle de vie stipule que la maximisation de l’utilité dans le temps suppose que l’on adapte la consommation aux  flux du revenu futur attendu par le moyen de l’épargne et de l’endettement ; une épargne positive permet d’accumuler les actifs monétaires, financiers ou réels, et de se constituer un patrimoine. La liquidation de ce patrimoine assure le maintien de la consommation lorsque le revenu est insuffisant. Pour la plupart des individus, l’évolution du revenu dans le temps présente un profil qui dépend de l’âge : les revenus augmentent durant les premières années d’activités, atteint un maximum à l’âge adulte et diminue plus ou moins brutalement au moment de la retraite (âge de vieillesse)</w:t>
      </w:r>
    </w:p>
  </w:footnote>
  <w:footnote w:id="36">
    <w:p w14:paraId="6264CE0B" w14:textId="77777777" w:rsidR="00B63507" w:rsidRDefault="00B63507" w:rsidP="008862C7">
      <w:pPr>
        <w:pStyle w:val="Notedebasdepage"/>
        <w:spacing w:after="0"/>
        <w:jc w:val="both"/>
        <w:rPr>
          <w:rFonts w:ascii="Arial" w:hAnsi="Arial" w:cs="Arial"/>
        </w:rPr>
      </w:pPr>
      <w:r>
        <w:rPr>
          <w:rStyle w:val="Appelnotedebasdep"/>
          <w:rFonts w:ascii="Arial" w:hAnsi="Arial" w:cs="Arial"/>
          <w:b/>
        </w:rPr>
        <w:footnoteRef/>
      </w:r>
      <w:r>
        <w:rPr>
          <w:rFonts w:ascii="Arial" w:hAnsi="Arial" w:cs="Arial"/>
          <w:b/>
        </w:rPr>
        <w:t xml:space="preserve"> </w:t>
      </w:r>
      <w:r>
        <w:rPr>
          <w:rFonts w:ascii="Arial" w:hAnsi="Arial" w:cs="Arial"/>
        </w:rPr>
        <w:t>Les Groupements d’Intérêt Ruraux duquel est issue la Fédération des Producteurs de Coton l’Ouham et l’Ouham-Péndé (FPCO) dans le nord-est.</w:t>
      </w:r>
    </w:p>
  </w:footnote>
  <w:footnote w:id="37">
    <w:p w14:paraId="504168F1" w14:textId="77777777" w:rsidR="00B63507" w:rsidRDefault="00B63507" w:rsidP="008862C7">
      <w:pPr>
        <w:pStyle w:val="Notedebasdepage"/>
        <w:spacing w:after="0"/>
        <w:jc w:val="both"/>
        <w:rPr>
          <w:rFonts w:ascii="Arial" w:hAnsi="Arial" w:cs="Arial"/>
        </w:rPr>
      </w:pPr>
      <w:r>
        <w:rPr>
          <w:rStyle w:val="Appelnotedebasdep"/>
          <w:rFonts w:ascii="Arial" w:hAnsi="Arial" w:cs="Arial"/>
          <w:b/>
        </w:rPr>
        <w:footnoteRef/>
      </w:r>
      <w:r>
        <w:rPr>
          <w:rFonts w:ascii="Arial" w:hAnsi="Arial" w:cs="Arial"/>
        </w:rPr>
        <w:t xml:space="preserve"> L’Etat est un acteur important dans le système commercial du coton centrafricain. C’est lui qui fixe le prix d’achat du coton graine en collaboration avec les autres acteurs du système. Il a le monopole sur l’achat, la transformation et l’exportation du coton centrafricain.</w:t>
      </w:r>
    </w:p>
  </w:footnote>
  <w:footnote w:id="38">
    <w:p w14:paraId="7863C36F" w14:textId="77777777" w:rsidR="00B63507" w:rsidRDefault="00B63507" w:rsidP="008862C7">
      <w:pPr>
        <w:spacing w:after="0" w:line="240" w:lineRule="auto"/>
        <w:jc w:val="both"/>
        <w:rPr>
          <w:rFonts w:ascii="Arial" w:hAnsi="Arial" w:cs="Arial"/>
          <w:sz w:val="20"/>
          <w:szCs w:val="20"/>
        </w:rPr>
      </w:pPr>
      <w:r>
        <w:rPr>
          <w:rStyle w:val="Appelnotedebasdep"/>
          <w:rFonts w:ascii="Arial" w:hAnsi="Arial" w:cs="Arial"/>
          <w:b/>
          <w:sz w:val="20"/>
          <w:szCs w:val="20"/>
        </w:rPr>
        <w:footnoteRef/>
      </w:r>
      <w:r>
        <w:rPr>
          <w:rFonts w:ascii="Arial" w:hAnsi="Arial" w:cs="Arial"/>
          <w:sz w:val="20"/>
          <w:szCs w:val="20"/>
        </w:rPr>
        <w:t xml:space="preserve"> Les GIR jouent un rôle majeur dans l’initiation et la promotion des mouvements et actions socio-économique de leur localité. Dans plusieurs villages des régions cotonnières, on peut voir des dispensaires, pharmacies villageoises, maîtres parent, églises, forages et des municipalités bénéficier des dons et subventions accordé par les GIR de leur localité. </w:t>
      </w:r>
    </w:p>
    <w:p w14:paraId="264D6A05" w14:textId="77777777" w:rsidR="00B63507" w:rsidRDefault="00B63507" w:rsidP="008862C7">
      <w:pPr>
        <w:pStyle w:val="Notedebasdepage"/>
        <w:jc w:val="both"/>
      </w:pPr>
    </w:p>
  </w:footnote>
  <w:footnote w:id="39">
    <w:p w14:paraId="02E8FC7D" w14:textId="77777777" w:rsidR="00B63507" w:rsidRDefault="00B63507" w:rsidP="008862C7">
      <w:pPr>
        <w:pStyle w:val="Notedebasdepage"/>
        <w:spacing w:after="0"/>
        <w:jc w:val="both"/>
        <w:rPr>
          <w:rFonts w:ascii="Arial" w:hAnsi="Arial" w:cs="Arial"/>
        </w:rPr>
      </w:pPr>
      <w:r>
        <w:rPr>
          <w:rStyle w:val="Appelnotedebasdep"/>
          <w:rFonts w:ascii="Arial" w:hAnsi="Arial" w:cs="Arial"/>
        </w:rPr>
        <w:footnoteRef/>
      </w:r>
      <w:r>
        <w:rPr>
          <w:rFonts w:ascii="Arial" w:hAnsi="Arial" w:cs="Arial"/>
        </w:rPr>
        <w:t xml:space="preserve">  Il arrive souvent parfois que le payement prend des retard allant jusqu’à un voir deux ans après que le coton ait été levé chez le producteur, ce qui constitue la source de frustration et de découragement chez beaucoup de producteurs. </w:t>
      </w:r>
    </w:p>
  </w:footnote>
  <w:footnote w:id="40">
    <w:p w14:paraId="3F2B0381" w14:textId="77777777" w:rsidR="00B63507" w:rsidRDefault="00B63507" w:rsidP="008862C7">
      <w:pPr>
        <w:spacing w:after="0" w:line="240" w:lineRule="auto"/>
        <w:jc w:val="both"/>
        <w:rPr>
          <w:rFonts w:ascii="Calibri" w:hAnsi="Calibri" w:cs="Times New Roman"/>
          <w:sz w:val="20"/>
        </w:rPr>
      </w:pPr>
      <w:r>
        <w:rPr>
          <w:rStyle w:val="Appelnotedebasdep"/>
          <w:rFonts w:ascii="Arial" w:hAnsi="Arial" w:cs="Arial"/>
          <w:b/>
          <w:sz w:val="20"/>
        </w:rPr>
        <w:footnoteRef/>
      </w:r>
      <w:r>
        <w:rPr>
          <w:rFonts w:ascii="Arial" w:hAnsi="Arial" w:cs="Arial"/>
          <w:sz w:val="20"/>
        </w:rPr>
        <w:t xml:space="preserve"> Le coût d’usinage comprend : frais des produits de traitement et d’emballages (32 FCFA/Kg) ; coût du gas-oil et lubrifiant (41 FCFA/Kg), et coût de la main d’œuvre temporaire et saisonnier (18 FCFA/Kg) </w:t>
      </w:r>
    </w:p>
  </w:footnote>
  <w:footnote w:id="41">
    <w:p w14:paraId="70323944" w14:textId="77777777" w:rsidR="00B63507" w:rsidRDefault="00B63507" w:rsidP="008862C7">
      <w:pPr>
        <w:pStyle w:val="Notedebasdepage"/>
        <w:spacing w:after="0" w:line="240" w:lineRule="auto"/>
        <w:jc w:val="both"/>
        <w:rPr>
          <w:rFonts w:ascii="Arial" w:hAnsi="Arial" w:cs="Arial"/>
        </w:rPr>
      </w:pPr>
      <w:r>
        <w:rPr>
          <w:rStyle w:val="Appelnotedebasdep"/>
          <w:rFonts w:ascii="Arial" w:hAnsi="Arial" w:cs="Arial"/>
          <w:b/>
        </w:rPr>
        <w:footnoteRef/>
      </w:r>
      <w:r>
        <w:rPr>
          <w:rFonts w:ascii="Arial" w:hAnsi="Arial" w:cs="Arial"/>
        </w:rPr>
        <w:t xml:space="preserve"> La mise à FOB, ensemble des dépenses liées au transfert du coton fibre au port de Douala (131FCFA/Kg) comprend : le coût de transport usine-Douala (93 FCFA/Kg), les frais de stockage et de transit (33 FCFA/Kg) et la prestation des agents de vente (5 FCFA/Kg) ;</w:t>
      </w:r>
    </w:p>
    <w:p w14:paraId="51CBC888" w14:textId="77777777" w:rsidR="00B63507" w:rsidRDefault="00B63507" w:rsidP="008862C7">
      <w:pPr>
        <w:pStyle w:val="Notedebasdepage"/>
        <w:spacing w:after="0" w:line="240" w:lineRule="auto"/>
        <w:ind w:left="0" w:firstLine="0"/>
        <w:jc w:val="both"/>
        <w:rPr>
          <w:sz w:val="8"/>
        </w:rPr>
      </w:pPr>
    </w:p>
  </w:footnote>
  <w:footnote w:id="42">
    <w:p w14:paraId="11D8F9BA" w14:textId="77777777" w:rsidR="00B63507" w:rsidRDefault="00B63507" w:rsidP="008862C7">
      <w:pPr>
        <w:spacing w:after="0" w:line="240" w:lineRule="auto"/>
        <w:jc w:val="both"/>
        <w:rPr>
          <w:sz w:val="18"/>
        </w:rPr>
      </w:pPr>
      <w:r>
        <w:rPr>
          <w:rStyle w:val="Appelnotedebasdep"/>
        </w:rPr>
        <w:footnoteRef/>
      </w:r>
      <w:r>
        <w:t xml:space="preserve"> </w:t>
      </w:r>
      <w:r>
        <w:rPr>
          <w:rFonts w:ascii="Arial" w:hAnsi="Arial" w:cs="Arial"/>
          <w:sz w:val="20"/>
          <w:szCs w:val="24"/>
        </w:rPr>
        <w:t>C’est l’ensemble des dépenses de fonctionnement de la société elles sont donc peu variables. Le montant est de 114 FCFA/kg dont 34 FCFA/kg de salaires et indemnités.</w:t>
      </w:r>
    </w:p>
    <w:p w14:paraId="4BF112C3" w14:textId="77777777" w:rsidR="00B63507" w:rsidRDefault="00B63507" w:rsidP="008862C7">
      <w:pPr>
        <w:pStyle w:val="Notedebasdepage"/>
      </w:pPr>
    </w:p>
  </w:footnote>
  <w:footnote w:id="43">
    <w:p w14:paraId="7A699389" w14:textId="77777777" w:rsidR="00B63507" w:rsidRDefault="00B63507" w:rsidP="008862C7">
      <w:pPr>
        <w:pStyle w:val="Notedebasdepage"/>
        <w:spacing w:after="0"/>
        <w:jc w:val="both"/>
        <w:rPr>
          <w:rFonts w:ascii="Arial" w:hAnsi="Arial" w:cs="Arial"/>
        </w:rPr>
      </w:pPr>
      <w:r>
        <w:rPr>
          <w:rStyle w:val="Appelnotedebasdep"/>
          <w:rFonts w:ascii="Arial" w:hAnsi="Arial" w:cs="Arial"/>
        </w:rPr>
        <w:footnoteRef/>
      </w:r>
      <w:r>
        <w:rPr>
          <w:rFonts w:ascii="Arial" w:hAnsi="Arial" w:cs="Arial"/>
        </w:rPr>
        <w:t xml:space="preserve"> Anciennement New-York Board of Trade (NYBOT) et avant cela le NYCE (New-York Coton Exchange).</w:t>
      </w:r>
    </w:p>
  </w:footnote>
  <w:footnote w:id="44">
    <w:p w14:paraId="3F4DE0A9" w14:textId="77777777" w:rsidR="00B63507" w:rsidRDefault="00B63507" w:rsidP="008862C7">
      <w:pPr>
        <w:pStyle w:val="Notedebasdepage"/>
        <w:spacing w:after="0"/>
        <w:jc w:val="both"/>
      </w:pPr>
      <w:r>
        <w:rPr>
          <w:rStyle w:val="Appelnotedebasdep"/>
          <w:rFonts w:ascii="Arial" w:hAnsi="Arial" w:cs="Arial"/>
        </w:rPr>
        <w:footnoteRef/>
      </w:r>
      <w:r>
        <w:rPr>
          <w:rFonts w:ascii="Arial" w:hAnsi="Arial" w:cs="Arial"/>
        </w:rPr>
        <w:t xml:space="preserve"> On entend par marché convivial, un marché qui permet aux gens d’y être pleinement présent et d’en partager équitablement les fruits (PNUD, 2007).</w:t>
      </w:r>
    </w:p>
  </w:footnote>
  <w:footnote w:id="45">
    <w:p w14:paraId="29B090D5" w14:textId="77777777" w:rsidR="00B63507" w:rsidRDefault="00B63507" w:rsidP="008862C7">
      <w:pPr>
        <w:pStyle w:val="Notedebasdepage"/>
        <w:spacing w:after="0"/>
        <w:rPr>
          <w:rFonts w:ascii="Arial" w:hAnsi="Arial" w:cs="Arial"/>
        </w:rPr>
      </w:pPr>
      <w:r>
        <w:rPr>
          <w:rStyle w:val="Appelnotedebasdep"/>
          <w:rFonts w:ascii="Arial" w:hAnsi="Arial" w:cs="Arial"/>
        </w:rPr>
        <w:footnoteRef/>
      </w:r>
      <w:r>
        <w:rPr>
          <w:rFonts w:ascii="Arial" w:hAnsi="Arial" w:cs="Arial"/>
        </w:rPr>
        <w:t xml:space="preserve">  Amélioration du rendement à l’hectare de coton graine</w:t>
      </w:r>
    </w:p>
  </w:footnote>
  <w:footnote w:id="46">
    <w:p w14:paraId="75B10242"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Coûts de production et coût de commercialisation du coton graine et du coton fibre étudié dans le chapitre précédent.</w:t>
      </w:r>
    </w:p>
  </w:footnote>
  <w:footnote w:id="47">
    <w:p w14:paraId="22B097BD" w14:textId="77777777" w:rsidR="00B63507" w:rsidRDefault="00B63507" w:rsidP="008862C7">
      <w:pPr>
        <w:pStyle w:val="Notedebasdepage"/>
        <w:jc w:val="both"/>
        <w:rPr>
          <w:rFonts w:ascii="Arial" w:hAnsi="Arial" w:cs="Arial"/>
        </w:rPr>
      </w:pPr>
      <w:r>
        <w:rPr>
          <w:rStyle w:val="Appelnotedebasdep"/>
          <w:rFonts w:ascii="Arial" w:hAnsi="Arial" w:cs="Arial"/>
        </w:rPr>
        <w:footnoteRef/>
      </w:r>
      <w:r>
        <w:rPr>
          <w:rFonts w:ascii="Arial" w:hAnsi="Arial" w:cs="Arial"/>
        </w:rPr>
        <w:t xml:space="preserve"> Le seuil du standard américain retenu dans l’indice A de Cotlook est de 1-3/32 pouces, ce qui correspond au GOZO 125 dans le standard centrafricain. Donc le BOJA 129 et le JIBA 127 sont des qualités supérieur à la normale et sont donc sources de surcote alors que les qualités inférieur au GOZO sont sources de décoté</w:t>
      </w:r>
    </w:p>
  </w:footnote>
  <w:footnote w:id="48">
    <w:p w14:paraId="6BB9E794" w14:textId="77777777" w:rsidR="00B63507" w:rsidRDefault="00B63507" w:rsidP="008862C7">
      <w:pPr>
        <w:pStyle w:val="Notedebasdepage"/>
        <w:rPr>
          <w:rFonts w:ascii="Cambria" w:hAnsi="Cambria"/>
        </w:rPr>
      </w:pPr>
      <w:r>
        <w:rPr>
          <w:rStyle w:val="Appelnotedebasdep"/>
          <w:rFonts w:ascii="Cambria" w:hAnsi="Cambria"/>
        </w:rPr>
        <w:footnoteRef/>
      </w:r>
      <w:r>
        <w:rPr>
          <w:rFonts w:ascii="Cambria" w:hAnsi="Cambria"/>
        </w:rPr>
        <w:t xml:space="preserve"> </w:t>
      </w:r>
      <w:r>
        <w:rPr>
          <w:rFonts w:ascii="Cambria" w:hAnsi="Cambria" w:cs="Arial"/>
        </w:rPr>
        <w:t>La France accordait une garantie de convertibilité à taux fixe par rapport au Franc Français à l’ensemble de  pays d’Afrique subsaharienne membre de la zone franc</w:t>
      </w:r>
    </w:p>
  </w:footnote>
  <w:footnote w:id="49">
    <w:p w14:paraId="55F60243" w14:textId="77777777" w:rsidR="00B63507" w:rsidRDefault="00B63507" w:rsidP="008862C7">
      <w:pPr>
        <w:pStyle w:val="Notedebasdepage"/>
        <w:rPr>
          <w:rFonts w:ascii="Arial" w:hAnsi="Arial" w:cs="Arial"/>
        </w:rPr>
      </w:pPr>
      <w:r>
        <w:rPr>
          <w:rStyle w:val="Appelnotedebasdep"/>
          <w:rFonts w:ascii="Arial" w:hAnsi="Arial" w:cs="Arial"/>
        </w:rPr>
        <w:footnoteRef/>
      </w:r>
      <w:r>
        <w:rPr>
          <w:rFonts w:ascii="Arial" w:hAnsi="Arial" w:cs="Arial"/>
        </w:rPr>
        <w:t xml:space="preserve"> On entend par là l’état (le niveau de développement) des infrastructures nationales de transport, le mode de transport  utilisé (voie routière ou ferroviaire)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8F0"/>
    <w:multiLevelType w:val="hybridMultilevel"/>
    <w:tmpl w:val="B99AF4EC"/>
    <w:lvl w:ilvl="0" w:tplc="CC16124E">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48D578C"/>
    <w:multiLevelType w:val="multilevel"/>
    <w:tmpl w:val="BC583398"/>
    <w:lvl w:ilvl="0">
      <w:start w:val="1"/>
      <w:numFmt w:val="upperRoman"/>
      <w:lvlText w:val="%1."/>
      <w:lvlJc w:val="left"/>
      <w:pPr>
        <w:ind w:left="720" w:hanging="720"/>
      </w:pPr>
      <w:rPr>
        <w:rFonts w:ascii="Arial" w:hAnsi="Arial" w:cs="Arial" w:hint="default"/>
        <w:sz w:val="24"/>
        <w:szCs w:val="24"/>
      </w:rPr>
    </w:lvl>
    <w:lvl w:ilvl="1">
      <w:start w:val="1"/>
      <w:numFmt w:val="decimal"/>
      <w:isLgl/>
      <w:lvlText w:val="%1.%2."/>
      <w:lvlJc w:val="left"/>
      <w:pPr>
        <w:ind w:left="720" w:hanging="720"/>
      </w:pPr>
    </w:lvl>
    <w:lvl w:ilvl="2">
      <w:start w:val="1"/>
      <w:numFmt w:val="lowerLetter"/>
      <w:isLgl/>
      <w:lvlText w:val="%3."/>
      <w:lvlJc w:val="left"/>
      <w:pPr>
        <w:ind w:left="720" w:hanging="720"/>
      </w:pPr>
      <w:rPr>
        <w:rFonts w:ascii="Arial" w:eastAsia="Times New Roman" w:hAnsi="Arial" w:cs="Arial"/>
      </w:rPr>
    </w:lvl>
    <w:lvl w:ilvl="3">
      <w:start w:val="1"/>
      <w:numFmt w:val="decimal"/>
      <w:isLgl/>
      <w:lvlText w:val="%1.%2.%3.%4."/>
      <w:lvlJc w:val="left"/>
      <w:pPr>
        <w:ind w:left="1080" w:hanging="1080"/>
      </w:pPr>
      <w:rPr>
        <w:b/>
        <w:color w:val="auto"/>
        <w:sz w:val="24"/>
      </w:r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55F2C31"/>
    <w:multiLevelType w:val="hybridMultilevel"/>
    <w:tmpl w:val="19147298"/>
    <w:lvl w:ilvl="0" w:tplc="E8C437F6">
      <w:start w:val="1"/>
      <w:numFmt w:val="lowerRoman"/>
      <w:lvlText w:val="%1."/>
      <w:lvlJc w:val="righ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 w15:restartNumberingAfterBreak="0">
    <w:nsid w:val="05BA52B4"/>
    <w:multiLevelType w:val="hybridMultilevel"/>
    <w:tmpl w:val="03B6CF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6035C9A"/>
    <w:multiLevelType w:val="hybridMultilevel"/>
    <w:tmpl w:val="47DC5094"/>
    <w:lvl w:ilvl="0" w:tplc="85383694">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0A785511"/>
    <w:multiLevelType w:val="hybridMultilevel"/>
    <w:tmpl w:val="A7562F9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0AA22172"/>
    <w:multiLevelType w:val="hybridMultilevel"/>
    <w:tmpl w:val="1E144190"/>
    <w:lvl w:ilvl="0" w:tplc="8B2A6590">
      <w:start w:val="1"/>
      <w:numFmt w:val="decimal"/>
      <w:lvlText w:val="%1)"/>
      <w:lvlJc w:val="left"/>
      <w:pPr>
        <w:ind w:left="928" w:hanging="360"/>
      </w:pPr>
      <w:rPr>
        <w:rFonts w:ascii="Cambria Math" w:hAnsi="Cambria Math" w:cs="Arial" w:hint="default"/>
        <w:b w:val="0"/>
        <w:i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0B7F4974"/>
    <w:multiLevelType w:val="hybridMultilevel"/>
    <w:tmpl w:val="718C9680"/>
    <w:lvl w:ilvl="0" w:tplc="0EC86050">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0B950E64"/>
    <w:multiLevelType w:val="hybridMultilevel"/>
    <w:tmpl w:val="FB7C7382"/>
    <w:lvl w:ilvl="0" w:tplc="A664D0EE">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0CC10374"/>
    <w:multiLevelType w:val="hybridMultilevel"/>
    <w:tmpl w:val="69369CFE"/>
    <w:lvl w:ilvl="0" w:tplc="1AEC1FB2">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0DCF0372"/>
    <w:multiLevelType w:val="hybridMultilevel"/>
    <w:tmpl w:val="A10CE4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F167E77"/>
    <w:multiLevelType w:val="hybridMultilevel"/>
    <w:tmpl w:val="AC167640"/>
    <w:lvl w:ilvl="0" w:tplc="040C001B">
      <w:start w:val="1"/>
      <w:numFmt w:val="lowerRoman"/>
      <w:lvlText w:val="%1."/>
      <w:lvlJc w:val="righ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10FC56AC"/>
    <w:multiLevelType w:val="hybridMultilevel"/>
    <w:tmpl w:val="05305F8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45D5E21"/>
    <w:multiLevelType w:val="hybridMultilevel"/>
    <w:tmpl w:val="C568AF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5AB027F"/>
    <w:multiLevelType w:val="hybridMultilevel"/>
    <w:tmpl w:val="302444FC"/>
    <w:lvl w:ilvl="0" w:tplc="040C000D">
      <w:start w:val="1"/>
      <w:numFmt w:val="bullet"/>
      <w:lvlText w:val=""/>
      <w:lvlJc w:val="left"/>
      <w:pPr>
        <w:ind w:left="720" w:hanging="360"/>
      </w:pPr>
      <w:rPr>
        <w:rFonts w:ascii="Wingdings" w:hAnsi="Wingdings" w:hint="default"/>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7FF5550"/>
    <w:multiLevelType w:val="multilevel"/>
    <w:tmpl w:val="6A0239EA"/>
    <w:lvl w:ilvl="0">
      <w:start w:val="2"/>
      <w:numFmt w:val="decimal"/>
      <w:lvlText w:val="%1."/>
      <w:lvlJc w:val="left"/>
      <w:pPr>
        <w:ind w:left="900" w:hanging="900"/>
      </w:pPr>
    </w:lvl>
    <w:lvl w:ilvl="1">
      <w:start w:val="2"/>
      <w:numFmt w:val="decimal"/>
      <w:lvlText w:val="%1.%2."/>
      <w:lvlJc w:val="left"/>
      <w:pPr>
        <w:ind w:left="900" w:hanging="900"/>
      </w:pPr>
    </w:lvl>
    <w:lvl w:ilvl="2">
      <w:start w:val="1"/>
      <w:numFmt w:val="decimal"/>
      <w:lvlText w:val="%1.%2.%3."/>
      <w:lvlJc w:val="left"/>
      <w:pPr>
        <w:ind w:left="900" w:hanging="900"/>
      </w:pPr>
    </w:lvl>
    <w:lvl w:ilvl="3">
      <w:start w:val="2"/>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6" w15:restartNumberingAfterBreak="0">
    <w:nsid w:val="1C0D43BD"/>
    <w:multiLevelType w:val="multilevel"/>
    <w:tmpl w:val="4834689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15:restartNumberingAfterBreak="0">
    <w:nsid w:val="1C261D4E"/>
    <w:multiLevelType w:val="hybridMultilevel"/>
    <w:tmpl w:val="19CADE90"/>
    <w:lvl w:ilvl="0" w:tplc="120E09EC">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1C5061FA"/>
    <w:multiLevelType w:val="hybridMultilevel"/>
    <w:tmpl w:val="2000E1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1DA60D5E"/>
    <w:multiLevelType w:val="hybridMultilevel"/>
    <w:tmpl w:val="140EA1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E432986"/>
    <w:multiLevelType w:val="hybridMultilevel"/>
    <w:tmpl w:val="017644B4"/>
    <w:lvl w:ilvl="0" w:tplc="1A521034">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1F0F46B3"/>
    <w:multiLevelType w:val="hybridMultilevel"/>
    <w:tmpl w:val="18805B3E"/>
    <w:lvl w:ilvl="0" w:tplc="F69443EC">
      <w:start w:val="1"/>
      <w:numFmt w:val="bullet"/>
      <w:lvlText w:val="-"/>
      <w:lvlJc w:val="left"/>
      <w:pPr>
        <w:ind w:left="1776" w:hanging="360"/>
      </w:pPr>
      <w:rPr>
        <w:rFonts w:ascii="Calibri" w:eastAsia="Calibr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22" w15:restartNumberingAfterBreak="0">
    <w:nsid w:val="207B5945"/>
    <w:multiLevelType w:val="hybridMultilevel"/>
    <w:tmpl w:val="3454C9C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20B86192"/>
    <w:multiLevelType w:val="multilevel"/>
    <w:tmpl w:val="C4E61E28"/>
    <w:lvl w:ilvl="0">
      <w:start w:val="2"/>
      <w:numFmt w:val="decimal"/>
      <w:lvlText w:val="%1."/>
      <w:lvlJc w:val="left"/>
      <w:pPr>
        <w:ind w:left="390" w:hanging="39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2160" w:hanging="2160"/>
      </w:pPr>
      <w:rPr>
        <w:color w:val="auto"/>
      </w:rPr>
    </w:lvl>
  </w:abstractNum>
  <w:abstractNum w:abstractNumId="24" w15:restartNumberingAfterBreak="0">
    <w:nsid w:val="20ED6E43"/>
    <w:multiLevelType w:val="multilevel"/>
    <w:tmpl w:val="BC409676"/>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21AD2CF1"/>
    <w:multiLevelType w:val="hybridMultilevel"/>
    <w:tmpl w:val="761EEA64"/>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26" w15:restartNumberingAfterBreak="0">
    <w:nsid w:val="228745D3"/>
    <w:multiLevelType w:val="hybridMultilevel"/>
    <w:tmpl w:val="7F1CC150"/>
    <w:lvl w:ilvl="0" w:tplc="F1D40252">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244A6C7B"/>
    <w:multiLevelType w:val="hybridMultilevel"/>
    <w:tmpl w:val="70CCA02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82B3400"/>
    <w:multiLevelType w:val="hybridMultilevel"/>
    <w:tmpl w:val="65D2A622"/>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9" w15:restartNumberingAfterBreak="0">
    <w:nsid w:val="292A6182"/>
    <w:multiLevelType w:val="multilevel"/>
    <w:tmpl w:val="4AB43702"/>
    <w:lvl w:ilvl="0">
      <w:start w:val="1"/>
      <w:numFmt w:val="upperRoman"/>
      <w:lvlText w:val="%1."/>
      <w:lvlJc w:val="left"/>
      <w:pPr>
        <w:ind w:left="720" w:hanging="720"/>
      </w:pPr>
    </w:lvl>
    <w:lvl w:ilvl="1">
      <w:start w:val="1"/>
      <w:numFmt w:val="decimal"/>
      <w:isLgl/>
      <w:lvlText w:val="%1.%2."/>
      <w:lvlJc w:val="left"/>
      <w:pPr>
        <w:ind w:left="720" w:hanging="720"/>
      </w:pPr>
      <w:rPr>
        <w:b/>
      </w:rPr>
    </w:lvl>
    <w:lvl w:ilvl="2">
      <w:start w:val="1"/>
      <w:numFmt w:val="decimal"/>
      <w:isLgl/>
      <w:lvlText w:val="%1.%2.%3."/>
      <w:lvlJc w:val="left"/>
      <w:pPr>
        <w:ind w:left="720" w:hanging="720"/>
      </w:pPr>
      <w:rPr>
        <w:b/>
      </w:rPr>
    </w:lvl>
    <w:lvl w:ilvl="3">
      <w:start w:val="1"/>
      <w:numFmt w:val="decimal"/>
      <w:isLgl/>
      <w:lvlText w:val="%1.%2.%3.%4."/>
      <w:lvlJc w:val="left"/>
      <w:pPr>
        <w:ind w:left="1080" w:hanging="1080"/>
      </w:pPr>
      <w:rPr>
        <w:b/>
      </w:r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0" w15:restartNumberingAfterBreak="0">
    <w:nsid w:val="2C450A44"/>
    <w:multiLevelType w:val="hybridMultilevel"/>
    <w:tmpl w:val="14EAC8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2C7543F7"/>
    <w:multiLevelType w:val="hybridMultilevel"/>
    <w:tmpl w:val="58C84FD2"/>
    <w:lvl w:ilvl="0" w:tplc="E9002336">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2D2A57E5"/>
    <w:multiLevelType w:val="multilevel"/>
    <w:tmpl w:val="07549F18"/>
    <w:lvl w:ilvl="0">
      <w:start w:val="1"/>
      <w:numFmt w:val="decimal"/>
      <w:lvlText w:val="%1."/>
      <w:lvlJc w:val="left"/>
      <w:pPr>
        <w:ind w:left="390" w:hanging="390"/>
      </w:p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2E1E6959"/>
    <w:multiLevelType w:val="hybridMultilevel"/>
    <w:tmpl w:val="A8FEAFEE"/>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4" w15:restartNumberingAfterBreak="0">
    <w:nsid w:val="2E890985"/>
    <w:multiLevelType w:val="multilevel"/>
    <w:tmpl w:val="3F0AD0EE"/>
    <w:lvl w:ilvl="0">
      <w:start w:val="1"/>
      <w:numFmt w:val="decimal"/>
      <w:lvlText w:val="%1."/>
      <w:lvlJc w:val="left"/>
      <w:pPr>
        <w:ind w:left="585" w:hanging="585"/>
      </w:pPr>
    </w:lvl>
    <w:lvl w:ilvl="1">
      <w:start w:val="1"/>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2FC14CD8"/>
    <w:multiLevelType w:val="hybridMultilevel"/>
    <w:tmpl w:val="8FCACD44"/>
    <w:lvl w:ilvl="0" w:tplc="5CE43542">
      <w:start w:val="500"/>
      <w:numFmt w:val="lowerRoman"/>
      <w:lvlText w:val="%1."/>
      <w:lvlJc w:val="left"/>
      <w:pPr>
        <w:ind w:left="1789" w:hanging="720"/>
      </w:pPr>
      <w:rPr>
        <w:i w:val="0"/>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6" w15:restartNumberingAfterBreak="0">
    <w:nsid w:val="3278715B"/>
    <w:multiLevelType w:val="hybridMultilevel"/>
    <w:tmpl w:val="3062ACCC"/>
    <w:lvl w:ilvl="0" w:tplc="B4DE1A46">
      <w:start w:val="1"/>
      <w:numFmt w:val="lowerRoman"/>
      <w:lvlText w:val="(%1)"/>
      <w:lvlJc w:val="left"/>
      <w:pPr>
        <w:ind w:left="1089" w:hanging="720"/>
      </w:pPr>
    </w:lvl>
    <w:lvl w:ilvl="1" w:tplc="040C0019">
      <w:start w:val="1"/>
      <w:numFmt w:val="lowerLetter"/>
      <w:lvlText w:val="%2."/>
      <w:lvlJc w:val="left"/>
      <w:pPr>
        <w:ind w:left="1449" w:hanging="360"/>
      </w:pPr>
    </w:lvl>
    <w:lvl w:ilvl="2" w:tplc="040C001B">
      <w:start w:val="1"/>
      <w:numFmt w:val="lowerRoman"/>
      <w:lvlText w:val="%3."/>
      <w:lvlJc w:val="right"/>
      <w:pPr>
        <w:ind w:left="2169" w:hanging="180"/>
      </w:pPr>
    </w:lvl>
    <w:lvl w:ilvl="3" w:tplc="040C000F">
      <w:start w:val="1"/>
      <w:numFmt w:val="decimal"/>
      <w:lvlText w:val="%4."/>
      <w:lvlJc w:val="left"/>
      <w:pPr>
        <w:ind w:left="2889" w:hanging="360"/>
      </w:pPr>
    </w:lvl>
    <w:lvl w:ilvl="4" w:tplc="040C0019">
      <w:start w:val="1"/>
      <w:numFmt w:val="lowerLetter"/>
      <w:lvlText w:val="%5."/>
      <w:lvlJc w:val="left"/>
      <w:pPr>
        <w:ind w:left="3609" w:hanging="360"/>
      </w:pPr>
    </w:lvl>
    <w:lvl w:ilvl="5" w:tplc="040C001B">
      <w:start w:val="1"/>
      <w:numFmt w:val="lowerRoman"/>
      <w:lvlText w:val="%6."/>
      <w:lvlJc w:val="right"/>
      <w:pPr>
        <w:ind w:left="4329" w:hanging="180"/>
      </w:pPr>
    </w:lvl>
    <w:lvl w:ilvl="6" w:tplc="040C000F">
      <w:start w:val="1"/>
      <w:numFmt w:val="decimal"/>
      <w:lvlText w:val="%7."/>
      <w:lvlJc w:val="left"/>
      <w:pPr>
        <w:ind w:left="5049" w:hanging="360"/>
      </w:pPr>
    </w:lvl>
    <w:lvl w:ilvl="7" w:tplc="040C0019">
      <w:start w:val="1"/>
      <w:numFmt w:val="lowerLetter"/>
      <w:lvlText w:val="%8."/>
      <w:lvlJc w:val="left"/>
      <w:pPr>
        <w:ind w:left="5769" w:hanging="360"/>
      </w:pPr>
    </w:lvl>
    <w:lvl w:ilvl="8" w:tplc="040C001B">
      <w:start w:val="1"/>
      <w:numFmt w:val="lowerRoman"/>
      <w:lvlText w:val="%9."/>
      <w:lvlJc w:val="right"/>
      <w:pPr>
        <w:ind w:left="6489" w:hanging="180"/>
      </w:pPr>
    </w:lvl>
  </w:abstractNum>
  <w:abstractNum w:abstractNumId="37" w15:restartNumberingAfterBreak="0">
    <w:nsid w:val="363E3550"/>
    <w:multiLevelType w:val="hybridMultilevel"/>
    <w:tmpl w:val="F7FAC106"/>
    <w:lvl w:ilvl="0" w:tplc="F95A789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BF25FFA"/>
    <w:multiLevelType w:val="hybridMultilevel"/>
    <w:tmpl w:val="023403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0A65D97"/>
    <w:multiLevelType w:val="hybridMultilevel"/>
    <w:tmpl w:val="647C4FCE"/>
    <w:lvl w:ilvl="0" w:tplc="34D433F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40BD657C"/>
    <w:multiLevelType w:val="multilevel"/>
    <w:tmpl w:val="3F7A7D5A"/>
    <w:lvl w:ilvl="0">
      <w:start w:val="1"/>
      <w:numFmt w:val="decimal"/>
      <w:lvlText w:val="%1."/>
      <w:lvlJc w:val="left"/>
      <w:pPr>
        <w:ind w:left="585" w:hanging="585"/>
      </w:pPr>
    </w:lvl>
    <w:lvl w:ilvl="1">
      <w:start w:val="2"/>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427957E6"/>
    <w:multiLevelType w:val="multilevel"/>
    <w:tmpl w:val="D16CA06E"/>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15:restartNumberingAfterBreak="0">
    <w:nsid w:val="44594851"/>
    <w:multiLevelType w:val="hybridMultilevel"/>
    <w:tmpl w:val="29F03E04"/>
    <w:lvl w:ilvl="0" w:tplc="040C0001">
      <w:start w:val="1"/>
      <w:numFmt w:val="bullet"/>
      <w:lvlText w:val=""/>
      <w:lvlJc w:val="left"/>
      <w:pPr>
        <w:tabs>
          <w:tab w:val="num" w:pos="780"/>
        </w:tabs>
        <w:ind w:left="780" w:hanging="360"/>
      </w:pPr>
      <w:rPr>
        <w:rFonts w:ascii="Symbol" w:hAnsi="Symbol" w:hint="default"/>
        <w:b/>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cs="Courier New"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cs="Courier New"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4B7B7248"/>
    <w:multiLevelType w:val="multilevel"/>
    <w:tmpl w:val="1890A350"/>
    <w:lvl w:ilvl="0">
      <w:start w:val="1"/>
      <w:numFmt w:val="bullet"/>
      <w:lvlText w:val=""/>
      <w:lvlJc w:val="left"/>
      <w:pPr>
        <w:ind w:left="1293" w:hanging="585"/>
      </w:pPr>
      <w:rPr>
        <w:rFonts w:ascii="Symbol" w:hAnsi="Symbol" w:hint="default"/>
      </w:rPr>
    </w:lvl>
    <w:lvl w:ilvl="1">
      <w:start w:val="2"/>
      <w:numFmt w:val="decimal"/>
      <w:lvlText w:val="%1.%2."/>
      <w:lvlJc w:val="left"/>
      <w:pPr>
        <w:ind w:left="1428" w:hanging="720"/>
      </w:pPr>
    </w:lvl>
    <w:lvl w:ilvl="2">
      <w:start w:val="2"/>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44" w15:restartNumberingAfterBreak="0">
    <w:nsid w:val="52927306"/>
    <w:multiLevelType w:val="hybridMultilevel"/>
    <w:tmpl w:val="5BAC4DE2"/>
    <w:lvl w:ilvl="0" w:tplc="57D86BC8">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5" w15:restartNumberingAfterBreak="0">
    <w:nsid w:val="53DC6AD6"/>
    <w:multiLevelType w:val="hybridMultilevel"/>
    <w:tmpl w:val="8F1A81A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54B05974">
      <w:start w:val="1"/>
      <w:numFmt w:val="decimal"/>
      <w:lvlText w:val="%4."/>
      <w:lvlJc w:val="left"/>
      <w:pPr>
        <w:ind w:left="2880" w:hanging="360"/>
      </w:pPr>
      <w:rPr>
        <w:b w:val="0"/>
      </w:r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543078A6"/>
    <w:multiLevelType w:val="multilevel"/>
    <w:tmpl w:val="1890A350"/>
    <w:lvl w:ilvl="0">
      <w:start w:val="1"/>
      <w:numFmt w:val="bullet"/>
      <w:lvlText w:val=""/>
      <w:lvlJc w:val="left"/>
      <w:pPr>
        <w:ind w:left="1293" w:hanging="585"/>
      </w:pPr>
      <w:rPr>
        <w:rFonts w:ascii="Symbol" w:hAnsi="Symbol" w:hint="default"/>
      </w:rPr>
    </w:lvl>
    <w:lvl w:ilvl="1">
      <w:start w:val="2"/>
      <w:numFmt w:val="decimal"/>
      <w:lvlText w:val="%1.%2."/>
      <w:lvlJc w:val="left"/>
      <w:pPr>
        <w:ind w:left="1428" w:hanging="720"/>
      </w:pPr>
    </w:lvl>
    <w:lvl w:ilvl="2">
      <w:start w:val="2"/>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47" w15:restartNumberingAfterBreak="0">
    <w:nsid w:val="574A761B"/>
    <w:multiLevelType w:val="multilevel"/>
    <w:tmpl w:val="B6AC98CA"/>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5FF3424B"/>
    <w:multiLevelType w:val="hybridMultilevel"/>
    <w:tmpl w:val="21B2F3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49" w15:restartNumberingAfterBreak="0">
    <w:nsid w:val="60283452"/>
    <w:multiLevelType w:val="hybridMultilevel"/>
    <w:tmpl w:val="FA6A4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32965A6"/>
    <w:multiLevelType w:val="multilevel"/>
    <w:tmpl w:val="CEDEB6C4"/>
    <w:lvl w:ilvl="0">
      <w:start w:val="2"/>
      <w:numFmt w:val="decimal"/>
      <w:lvlText w:val="%1."/>
      <w:lvlJc w:val="left"/>
      <w:pPr>
        <w:ind w:left="780" w:hanging="780"/>
      </w:pPr>
    </w:lvl>
    <w:lvl w:ilvl="1">
      <w:start w:val="2"/>
      <w:numFmt w:val="decimal"/>
      <w:lvlText w:val="%1.%2."/>
      <w:lvlJc w:val="left"/>
      <w:pPr>
        <w:ind w:left="780" w:hanging="780"/>
      </w:pPr>
    </w:lvl>
    <w:lvl w:ilvl="2">
      <w:start w:val="2"/>
      <w:numFmt w:val="decimal"/>
      <w:lvlText w:val="%1.%2.%3."/>
      <w:lvlJc w:val="left"/>
      <w:pPr>
        <w:ind w:left="780" w:hanging="78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1" w15:restartNumberingAfterBreak="0">
    <w:nsid w:val="63EE5E8C"/>
    <w:multiLevelType w:val="hybridMultilevel"/>
    <w:tmpl w:val="343AE454"/>
    <w:lvl w:ilvl="0" w:tplc="040C000F">
      <w:start w:val="1"/>
      <w:numFmt w:val="decimal"/>
      <w:lvlText w:val="%1."/>
      <w:lvlJc w:val="left"/>
      <w:pPr>
        <w:ind w:left="92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2" w15:restartNumberingAfterBreak="0">
    <w:nsid w:val="64950423"/>
    <w:multiLevelType w:val="multilevel"/>
    <w:tmpl w:val="B7723296"/>
    <w:lvl w:ilvl="0">
      <w:start w:val="1"/>
      <w:numFmt w:val="lowerLetter"/>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64E97C4B"/>
    <w:multiLevelType w:val="hybridMultilevel"/>
    <w:tmpl w:val="17324EDE"/>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6CE26214"/>
    <w:multiLevelType w:val="hybridMultilevel"/>
    <w:tmpl w:val="CB0E62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6E3410B7"/>
    <w:multiLevelType w:val="hybridMultilevel"/>
    <w:tmpl w:val="B922FB78"/>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6" w15:restartNumberingAfterBreak="0">
    <w:nsid w:val="6E546EB5"/>
    <w:multiLevelType w:val="hybridMultilevel"/>
    <w:tmpl w:val="0E02D6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71BE6248"/>
    <w:multiLevelType w:val="hybridMultilevel"/>
    <w:tmpl w:val="476A3E38"/>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8" w15:restartNumberingAfterBreak="0">
    <w:nsid w:val="72F56067"/>
    <w:multiLevelType w:val="hybridMultilevel"/>
    <w:tmpl w:val="43AEBBFC"/>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59" w15:restartNumberingAfterBreak="0">
    <w:nsid w:val="7509242B"/>
    <w:multiLevelType w:val="multilevel"/>
    <w:tmpl w:val="520E56E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0" w15:restartNumberingAfterBreak="0">
    <w:nsid w:val="756154F8"/>
    <w:multiLevelType w:val="hybridMultilevel"/>
    <w:tmpl w:val="CE9E19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771C4358"/>
    <w:multiLevelType w:val="hybridMultilevel"/>
    <w:tmpl w:val="7A9088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9946D23"/>
    <w:multiLevelType w:val="multilevel"/>
    <w:tmpl w:val="49B41684"/>
    <w:lvl w:ilvl="0">
      <w:start w:val="1"/>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3" w15:restartNumberingAfterBreak="0">
    <w:nsid w:val="7B751803"/>
    <w:multiLevelType w:val="hybridMultilevel"/>
    <w:tmpl w:val="7C02D8F2"/>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41F6E400">
      <w:start w:val="1"/>
      <w:numFmt w:val="lowerRoman"/>
      <w:lvlText w:val="%3."/>
      <w:lvlJc w:val="right"/>
      <w:pPr>
        <w:ind w:left="2160" w:hanging="180"/>
      </w:pPr>
      <w:rPr>
        <w:b/>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15:restartNumberingAfterBreak="0">
    <w:nsid w:val="7BF2351F"/>
    <w:multiLevelType w:val="multilevel"/>
    <w:tmpl w:val="1156910A"/>
    <w:lvl w:ilvl="0">
      <w:start w:val="2"/>
      <w:numFmt w:val="decimal"/>
      <w:lvlText w:val="%1."/>
      <w:lvlJc w:val="left"/>
      <w:pPr>
        <w:ind w:left="390" w:hanging="390"/>
      </w:pPr>
      <w:rPr>
        <w:rFonts w:ascii="Arial" w:hAnsi="Arial" w:cs="Arial" w:hint="default"/>
        <w:sz w:val="24"/>
      </w:rPr>
    </w:lvl>
    <w:lvl w:ilvl="1">
      <w:start w:val="1"/>
      <w:numFmt w:val="decimal"/>
      <w:lvlText w:val="%1.%2."/>
      <w:lvlJc w:val="left"/>
      <w:pPr>
        <w:ind w:left="720" w:hanging="720"/>
      </w:pPr>
      <w:rPr>
        <w:rFonts w:ascii="Arial" w:hAnsi="Arial" w:cs="Arial" w:hint="default"/>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1080" w:hanging="1080"/>
      </w:pPr>
      <w:rPr>
        <w:rFonts w:ascii="Arial" w:hAnsi="Arial" w:cs="Arial" w:hint="default"/>
        <w:sz w:val="24"/>
      </w:rPr>
    </w:lvl>
    <w:lvl w:ilvl="4">
      <w:start w:val="1"/>
      <w:numFmt w:val="decimal"/>
      <w:lvlText w:val="%1.%2.%3.%4.%5."/>
      <w:lvlJc w:val="left"/>
      <w:pPr>
        <w:ind w:left="1440" w:hanging="1440"/>
      </w:pPr>
      <w:rPr>
        <w:rFonts w:ascii="Arial" w:hAnsi="Arial" w:cs="Arial" w:hint="default"/>
        <w:sz w:val="24"/>
      </w:rPr>
    </w:lvl>
    <w:lvl w:ilvl="5">
      <w:start w:val="1"/>
      <w:numFmt w:val="decimal"/>
      <w:lvlText w:val="%1.%2.%3.%4.%5.%6."/>
      <w:lvlJc w:val="left"/>
      <w:pPr>
        <w:ind w:left="1440" w:hanging="1440"/>
      </w:pPr>
      <w:rPr>
        <w:rFonts w:ascii="Arial" w:hAnsi="Arial" w:cs="Arial" w:hint="default"/>
        <w:sz w:val="24"/>
      </w:rPr>
    </w:lvl>
    <w:lvl w:ilvl="6">
      <w:start w:val="1"/>
      <w:numFmt w:val="decimal"/>
      <w:lvlText w:val="%1.%2.%3.%4.%5.%6.%7."/>
      <w:lvlJc w:val="left"/>
      <w:pPr>
        <w:ind w:left="1800" w:hanging="1800"/>
      </w:pPr>
      <w:rPr>
        <w:rFonts w:ascii="Arial" w:hAnsi="Arial" w:cs="Arial" w:hint="default"/>
        <w:sz w:val="24"/>
      </w:rPr>
    </w:lvl>
    <w:lvl w:ilvl="7">
      <w:start w:val="1"/>
      <w:numFmt w:val="decimal"/>
      <w:lvlText w:val="%1.%2.%3.%4.%5.%6.%7.%8."/>
      <w:lvlJc w:val="left"/>
      <w:pPr>
        <w:ind w:left="2160" w:hanging="2160"/>
      </w:pPr>
      <w:rPr>
        <w:rFonts w:ascii="Arial" w:hAnsi="Arial" w:cs="Arial" w:hint="default"/>
        <w:sz w:val="24"/>
      </w:rPr>
    </w:lvl>
    <w:lvl w:ilvl="8">
      <w:start w:val="1"/>
      <w:numFmt w:val="decimal"/>
      <w:lvlText w:val="%1.%2.%3.%4.%5.%6.%7.%8.%9."/>
      <w:lvlJc w:val="left"/>
      <w:pPr>
        <w:ind w:left="2160" w:hanging="2160"/>
      </w:pPr>
      <w:rPr>
        <w:rFonts w:ascii="Arial" w:hAnsi="Arial" w:cs="Arial" w:hint="default"/>
        <w:sz w:val="24"/>
      </w:rPr>
    </w:lvl>
  </w:abstractNum>
  <w:abstractNum w:abstractNumId="65" w15:restartNumberingAfterBreak="0">
    <w:nsid w:val="7E071DA2"/>
    <w:multiLevelType w:val="multilevel"/>
    <w:tmpl w:val="1890A350"/>
    <w:lvl w:ilvl="0">
      <w:start w:val="1"/>
      <w:numFmt w:val="bullet"/>
      <w:lvlText w:val=""/>
      <w:lvlJc w:val="left"/>
      <w:pPr>
        <w:ind w:left="1293" w:hanging="585"/>
      </w:pPr>
      <w:rPr>
        <w:rFonts w:ascii="Symbol" w:hAnsi="Symbol" w:hint="default"/>
      </w:rPr>
    </w:lvl>
    <w:lvl w:ilvl="1">
      <w:start w:val="2"/>
      <w:numFmt w:val="decimal"/>
      <w:lvlText w:val="%1.%2."/>
      <w:lvlJc w:val="left"/>
      <w:pPr>
        <w:ind w:left="1428" w:hanging="720"/>
      </w:pPr>
    </w:lvl>
    <w:lvl w:ilvl="2">
      <w:start w:val="2"/>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868"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6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48"/>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25"/>
  </w:num>
  <w:num w:numId="20">
    <w:abstractNumId w:val="35"/>
    <w:lvlOverride w:ilvl="0">
      <w:startOverride w:val="5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8"/>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0"/>
  </w:num>
  <w:num w:numId="27">
    <w:abstractNumId w:val="3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43"/>
    <w:lvlOverride w:ilvl="0"/>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50"/>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11"/>
    <w:lvlOverride w:ilvl="0">
      <w:startOverride w:val="1"/>
    </w:lvlOverride>
    <w:lvlOverride w:ilvl="1"/>
    <w:lvlOverride w:ilvl="2"/>
    <w:lvlOverride w:ilvl="3"/>
    <w:lvlOverride w:ilvl="4"/>
    <w:lvlOverride w:ilvl="5"/>
    <w:lvlOverride w:ilvl="6"/>
    <w:lvlOverride w:ilvl="7"/>
    <w:lvlOverride w:ilvl="8"/>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E6A"/>
    <w:rsid w:val="00025E24"/>
    <w:rsid w:val="0003018C"/>
    <w:rsid w:val="00067461"/>
    <w:rsid w:val="00091B43"/>
    <w:rsid w:val="000C22B4"/>
    <w:rsid w:val="00122F94"/>
    <w:rsid w:val="001C334D"/>
    <w:rsid w:val="00212F5E"/>
    <w:rsid w:val="002D47D1"/>
    <w:rsid w:val="002F36E3"/>
    <w:rsid w:val="0031591B"/>
    <w:rsid w:val="00321452"/>
    <w:rsid w:val="003342BD"/>
    <w:rsid w:val="003403A4"/>
    <w:rsid w:val="003F3AE0"/>
    <w:rsid w:val="004F50D9"/>
    <w:rsid w:val="004F5956"/>
    <w:rsid w:val="005A3A0A"/>
    <w:rsid w:val="005C0325"/>
    <w:rsid w:val="005C1017"/>
    <w:rsid w:val="006131E6"/>
    <w:rsid w:val="006479C0"/>
    <w:rsid w:val="006A0CA2"/>
    <w:rsid w:val="006A38E3"/>
    <w:rsid w:val="006A7008"/>
    <w:rsid w:val="006C55CA"/>
    <w:rsid w:val="0079544B"/>
    <w:rsid w:val="007C3432"/>
    <w:rsid w:val="007E4554"/>
    <w:rsid w:val="00802D99"/>
    <w:rsid w:val="00823B22"/>
    <w:rsid w:val="00871572"/>
    <w:rsid w:val="008862C7"/>
    <w:rsid w:val="008E3EC6"/>
    <w:rsid w:val="00945B53"/>
    <w:rsid w:val="00970E86"/>
    <w:rsid w:val="009B5F04"/>
    <w:rsid w:val="009E2251"/>
    <w:rsid w:val="00AF344F"/>
    <w:rsid w:val="00B63507"/>
    <w:rsid w:val="00C750A9"/>
    <w:rsid w:val="00CD1F82"/>
    <w:rsid w:val="00CE3D06"/>
    <w:rsid w:val="00D60E6A"/>
    <w:rsid w:val="00E0797F"/>
    <w:rsid w:val="00E72C3F"/>
    <w:rsid w:val="00EA1CF0"/>
    <w:rsid w:val="00FB327A"/>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187FA"/>
  <w15:docId w15:val="{29E8DEFA-2C65-4E16-B7C2-D89E9006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6A"/>
  </w:style>
  <w:style w:type="paragraph" w:styleId="Titre1">
    <w:name w:val="heading 1"/>
    <w:basedOn w:val="Normal"/>
    <w:next w:val="Normal"/>
    <w:link w:val="Titre1Car"/>
    <w:uiPriority w:val="9"/>
    <w:qFormat/>
    <w:rsid w:val="008862C7"/>
    <w:pPr>
      <w:keepNext/>
      <w:tabs>
        <w:tab w:val="left" w:pos="708"/>
      </w:tabs>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Standard"/>
    <w:next w:val="Corpsdetexte"/>
    <w:link w:val="Titre2Car"/>
    <w:uiPriority w:val="9"/>
    <w:semiHidden/>
    <w:unhideWhenUsed/>
    <w:qFormat/>
    <w:rsid w:val="008862C7"/>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semiHidden/>
    <w:unhideWhenUsed/>
    <w:qFormat/>
    <w:rsid w:val="008862C7"/>
    <w:pPr>
      <w:tabs>
        <w:tab w:val="left" w:pos="708"/>
      </w:tabs>
      <w:autoSpaceDE w:val="0"/>
      <w:autoSpaceDN w:val="0"/>
      <w:adjustRightInd w:val="0"/>
      <w:spacing w:after="200" w:line="360" w:lineRule="auto"/>
      <w:jc w:val="both"/>
      <w:outlineLvl w:val="2"/>
    </w:pPr>
    <w:rPr>
      <w:rFonts w:ascii="Arial" w:eastAsia="Times New Roman" w:hAnsi="Arial" w:cs="Arial"/>
      <w:sz w:val="24"/>
      <w:szCs w:val="24"/>
      <w:lang w:eastAsia="fr-FR"/>
    </w:rPr>
  </w:style>
  <w:style w:type="paragraph" w:styleId="Titre4">
    <w:name w:val="heading 4"/>
    <w:basedOn w:val="Normal"/>
    <w:next w:val="Normal"/>
    <w:link w:val="Titre4Car"/>
    <w:semiHidden/>
    <w:unhideWhenUsed/>
    <w:qFormat/>
    <w:rsid w:val="008862C7"/>
    <w:pPr>
      <w:keepNext/>
      <w:tabs>
        <w:tab w:val="left" w:pos="708"/>
      </w:tabs>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Standard"/>
    <w:next w:val="Corpsdetexte"/>
    <w:link w:val="Titre5Car"/>
    <w:semiHidden/>
    <w:unhideWhenUsed/>
    <w:qFormat/>
    <w:rsid w:val="008862C7"/>
    <w:pPr>
      <w:keepNext/>
      <w:keepLines/>
      <w:spacing w:before="200" w:after="0"/>
      <w:outlineLvl w:val="4"/>
    </w:pPr>
    <w:rPr>
      <w:rFonts w:ascii="Cambria" w:hAnsi="Cambria"/>
      <w:color w:val="243F60"/>
    </w:rPr>
  </w:style>
  <w:style w:type="paragraph" w:styleId="Titre6">
    <w:name w:val="heading 6"/>
    <w:basedOn w:val="Standard"/>
    <w:next w:val="Corpsdetexte"/>
    <w:link w:val="Titre6Car"/>
    <w:semiHidden/>
    <w:unhideWhenUsed/>
    <w:qFormat/>
    <w:rsid w:val="008862C7"/>
    <w:pPr>
      <w:keepNext/>
      <w:keepLines/>
      <w:spacing w:before="200" w:after="0"/>
      <w:outlineLvl w:val="5"/>
    </w:pPr>
    <w:rPr>
      <w:rFonts w:ascii="Cambria" w:hAnsi="Cambria"/>
      <w:i/>
      <w:iCs/>
      <w:color w:val="243F60"/>
    </w:rPr>
  </w:style>
  <w:style w:type="paragraph" w:styleId="Titre7">
    <w:name w:val="heading 7"/>
    <w:basedOn w:val="Standard"/>
    <w:next w:val="Corpsdetexte"/>
    <w:link w:val="Titre7Car"/>
    <w:uiPriority w:val="9"/>
    <w:semiHidden/>
    <w:unhideWhenUsed/>
    <w:qFormat/>
    <w:rsid w:val="008862C7"/>
    <w:pPr>
      <w:keepNext/>
      <w:keepLines/>
      <w:spacing w:before="200" w:after="0"/>
      <w:outlineLvl w:val="6"/>
    </w:pPr>
    <w:rPr>
      <w:rFonts w:ascii="Cambria" w:hAnsi="Cambria"/>
      <w:i/>
      <w:iCs/>
      <w:color w:val="404040"/>
    </w:rPr>
  </w:style>
  <w:style w:type="paragraph" w:styleId="Titre8">
    <w:name w:val="heading 8"/>
    <w:basedOn w:val="Standard"/>
    <w:next w:val="Corpsdetexte"/>
    <w:link w:val="Titre8Car"/>
    <w:uiPriority w:val="9"/>
    <w:semiHidden/>
    <w:unhideWhenUsed/>
    <w:qFormat/>
    <w:rsid w:val="008862C7"/>
    <w:pPr>
      <w:keepNext/>
      <w:keepLines/>
      <w:spacing w:before="200" w:after="0"/>
      <w:outlineLvl w:val="7"/>
    </w:pPr>
    <w:rPr>
      <w:rFonts w:ascii="Cambria" w:hAnsi="Cambria"/>
      <w:color w:val="404040"/>
      <w:sz w:val="20"/>
      <w:szCs w:val="20"/>
    </w:rPr>
  </w:style>
  <w:style w:type="paragraph" w:styleId="Titre9">
    <w:name w:val="heading 9"/>
    <w:basedOn w:val="Normal"/>
    <w:next w:val="Normal"/>
    <w:link w:val="Titre9Car"/>
    <w:uiPriority w:val="9"/>
    <w:semiHidden/>
    <w:unhideWhenUsed/>
    <w:qFormat/>
    <w:rsid w:val="008862C7"/>
    <w:pPr>
      <w:keepNext/>
      <w:keepLines/>
      <w:tabs>
        <w:tab w:val="left" w:pos="708"/>
      </w:tabs>
      <w:spacing w:before="200" w:after="0" w:line="276" w:lineRule="auto"/>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62C7"/>
    <w:rPr>
      <w:rFonts w:ascii="Arial" w:eastAsia="Times New Roman" w:hAnsi="Arial" w:cs="Arial"/>
      <w:b/>
      <w:bCs/>
      <w:kern w:val="32"/>
      <w:sz w:val="32"/>
      <w:szCs w:val="32"/>
      <w:lang w:eastAsia="fr-FR"/>
    </w:rPr>
  </w:style>
  <w:style w:type="paragraph" w:customStyle="1" w:styleId="Standard">
    <w:name w:val="Standard"/>
    <w:uiPriority w:val="99"/>
    <w:rsid w:val="008862C7"/>
    <w:pPr>
      <w:tabs>
        <w:tab w:val="left" w:pos="708"/>
      </w:tabs>
      <w:suppressAutoHyphens/>
      <w:spacing w:after="200" w:line="276" w:lineRule="auto"/>
    </w:pPr>
    <w:rPr>
      <w:rFonts w:ascii="Liberation Serif" w:eastAsia="WenQuanYi Micro Hei" w:hAnsi="Liberation Serif" w:cs="Lohit Hindi"/>
      <w:sz w:val="24"/>
      <w:szCs w:val="24"/>
      <w:lang w:eastAsia="zh-CN" w:bidi="hi-IN"/>
    </w:rPr>
  </w:style>
  <w:style w:type="paragraph" w:styleId="Corpsdetexte">
    <w:name w:val="Body Text"/>
    <w:basedOn w:val="Standard"/>
    <w:link w:val="CorpsdetexteCar"/>
    <w:uiPriority w:val="99"/>
    <w:semiHidden/>
    <w:unhideWhenUsed/>
    <w:rsid w:val="008862C7"/>
    <w:pPr>
      <w:suppressAutoHyphens w:val="0"/>
      <w:spacing w:after="120" w:line="240" w:lineRule="auto"/>
    </w:pPr>
    <w:rPr>
      <w:rFonts w:ascii="Times New Roman" w:eastAsia="MS Mincho" w:hAnsi="Times New Roman" w:cs="Times New Roman"/>
      <w:lang w:val="fr-CM" w:eastAsia="fr-FR" w:bidi="ar-SA"/>
    </w:rPr>
  </w:style>
  <w:style w:type="character" w:customStyle="1" w:styleId="CorpsdetexteCar">
    <w:name w:val="Corps de texte Car"/>
    <w:basedOn w:val="Policepardfaut"/>
    <w:link w:val="Corpsdetexte"/>
    <w:uiPriority w:val="99"/>
    <w:semiHidden/>
    <w:rsid w:val="008862C7"/>
    <w:rPr>
      <w:rFonts w:ascii="Times New Roman" w:eastAsia="MS Mincho" w:hAnsi="Times New Roman" w:cs="Times New Roman"/>
      <w:sz w:val="24"/>
      <w:szCs w:val="24"/>
      <w:lang w:val="fr-CM" w:eastAsia="fr-FR"/>
    </w:rPr>
  </w:style>
  <w:style w:type="character" w:customStyle="1" w:styleId="Titre2Car">
    <w:name w:val="Titre 2 Car"/>
    <w:basedOn w:val="Policepardfaut"/>
    <w:link w:val="Titre2"/>
    <w:uiPriority w:val="9"/>
    <w:semiHidden/>
    <w:rsid w:val="008862C7"/>
    <w:rPr>
      <w:rFonts w:ascii="Cambria" w:eastAsia="WenQuanYi Micro Hei" w:hAnsi="Cambria" w:cs="Lohit Hindi"/>
      <w:b/>
      <w:bCs/>
      <w:color w:val="4F81BD"/>
      <w:sz w:val="26"/>
      <w:szCs w:val="26"/>
      <w:lang w:eastAsia="zh-CN" w:bidi="hi-IN"/>
    </w:rPr>
  </w:style>
  <w:style w:type="character" w:customStyle="1" w:styleId="Titre3Car">
    <w:name w:val="Titre 3 Car"/>
    <w:basedOn w:val="Policepardfaut"/>
    <w:link w:val="Titre3"/>
    <w:semiHidden/>
    <w:rsid w:val="008862C7"/>
    <w:rPr>
      <w:rFonts w:ascii="Arial" w:eastAsia="Times New Roman" w:hAnsi="Arial" w:cs="Arial"/>
      <w:sz w:val="24"/>
      <w:szCs w:val="24"/>
      <w:lang w:eastAsia="fr-FR"/>
    </w:rPr>
  </w:style>
  <w:style w:type="character" w:customStyle="1" w:styleId="Titre4Car">
    <w:name w:val="Titre 4 Car"/>
    <w:basedOn w:val="Policepardfaut"/>
    <w:link w:val="Titre4"/>
    <w:semiHidden/>
    <w:rsid w:val="008862C7"/>
    <w:rPr>
      <w:rFonts w:ascii="Calibri" w:eastAsia="Times New Roman" w:hAnsi="Calibri" w:cs="Times New Roman"/>
      <w:b/>
      <w:bCs/>
      <w:sz w:val="28"/>
      <w:szCs w:val="28"/>
      <w:lang w:eastAsia="fr-FR"/>
    </w:rPr>
  </w:style>
  <w:style w:type="character" w:customStyle="1" w:styleId="Titre5Car">
    <w:name w:val="Titre 5 Car"/>
    <w:basedOn w:val="Policepardfaut"/>
    <w:link w:val="Titre5"/>
    <w:semiHidden/>
    <w:rsid w:val="008862C7"/>
    <w:rPr>
      <w:rFonts w:ascii="Cambria" w:eastAsia="WenQuanYi Micro Hei" w:hAnsi="Cambria" w:cs="Lohit Hindi"/>
      <w:color w:val="243F60"/>
      <w:sz w:val="24"/>
      <w:szCs w:val="24"/>
      <w:lang w:eastAsia="zh-CN" w:bidi="hi-IN"/>
    </w:rPr>
  </w:style>
  <w:style w:type="character" w:customStyle="1" w:styleId="Titre6Car">
    <w:name w:val="Titre 6 Car"/>
    <w:basedOn w:val="Policepardfaut"/>
    <w:link w:val="Titre6"/>
    <w:semiHidden/>
    <w:rsid w:val="008862C7"/>
    <w:rPr>
      <w:rFonts w:ascii="Cambria" w:eastAsia="WenQuanYi Micro Hei" w:hAnsi="Cambria" w:cs="Lohit Hindi"/>
      <w:i/>
      <w:iCs/>
      <w:color w:val="243F60"/>
      <w:sz w:val="24"/>
      <w:szCs w:val="24"/>
      <w:lang w:eastAsia="zh-CN" w:bidi="hi-IN"/>
    </w:rPr>
  </w:style>
  <w:style w:type="character" w:customStyle="1" w:styleId="Titre7Car">
    <w:name w:val="Titre 7 Car"/>
    <w:basedOn w:val="Policepardfaut"/>
    <w:link w:val="Titre7"/>
    <w:uiPriority w:val="9"/>
    <w:semiHidden/>
    <w:rsid w:val="008862C7"/>
    <w:rPr>
      <w:rFonts w:ascii="Cambria" w:eastAsia="WenQuanYi Micro Hei" w:hAnsi="Cambria" w:cs="Lohit Hindi"/>
      <w:i/>
      <w:iCs/>
      <w:color w:val="404040"/>
      <w:sz w:val="24"/>
      <w:szCs w:val="24"/>
      <w:lang w:eastAsia="zh-CN" w:bidi="hi-IN"/>
    </w:rPr>
  </w:style>
  <w:style w:type="character" w:customStyle="1" w:styleId="Titre8Car">
    <w:name w:val="Titre 8 Car"/>
    <w:basedOn w:val="Policepardfaut"/>
    <w:link w:val="Titre8"/>
    <w:uiPriority w:val="9"/>
    <w:semiHidden/>
    <w:rsid w:val="008862C7"/>
    <w:rPr>
      <w:rFonts w:ascii="Cambria" w:eastAsia="WenQuanYi Micro Hei" w:hAnsi="Cambria" w:cs="Lohit Hindi"/>
      <w:color w:val="404040"/>
      <w:sz w:val="20"/>
      <w:szCs w:val="20"/>
      <w:lang w:eastAsia="zh-CN" w:bidi="hi-IN"/>
    </w:rPr>
  </w:style>
  <w:style w:type="paragraph" w:styleId="Sansinterligne">
    <w:name w:val="No Spacing"/>
    <w:link w:val="SansinterligneCar"/>
    <w:uiPriority w:val="1"/>
    <w:qFormat/>
    <w:rsid w:val="00D60E6A"/>
    <w:pPr>
      <w:spacing w:after="0" w:line="240" w:lineRule="auto"/>
    </w:pPr>
    <w:rPr>
      <w:rFonts w:eastAsiaTheme="minorEastAsia"/>
      <w:lang w:eastAsia="fr-FR"/>
    </w:rPr>
  </w:style>
  <w:style w:type="character" w:customStyle="1" w:styleId="SansinterligneCar">
    <w:name w:val="Sans interligne Car"/>
    <w:basedOn w:val="Policepardfaut"/>
    <w:link w:val="Sansinterligne"/>
    <w:rsid w:val="00D60E6A"/>
    <w:rPr>
      <w:rFonts w:eastAsiaTheme="minorEastAsia"/>
      <w:lang w:eastAsia="fr-FR"/>
    </w:rPr>
  </w:style>
  <w:style w:type="paragraph" w:styleId="Textedebulles">
    <w:name w:val="Balloon Text"/>
    <w:basedOn w:val="Normal"/>
    <w:link w:val="TextedebullesCar"/>
    <w:semiHidden/>
    <w:unhideWhenUsed/>
    <w:rsid w:val="00FB32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B327A"/>
    <w:rPr>
      <w:rFonts w:ascii="Tahoma" w:hAnsi="Tahoma" w:cs="Tahoma"/>
      <w:sz w:val="16"/>
      <w:szCs w:val="16"/>
    </w:rPr>
  </w:style>
  <w:style w:type="paragraph" w:styleId="En-tte">
    <w:name w:val="header"/>
    <w:basedOn w:val="Normal"/>
    <w:link w:val="En-tteCar"/>
    <w:rsid w:val="003342BD"/>
    <w:pPr>
      <w:tabs>
        <w:tab w:val="center" w:pos="4536"/>
        <w:tab w:val="right" w:pos="9072"/>
      </w:tabs>
      <w:spacing w:after="0" w:line="240" w:lineRule="auto"/>
    </w:pPr>
    <w:rPr>
      <w:rFonts w:ascii="Calibri" w:eastAsia="Times New Roman" w:hAnsi="Calibri" w:cs="Calibri"/>
      <w:sz w:val="24"/>
      <w:szCs w:val="24"/>
      <w:lang w:val="en-US" w:bidi="en-US"/>
    </w:rPr>
  </w:style>
  <w:style w:type="character" w:customStyle="1" w:styleId="En-tteCar">
    <w:name w:val="En-tête Car"/>
    <w:basedOn w:val="Policepardfaut"/>
    <w:link w:val="En-tte"/>
    <w:rsid w:val="003342BD"/>
    <w:rPr>
      <w:rFonts w:ascii="Calibri" w:eastAsia="Times New Roman" w:hAnsi="Calibri" w:cs="Calibri"/>
      <w:sz w:val="24"/>
      <w:szCs w:val="24"/>
      <w:lang w:val="en-US" w:bidi="en-US"/>
    </w:rPr>
  </w:style>
  <w:style w:type="character" w:customStyle="1" w:styleId="Titre9Car">
    <w:name w:val="Titre 9 Car"/>
    <w:basedOn w:val="Policepardfaut"/>
    <w:link w:val="Titre9"/>
    <w:uiPriority w:val="9"/>
    <w:semiHidden/>
    <w:rsid w:val="008862C7"/>
    <w:rPr>
      <w:rFonts w:asciiTheme="majorHAnsi" w:eastAsiaTheme="majorEastAsia" w:hAnsiTheme="majorHAnsi" w:cstheme="majorBidi"/>
      <w:i/>
      <w:iCs/>
      <w:color w:val="404040" w:themeColor="text1" w:themeTint="BF"/>
      <w:sz w:val="20"/>
      <w:szCs w:val="20"/>
      <w:lang w:eastAsia="fr-FR"/>
    </w:rPr>
  </w:style>
  <w:style w:type="character" w:styleId="Lienhypertexte">
    <w:name w:val="Hyperlink"/>
    <w:basedOn w:val="Policepardfaut"/>
    <w:uiPriority w:val="99"/>
    <w:semiHidden/>
    <w:unhideWhenUsed/>
    <w:rsid w:val="008862C7"/>
    <w:rPr>
      <w:color w:val="0000FF"/>
      <w:u w:val="single"/>
    </w:rPr>
  </w:style>
  <w:style w:type="character" w:styleId="Lienhypertextesuivivisit">
    <w:name w:val="FollowedHyperlink"/>
    <w:basedOn w:val="Policepardfaut"/>
    <w:uiPriority w:val="99"/>
    <w:semiHidden/>
    <w:unhideWhenUsed/>
    <w:rsid w:val="008862C7"/>
    <w:rPr>
      <w:color w:val="954F72" w:themeColor="followedHyperlink"/>
      <w:u w:val="single"/>
    </w:rPr>
  </w:style>
  <w:style w:type="paragraph" w:styleId="Commentaire">
    <w:name w:val="annotation text"/>
    <w:basedOn w:val="Standard"/>
    <w:link w:val="CommentaireCar"/>
    <w:uiPriority w:val="99"/>
    <w:semiHidden/>
    <w:unhideWhenUsed/>
    <w:rsid w:val="008862C7"/>
    <w:pPr>
      <w:suppressAutoHyphens w:val="0"/>
      <w:spacing w:line="240" w:lineRule="auto"/>
    </w:pPr>
    <w:rPr>
      <w:rFonts w:ascii="Calibri" w:eastAsia="Times New Roman" w:hAnsi="Calibri" w:cs="Times New Roman"/>
      <w:sz w:val="20"/>
      <w:szCs w:val="20"/>
      <w:lang w:eastAsia="fr-FR" w:bidi="ar-SA"/>
    </w:rPr>
  </w:style>
  <w:style w:type="character" w:customStyle="1" w:styleId="CommentaireCar">
    <w:name w:val="Commentaire Car"/>
    <w:basedOn w:val="Policepardfaut"/>
    <w:link w:val="Commentaire"/>
    <w:uiPriority w:val="99"/>
    <w:semiHidden/>
    <w:rsid w:val="008862C7"/>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862C7"/>
    <w:rPr>
      <w:b/>
      <w:bCs/>
    </w:rPr>
  </w:style>
  <w:style w:type="character" w:customStyle="1" w:styleId="ObjetducommentaireCar">
    <w:name w:val="Objet du commentaire Car"/>
    <w:basedOn w:val="CommentaireCar"/>
    <w:link w:val="Objetducommentaire"/>
    <w:uiPriority w:val="99"/>
    <w:semiHidden/>
    <w:rsid w:val="008862C7"/>
    <w:rPr>
      <w:rFonts w:ascii="Calibri" w:eastAsia="Times New Roman" w:hAnsi="Calibri" w:cs="Times New Roman"/>
      <w:b/>
      <w:bCs/>
      <w:sz w:val="20"/>
      <w:szCs w:val="20"/>
      <w:lang w:eastAsia="fr-FR"/>
    </w:rPr>
  </w:style>
  <w:style w:type="paragraph" w:customStyle="1" w:styleId="Default">
    <w:name w:val="Default"/>
    <w:uiPriority w:val="99"/>
    <w:rsid w:val="008862C7"/>
    <w:pPr>
      <w:tabs>
        <w:tab w:val="left" w:pos="708"/>
      </w:tabs>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Pa2">
    <w:name w:val="Pa2"/>
    <w:basedOn w:val="Default"/>
    <w:next w:val="Default"/>
    <w:uiPriority w:val="99"/>
    <w:rsid w:val="008862C7"/>
    <w:pPr>
      <w:spacing w:line="240" w:lineRule="atLeast"/>
    </w:pPr>
    <w:rPr>
      <w:rFonts w:ascii="ZMSVRQ+TimesNewRomanPS-BoldMT" w:hAnsi="ZMSVRQ+TimesNewRomanPS-BoldMT" w:cs="Times New Roman"/>
      <w:color w:val="auto"/>
    </w:rPr>
  </w:style>
  <w:style w:type="paragraph" w:customStyle="1" w:styleId="Pa3">
    <w:name w:val="Pa3"/>
    <w:basedOn w:val="Default"/>
    <w:next w:val="Default"/>
    <w:uiPriority w:val="99"/>
    <w:rsid w:val="008862C7"/>
    <w:pPr>
      <w:spacing w:line="200" w:lineRule="atLeast"/>
    </w:pPr>
    <w:rPr>
      <w:rFonts w:ascii="ZMSVRQ+TimesNewRomanPS-BoldMT" w:hAnsi="ZMSVRQ+TimesNewRomanPS-BoldMT" w:cs="Times New Roman"/>
      <w:color w:val="auto"/>
    </w:rPr>
  </w:style>
  <w:style w:type="paragraph" w:customStyle="1" w:styleId="Pa1">
    <w:name w:val="Pa1"/>
    <w:basedOn w:val="Default"/>
    <w:next w:val="Default"/>
    <w:uiPriority w:val="99"/>
    <w:rsid w:val="008862C7"/>
    <w:pPr>
      <w:spacing w:line="200" w:lineRule="atLeast"/>
    </w:pPr>
    <w:rPr>
      <w:rFonts w:ascii="ZMSVRQ+TimesNewRomanPS-BoldMT" w:hAnsi="ZMSVRQ+TimesNewRomanPS-BoldMT" w:cs="Times New Roman"/>
      <w:color w:val="auto"/>
    </w:rPr>
  </w:style>
  <w:style w:type="paragraph" w:customStyle="1" w:styleId="Pa4">
    <w:name w:val="Pa4"/>
    <w:basedOn w:val="Default"/>
    <w:next w:val="Default"/>
    <w:uiPriority w:val="99"/>
    <w:rsid w:val="008862C7"/>
    <w:pPr>
      <w:spacing w:line="200" w:lineRule="atLeast"/>
    </w:pPr>
    <w:rPr>
      <w:rFonts w:ascii="ZMSVRQ+TimesNewRomanPS-BoldMT" w:hAnsi="ZMSVRQ+TimesNewRomanPS-BoldMT" w:cs="Times New Roman"/>
      <w:color w:val="auto"/>
    </w:rPr>
  </w:style>
  <w:style w:type="paragraph" w:customStyle="1" w:styleId="Pa5">
    <w:name w:val="Pa5"/>
    <w:basedOn w:val="Default"/>
    <w:next w:val="Default"/>
    <w:uiPriority w:val="99"/>
    <w:rsid w:val="008862C7"/>
    <w:pPr>
      <w:spacing w:line="240" w:lineRule="atLeast"/>
    </w:pPr>
    <w:rPr>
      <w:rFonts w:ascii="ZMSVRQ+TimesNewRomanPS-BoldMT" w:hAnsi="ZMSVRQ+TimesNewRomanPS-BoldMT" w:cs="Times New Roman"/>
      <w:color w:val="auto"/>
    </w:rPr>
  </w:style>
  <w:style w:type="paragraph" w:customStyle="1" w:styleId="Pa6">
    <w:name w:val="Pa6"/>
    <w:basedOn w:val="Default"/>
    <w:next w:val="Default"/>
    <w:uiPriority w:val="99"/>
    <w:rsid w:val="008862C7"/>
    <w:pPr>
      <w:spacing w:line="280" w:lineRule="atLeast"/>
    </w:pPr>
    <w:rPr>
      <w:rFonts w:ascii="ZMSVRQ+TimesNewRomanPS-BoldMT" w:hAnsi="ZMSVRQ+TimesNewRomanPS-BoldMT" w:cs="Times New Roman"/>
      <w:color w:val="auto"/>
    </w:rPr>
  </w:style>
  <w:style w:type="paragraph" w:customStyle="1" w:styleId="texte">
    <w:name w:val="texte"/>
    <w:basedOn w:val="Standard"/>
    <w:uiPriority w:val="99"/>
    <w:rsid w:val="008862C7"/>
    <w:pPr>
      <w:spacing w:before="28" w:after="28" w:line="100" w:lineRule="atLeast"/>
    </w:pPr>
    <w:rPr>
      <w:rFonts w:ascii="Times New Roman" w:eastAsia="Times New Roman" w:hAnsi="Times New Roman" w:cs="Times New Roman"/>
      <w:lang w:eastAsia="fr-FR"/>
    </w:rPr>
  </w:style>
  <w:style w:type="paragraph" w:customStyle="1" w:styleId="Index">
    <w:name w:val="Index"/>
    <w:basedOn w:val="Standard"/>
    <w:uiPriority w:val="99"/>
    <w:rsid w:val="008862C7"/>
  </w:style>
  <w:style w:type="paragraph" w:customStyle="1" w:styleId="Titredetabledesmatires">
    <w:name w:val="Titre de table des matières"/>
    <w:basedOn w:val="Titre1"/>
    <w:uiPriority w:val="99"/>
    <w:rsid w:val="008862C7"/>
    <w:pPr>
      <w:keepLines/>
      <w:suppressLineNumbers/>
      <w:suppressAutoHyphens/>
      <w:spacing w:before="480" w:after="0" w:line="276" w:lineRule="auto"/>
    </w:pPr>
    <w:rPr>
      <w:rFonts w:ascii="Cambria" w:eastAsia="WenQuanYi Micro Hei" w:hAnsi="Cambria" w:cs="Lohit Hindi"/>
      <w:color w:val="365F91"/>
      <w:kern w:val="0"/>
      <w:lang w:eastAsia="zh-CN" w:bidi="hi-IN"/>
    </w:rPr>
  </w:style>
  <w:style w:type="paragraph" w:customStyle="1" w:styleId="Tabledesmatiresniveau2">
    <w:name w:val="Table des matières niveau 2"/>
    <w:basedOn w:val="Standard"/>
    <w:uiPriority w:val="99"/>
    <w:rsid w:val="008862C7"/>
  </w:style>
  <w:style w:type="paragraph" w:customStyle="1" w:styleId="Tabledesmatiresniveau1">
    <w:name w:val="Table des matières niveau 1"/>
    <w:basedOn w:val="Standard"/>
    <w:uiPriority w:val="99"/>
    <w:rsid w:val="008862C7"/>
  </w:style>
  <w:style w:type="paragraph" w:customStyle="1" w:styleId="Tabledesmatiresniveau3">
    <w:name w:val="Table des matières niveau 3"/>
    <w:basedOn w:val="Standard"/>
    <w:uiPriority w:val="99"/>
    <w:rsid w:val="008862C7"/>
  </w:style>
  <w:style w:type="character" w:styleId="Appelnotedebasdep">
    <w:name w:val="footnote reference"/>
    <w:basedOn w:val="Policepardfaut"/>
    <w:uiPriority w:val="99"/>
    <w:semiHidden/>
    <w:unhideWhenUsed/>
    <w:rsid w:val="008862C7"/>
    <w:rPr>
      <w:vertAlign w:val="superscript"/>
    </w:rPr>
  </w:style>
  <w:style w:type="character" w:styleId="Marquedecommentaire">
    <w:name w:val="annotation reference"/>
    <w:basedOn w:val="Policepardfaut"/>
    <w:uiPriority w:val="99"/>
    <w:semiHidden/>
    <w:unhideWhenUsed/>
    <w:rsid w:val="008862C7"/>
    <w:rPr>
      <w:sz w:val="16"/>
      <w:szCs w:val="16"/>
    </w:rPr>
  </w:style>
  <w:style w:type="character" w:styleId="Appeldenotedefin">
    <w:name w:val="endnote reference"/>
    <w:semiHidden/>
    <w:unhideWhenUsed/>
    <w:rsid w:val="008862C7"/>
    <w:rPr>
      <w:vertAlign w:val="superscript"/>
    </w:rPr>
  </w:style>
  <w:style w:type="character" w:styleId="Titredulivre">
    <w:name w:val="Book Title"/>
    <w:basedOn w:val="Policepardfaut"/>
    <w:uiPriority w:val="33"/>
    <w:qFormat/>
    <w:rsid w:val="008862C7"/>
    <w:rPr>
      <w:b/>
      <w:bCs/>
      <w:smallCaps/>
      <w:spacing w:val="5"/>
    </w:rPr>
  </w:style>
  <w:style w:type="paragraph" w:styleId="Notedebasdepage">
    <w:name w:val="footnote text"/>
    <w:basedOn w:val="Standard"/>
    <w:link w:val="NotedebasdepageCar"/>
    <w:uiPriority w:val="99"/>
    <w:semiHidden/>
    <w:unhideWhenUsed/>
    <w:rsid w:val="008862C7"/>
    <w:pPr>
      <w:suppressLineNumbers/>
      <w:ind w:left="283" w:hanging="283"/>
    </w:pPr>
    <w:rPr>
      <w:sz w:val="20"/>
      <w:szCs w:val="20"/>
    </w:rPr>
  </w:style>
  <w:style w:type="character" w:customStyle="1" w:styleId="NotedebasdepageCar">
    <w:name w:val="Note de bas de page Car"/>
    <w:basedOn w:val="Policepardfaut"/>
    <w:link w:val="Notedebasdepage"/>
    <w:uiPriority w:val="99"/>
    <w:semiHidden/>
    <w:rsid w:val="008862C7"/>
    <w:rPr>
      <w:rFonts w:ascii="Liberation Serif" w:eastAsia="WenQuanYi Micro Hei" w:hAnsi="Liberation Serif" w:cs="Lohit Hindi"/>
      <w:sz w:val="20"/>
      <w:szCs w:val="20"/>
      <w:lang w:eastAsia="zh-CN" w:bidi="hi-IN"/>
    </w:rPr>
  </w:style>
  <w:style w:type="character" w:customStyle="1" w:styleId="paranumber">
    <w:name w:val="paranumber"/>
    <w:basedOn w:val="Policepardfaut"/>
    <w:rsid w:val="008862C7"/>
  </w:style>
  <w:style w:type="character" w:customStyle="1" w:styleId="PieddepageCar">
    <w:name w:val="Pied de page Car"/>
    <w:basedOn w:val="Policepardfaut"/>
    <w:link w:val="Pieddepage"/>
    <w:uiPriority w:val="99"/>
    <w:semiHidden/>
    <w:rsid w:val="008862C7"/>
    <w:rPr>
      <w:rFonts w:ascii="Calibri" w:eastAsia="Times New Roman" w:hAnsi="Calibri" w:cs="Times New Roman"/>
      <w:lang w:eastAsia="fr-FR"/>
    </w:rPr>
  </w:style>
  <w:style w:type="paragraph" w:styleId="Pieddepage">
    <w:name w:val="footer"/>
    <w:basedOn w:val="Normal"/>
    <w:link w:val="PieddepageCar"/>
    <w:uiPriority w:val="99"/>
    <w:semiHidden/>
    <w:unhideWhenUsed/>
    <w:rsid w:val="008862C7"/>
    <w:pPr>
      <w:tabs>
        <w:tab w:val="center" w:pos="4536"/>
        <w:tab w:val="right" w:pos="9072"/>
      </w:tabs>
      <w:spacing w:after="0" w:line="240" w:lineRule="auto"/>
    </w:pPr>
    <w:rPr>
      <w:rFonts w:ascii="Calibri" w:eastAsia="Times New Roman" w:hAnsi="Calibri" w:cs="Times New Roman"/>
      <w:lang w:eastAsia="fr-FR"/>
    </w:rPr>
  </w:style>
  <w:style w:type="character" w:customStyle="1" w:styleId="inlinetitle">
    <w:name w:val="inline_title"/>
    <w:basedOn w:val="Policepardfaut"/>
    <w:rsid w:val="008862C7"/>
  </w:style>
  <w:style w:type="character" w:customStyle="1" w:styleId="A0">
    <w:name w:val="A0"/>
    <w:uiPriority w:val="99"/>
    <w:rsid w:val="008862C7"/>
    <w:rPr>
      <w:rFonts w:ascii="ZMSVRQ+TimesNewRomanPS-BoldMT" w:hAnsi="ZMSVRQ+TimesNewRomanPS-BoldMT" w:cs="ZMSVRQ+TimesNewRomanPS-BoldMT" w:hint="default"/>
      <w:color w:val="000000"/>
      <w:sz w:val="22"/>
      <w:szCs w:val="22"/>
    </w:rPr>
  </w:style>
  <w:style w:type="character" w:customStyle="1" w:styleId="A1">
    <w:name w:val="A1"/>
    <w:uiPriority w:val="99"/>
    <w:rsid w:val="008862C7"/>
    <w:rPr>
      <w:rFonts w:ascii="BKSCTM+TimesNewRomanPSMT" w:hAnsi="BKSCTM+TimesNewRomanPSMT" w:cs="BKSCTM+TimesNewRomanPSMT" w:hint="default"/>
      <w:color w:val="000000"/>
      <w:sz w:val="22"/>
      <w:szCs w:val="22"/>
      <w:u w:val="single"/>
    </w:rPr>
  </w:style>
  <w:style w:type="character" w:customStyle="1" w:styleId="Appeldenote">
    <w:name w:val="Appel de note"/>
    <w:rsid w:val="008862C7"/>
    <w:rPr>
      <w:vertAlign w:val="superscript"/>
    </w:rPr>
  </w:style>
  <w:style w:type="character" w:customStyle="1" w:styleId="LienInternet">
    <w:name w:val="Lien Internet"/>
    <w:basedOn w:val="Policepardfaut"/>
    <w:rsid w:val="008862C7"/>
    <w:rPr>
      <w:color w:val="0000FF"/>
      <w:u w:val="single"/>
      <w:lang w:val="fr-FR" w:eastAsia="fr-FR" w:bidi="fr-FR"/>
    </w:rPr>
  </w:style>
  <w:style w:type="character" w:customStyle="1" w:styleId="num">
    <w:name w:val="num"/>
    <w:basedOn w:val="Policepardfaut"/>
    <w:rsid w:val="008862C7"/>
  </w:style>
  <w:style w:type="character" w:customStyle="1" w:styleId="Sous-titreCar">
    <w:name w:val="Sous-titre Car"/>
    <w:basedOn w:val="Policepardfaut"/>
    <w:rsid w:val="008862C7"/>
    <w:rPr>
      <w:rFonts w:ascii="Cambria" w:eastAsia="Times New Roman" w:hAnsi="Cambria" w:cs="Times New Roman" w:hint="default"/>
      <w:sz w:val="24"/>
      <w:szCs w:val="24"/>
    </w:rPr>
  </w:style>
  <w:style w:type="character" w:customStyle="1" w:styleId="CitationintenseCar">
    <w:name w:val="Citation intense Car"/>
    <w:basedOn w:val="Policepardfaut"/>
    <w:rsid w:val="008862C7"/>
    <w:rPr>
      <w:rFonts w:ascii="Calibri" w:eastAsia="Calibri" w:hAnsi="Calibri" w:cs="Times New Roman" w:hint="default"/>
      <w:b/>
      <w:bCs/>
      <w:i/>
      <w:iCs/>
      <w:color w:val="4F81BD"/>
    </w:rPr>
  </w:style>
  <w:style w:type="character" w:customStyle="1" w:styleId="pron">
    <w:name w:val="pron"/>
    <w:basedOn w:val="Policepardfaut"/>
    <w:rsid w:val="008862C7"/>
    <w:rPr>
      <w:rFonts w:ascii="MS Reference Sans Serif" w:hAnsi="MS Reference Sans Serif" w:hint="default"/>
      <w:color w:val="7F261C"/>
      <w:sz w:val="16"/>
      <w:szCs w:val="16"/>
    </w:rPr>
  </w:style>
  <w:style w:type="character" w:customStyle="1" w:styleId="headword1">
    <w:name w:val="headword1"/>
    <w:basedOn w:val="Policepardfaut"/>
    <w:rsid w:val="008862C7"/>
    <w:rPr>
      <w:rFonts w:ascii="Georgia Ref" w:hAnsi="Georgia Ref" w:hint="default"/>
      <w:b/>
      <w:bCs/>
      <w:color w:val="CB5E0C"/>
      <w:sz w:val="34"/>
      <w:szCs w:val="34"/>
    </w:rPr>
  </w:style>
  <w:style w:type="character" w:customStyle="1" w:styleId="ListLabel1">
    <w:name w:val="ListLabel 1"/>
    <w:rsid w:val="008862C7"/>
    <w:rPr>
      <w:rFonts w:ascii="Calibri" w:hAnsi="Calibri" w:cs="Calibri" w:hint="default"/>
    </w:rPr>
  </w:style>
  <w:style w:type="character" w:customStyle="1" w:styleId="ListLabel2">
    <w:name w:val="ListLabel 2"/>
    <w:rsid w:val="008862C7"/>
    <w:rPr>
      <w:rFonts w:ascii="Courier New" w:hAnsi="Courier New" w:cs="Courier New" w:hint="default"/>
    </w:rPr>
  </w:style>
  <w:style w:type="character" w:customStyle="1" w:styleId="ListLabel3">
    <w:name w:val="ListLabel 3"/>
    <w:rsid w:val="008862C7"/>
    <w:rPr>
      <w:b w:val="0"/>
      <w:bCs w:val="0"/>
      <w:i w:val="0"/>
      <w:iCs w:val="0"/>
    </w:rPr>
  </w:style>
  <w:style w:type="character" w:customStyle="1" w:styleId="ListLabel4">
    <w:name w:val="ListLabel 4"/>
    <w:rsid w:val="008862C7"/>
    <w:rPr>
      <w:sz w:val="22"/>
      <w:szCs w:val="22"/>
    </w:rPr>
  </w:style>
  <w:style w:type="character" w:customStyle="1" w:styleId="ListLabel5">
    <w:name w:val="ListLabel 5"/>
    <w:rsid w:val="008862C7"/>
    <w:rPr>
      <w:rFonts w:ascii="Calibri" w:hAnsi="Calibri" w:cs="Calibri" w:hint="default"/>
      <w:b/>
      <w:bCs w:val="0"/>
      <w:sz w:val="32"/>
    </w:rPr>
  </w:style>
  <w:style w:type="character" w:customStyle="1" w:styleId="ListLabel6">
    <w:name w:val="ListLabel 6"/>
    <w:rsid w:val="008862C7"/>
    <w:rPr>
      <w:b/>
      <w:bCs w:val="0"/>
      <w:i/>
      <w:iCs w:val="0"/>
    </w:rPr>
  </w:style>
  <w:style w:type="character" w:customStyle="1" w:styleId="Caractresdenotedebasdepage">
    <w:name w:val="Caractères de note de bas de page"/>
    <w:rsid w:val="008862C7"/>
  </w:style>
  <w:style w:type="character" w:customStyle="1" w:styleId="Caractresdenotedefin">
    <w:name w:val="Caractères de note de fin"/>
    <w:rsid w:val="008862C7"/>
  </w:style>
  <w:style w:type="paragraph" w:styleId="Titre">
    <w:name w:val="Title"/>
    <w:basedOn w:val="Normal"/>
    <w:next w:val="Normal"/>
    <w:link w:val="TitreCar"/>
    <w:uiPriority w:val="10"/>
    <w:qFormat/>
    <w:rsid w:val="008862C7"/>
    <w:pPr>
      <w:pBdr>
        <w:bottom w:val="single" w:sz="8" w:space="4" w:color="5B9BD5" w:themeColor="accent1"/>
      </w:pBdr>
      <w:tabs>
        <w:tab w:val="left" w:pos="708"/>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itreCar">
    <w:name w:val="Titre Car"/>
    <w:basedOn w:val="Policepardfaut"/>
    <w:link w:val="Titre"/>
    <w:uiPriority w:val="10"/>
    <w:rsid w:val="008862C7"/>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extedebullesCar1">
    <w:name w:val="Texte de bulles Car1"/>
    <w:basedOn w:val="Policepardfaut"/>
    <w:uiPriority w:val="99"/>
    <w:rsid w:val="008862C7"/>
    <w:rPr>
      <w:rFonts w:ascii="Tahoma" w:eastAsia="WenQuanYi Micro Hei" w:hAnsi="Tahoma" w:cs="Tahoma" w:hint="default"/>
      <w:sz w:val="16"/>
      <w:szCs w:val="16"/>
      <w:lang w:eastAsia="zh-CN" w:bidi="hi-IN"/>
    </w:rPr>
  </w:style>
  <w:style w:type="paragraph" w:styleId="Sous-titre">
    <w:name w:val="Subtitle"/>
    <w:basedOn w:val="Normal"/>
    <w:next w:val="Normal"/>
    <w:link w:val="Sous-titreCar1"/>
    <w:qFormat/>
    <w:rsid w:val="008862C7"/>
    <w:pPr>
      <w:numPr>
        <w:ilvl w:val="1"/>
      </w:numPr>
      <w:tabs>
        <w:tab w:val="left" w:pos="708"/>
      </w:tabs>
      <w:spacing w:after="200" w:line="276" w:lineRule="auto"/>
    </w:pPr>
    <w:rPr>
      <w:rFonts w:asciiTheme="majorHAnsi" w:eastAsiaTheme="majorEastAsia" w:hAnsiTheme="majorHAnsi" w:cstheme="majorBidi"/>
      <w:i/>
      <w:iCs/>
      <w:color w:val="5B9BD5" w:themeColor="accent1"/>
      <w:spacing w:val="15"/>
      <w:sz w:val="24"/>
      <w:szCs w:val="24"/>
      <w:lang w:eastAsia="fr-FR"/>
    </w:rPr>
  </w:style>
  <w:style w:type="character" w:customStyle="1" w:styleId="Sous-titreCar1">
    <w:name w:val="Sous-titre Car1"/>
    <w:basedOn w:val="Policepardfaut"/>
    <w:link w:val="Sous-titre"/>
    <w:rsid w:val="008862C7"/>
    <w:rPr>
      <w:rFonts w:asciiTheme="majorHAnsi" w:eastAsiaTheme="majorEastAsia" w:hAnsiTheme="majorHAnsi" w:cstheme="majorBidi"/>
      <w:i/>
      <w:iCs/>
      <w:color w:val="5B9BD5" w:themeColor="accent1"/>
      <w:spacing w:val="15"/>
      <w:sz w:val="24"/>
      <w:szCs w:val="24"/>
      <w:lang w:eastAsia="fr-FR"/>
    </w:rPr>
  </w:style>
  <w:style w:type="paragraph" w:styleId="Citationintense">
    <w:name w:val="Intense Quote"/>
    <w:basedOn w:val="Normal"/>
    <w:next w:val="Normal"/>
    <w:link w:val="CitationintenseCar1"/>
    <w:qFormat/>
    <w:rsid w:val="008862C7"/>
    <w:pPr>
      <w:pBdr>
        <w:bottom w:val="single" w:sz="4" w:space="4" w:color="5B9BD5" w:themeColor="accent1"/>
      </w:pBdr>
      <w:tabs>
        <w:tab w:val="left" w:pos="708"/>
      </w:tabs>
      <w:spacing w:before="200" w:after="280" w:line="276" w:lineRule="auto"/>
      <w:ind w:left="936" w:right="936"/>
    </w:pPr>
    <w:rPr>
      <w:rFonts w:ascii="Calibri" w:eastAsia="Times New Roman" w:hAnsi="Calibri" w:cs="Times New Roman"/>
      <w:b/>
      <w:bCs/>
      <w:i/>
      <w:iCs/>
      <w:color w:val="5B9BD5" w:themeColor="accent1"/>
      <w:lang w:eastAsia="fr-FR"/>
    </w:rPr>
  </w:style>
  <w:style w:type="character" w:customStyle="1" w:styleId="CitationintenseCar1">
    <w:name w:val="Citation intense Car1"/>
    <w:basedOn w:val="Policepardfaut"/>
    <w:link w:val="Citationintense"/>
    <w:rsid w:val="008862C7"/>
    <w:rPr>
      <w:rFonts w:ascii="Calibri" w:eastAsia="Times New Roman" w:hAnsi="Calibri" w:cs="Times New Roman"/>
      <w:b/>
      <w:bCs/>
      <w:i/>
      <w:iCs/>
      <w:color w:val="5B9BD5" w:themeColor="accent1"/>
      <w:lang w:eastAsia="fr-FR"/>
    </w:rPr>
  </w:style>
  <w:style w:type="character" w:customStyle="1" w:styleId="familyname">
    <w:name w:val="familyname"/>
    <w:basedOn w:val="Policepardfaut"/>
    <w:rsid w:val="008862C7"/>
  </w:style>
  <w:style w:type="paragraph" w:styleId="Textebrut">
    <w:name w:val="Plain Text"/>
    <w:basedOn w:val="Standard"/>
    <w:link w:val="TextebrutCar"/>
    <w:uiPriority w:val="99"/>
    <w:unhideWhenUsed/>
    <w:rsid w:val="008862C7"/>
    <w:pPr>
      <w:suppressAutoHyphens w:val="0"/>
      <w:spacing w:after="0" w:line="240" w:lineRule="auto"/>
    </w:pPr>
    <w:rPr>
      <w:rFonts w:ascii="Courier New" w:eastAsia="Times New Roman" w:hAnsi="Courier New" w:cs="Courier New"/>
      <w:sz w:val="20"/>
      <w:szCs w:val="20"/>
      <w:lang w:eastAsia="fr-FR" w:bidi="ar-SA"/>
    </w:rPr>
  </w:style>
  <w:style w:type="character" w:customStyle="1" w:styleId="TextebrutCar">
    <w:name w:val="Texte brut Car"/>
    <w:basedOn w:val="Policepardfaut"/>
    <w:link w:val="Textebrut"/>
    <w:uiPriority w:val="99"/>
    <w:rsid w:val="008862C7"/>
    <w:rPr>
      <w:rFonts w:ascii="Courier New" w:eastAsia="Times New Roman" w:hAnsi="Courier New" w:cs="Courier New"/>
      <w:sz w:val="20"/>
      <w:szCs w:val="20"/>
      <w:lang w:eastAsia="fr-FR"/>
    </w:rPr>
  </w:style>
  <w:style w:type="paragraph" w:styleId="TM1">
    <w:name w:val="toc 1"/>
    <w:basedOn w:val="Standard"/>
    <w:next w:val="Normal"/>
    <w:link w:val="TM1Car"/>
    <w:autoRedefine/>
    <w:uiPriority w:val="39"/>
    <w:unhideWhenUsed/>
    <w:qFormat/>
    <w:rsid w:val="008862C7"/>
    <w:pPr>
      <w:tabs>
        <w:tab w:val="clear" w:pos="708"/>
        <w:tab w:val="right" w:leader="dot" w:pos="9062"/>
      </w:tabs>
      <w:suppressAutoHyphens w:val="0"/>
      <w:spacing w:before="120" w:after="120"/>
      <w:jc w:val="both"/>
    </w:pPr>
    <w:rPr>
      <w:rFonts w:ascii="Arial" w:eastAsia="Times New Roman" w:hAnsi="Arial" w:cs="Arial"/>
      <w:b/>
      <w:bCs/>
      <w:caps/>
      <w:noProof/>
      <w:lang w:eastAsia="fr-FR" w:bidi="ar-SA"/>
    </w:rPr>
  </w:style>
  <w:style w:type="character" w:customStyle="1" w:styleId="TM1Car">
    <w:name w:val="TM 1 Car"/>
    <w:basedOn w:val="Policepardfaut"/>
    <w:link w:val="TM1"/>
    <w:uiPriority w:val="39"/>
    <w:locked/>
    <w:rsid w:val="008862C7"/>
    <w:rPr>
      <w:rFonts w:ascii="Arial" w:eastAsia="Times New Roman" w:hAnsi="Arial" w:cs="Arial"/>
      <w:b/>
      <w:bCs/>
      <w:caps/>
      <w:noProof/>
      <w:sz w:val="24"/>
      <w:szCs w:val="24"/>
      <w:lang w:eastAsia="fr-FR"/>
    </w:rPr>
  </w:style>
  <w:style w:type="character" w:customStyle="1" w:styleId="apple-converted-space">
    <w:name w:val="apple-converted-space"/>
    <w:basedOn w:val="Policepardfaut"/>
    <w:rsid w:val="008862C7"/>
  </w:style>
  <w:style w:type="paragraph" w:styleId="Paragraphedeliste">
    <w:name w:val="List Paragraph"/>
    <w:basedOn w:val="Standard"/>
    <w:uiPriority w:val="34"/>
    <w:qFormat/>
    <w:rsid w:val="008862C7"/>
    <w:pPr>
      <w:suppressAutoHyphens w:val="0"/>
      <w:ind w:left="720"/>
      <w:contextualSpacing/>
    </w:pPr>
    <w:rPr>
      <w:rFonts w:ascii="Calibri" w:eastAsia="Times New Roman" w:hAnsi="Calibri" w:cs="Times New Roman"/>
      <w:sz w:val="22"/>
      <w:szCs w:val="22"/>
      <w:lang w:eastAsia="fr-FR" w:bidi="ar-SA"/>
    </w:rPr>
  </w:style>
  <w:style w:type="paragraph" w:styleId="TM9">
    <w:name w:val="toc 9"/>
    <w:basedOn w:val="Standard"/>
    <w:next w:val="Normal"/>
    <w:autoRedefine/>
    <w:uiPriority w:val="39"/>
    <w:semiHidden/>
    <w:unhideWhenUsed/>
    <w:rsid w:val="008862C7"/>
    <w:pPr>
      <w:suppressAutoHyphens w:val="0"/>
      <w:spacing w:after="0"/>
      <w:ind w:left="1760"/>
    </w:pPr>
    <w:rPr>
      <w:rFonts w:ascii="Calibri" w:eastAsia="Times New Roman" w:hAnsi="Calibri" w:cs="Times New Roman"/>
      <w:sz w:val="18"/>
      <w:szCs w:val="18"/>
      <w:lang w:eastAsia="fr-FR" w:bidi="ar-SA"/>
    </w:rPr>
  </w:style>
  <w:style w:type="paragraph" w:styleId="TM8">
    <w:name w:val="toc 8"/>
    <w:basedOn w:val="Standard"/>
    <w:next w:val="Normal"/>
    <w:autoRedefine/>
    <w:uiPriority w:val="39"/>
    <w:semiHidden/>
    <w:unhideWhenUsed/>
    <w:rsid w:val="008862C7"/>
    <w:pPr>
      <w:suppressAutoHyphens w:val="0"/>
      <w:spacing w:after="0"/>
      <w:ind w:left="1540"/>
    </w:pPr>
    <w:rPr>
      <w:rFonts w:ascii="Calibri" w:eastAsia="Times New Roman" w:hAnsi="Calibri" w:cs="Times New Roman"/>
      <w:sz w:val="18"/>
      <w:szCs w:val="18"/>
      <w:lang w:eastAsia="fr-FR" w:bidi="ar-SA"/>
    </w:rPr>
  </w:style>
  <w:style w:type="paragraph" w:styleId="TM7">
    <w:name w:val="toc 7"/>
    <w:basedOn w:val="Standard"/>
    <w:next w:val="Normal"/>
    <w:autoRedefine/>
    <w:uiPriority w:val="39"/>
    <w:semiHidden/>
    <w:unhideWhenUsed/>
    <w:rsid w:val="008862C7"/>
    <w:pPr>
      <w:suppressAutoHyphens w:val="0"/>
      <w:spacing w:after="0"/>
      <w:ind w:left="1320"/>
    </w:pPr>
    <w:rPr>
      <w:rFonts w:ascii="Calibri" w:eastAsia="Times New Roman" w:hAnsi="Calibri" w:cs="Times New Roman"/>
      <w:sz w:val="18"/>
      <w:szCs w:val="18"/>
      <w:lang w:eastAsia="fr-FR" w:bidi="ar-SA"/>
    </w:rPr>
  </w:style>
  <w:style w:type="paragraph" w:styleId="TM6">
    <w:name w:val="toc 6"/>
    <w:basedOn w:val="Standard"/>
    <w:next w:val="Normal"/>
    <w:autoRedefine/>
    <w:uiPriority w:val="39"/>
    <w:semiHidden/>
    <w:unhideWhenUsed/>
    <w:rsid w:val="008862C7"/>
    <w:pPr>
      <w:suppressAutoHyphens w:val="0"/>
      <w:spacing w:after="0"/>
      <w:ind w:left="1100"/>
    </w:pPr>
    <w:rPr>
      <w:rFonts w:ascii="Calibri" w:eastAsia="Times New Roman" w:hAnsi="Calibri" w:cs="Times New Roman"/>
      <w:sz w:val="18"/>
      <w:szCs w:val="18"/>
      <w:lang w:eastAsia="fr-FR" w:bidi="ar-SA"/>
    </w:rPr>
  </w:style>
  <w:style w:type="paragraph" w:styleId="TM5">
    <w:name w:val="toc 5"/>
    <w:basedOn w:val="Standard"/>
    <w:next w:val="Normal"/>
    <w:autoRedefine/>
    <w:uiPriority w:val="39"/>
    <w:semiHidden/>
    <w:unhideWhenUsed/>
    <w:rsid w:val="008862C7"/>
    <w:pPr>
      <w:suppressAutoHyphens w:val="0"/>
      <w:spacing w:after="0"/>
      <w:ind w:left="880"/>
    </w:pPr>
    <w:rPr>
      <w:rFonts w:ascii="Calibri" w:eastAsia="Times New Roman" w:hAnsi="Calibri" w:cs="Times New Roman"/>
      <w:sz w:val="18"/>
      <w:szCs w:val="18"/>
      <w:lang w:eastAsia="fr-FR" w:bidi="ar-SA"/>
    </w:rPr>
  </w:style>
  <w:style w:type="paragraph" w:styleId="TM4">
    <w:name w:val="toc 4"/>
    <w:basedOn w:val="Standard"/>
    <w:next w:val="Normal"/>
    <w:autoRedefine/>
    <w:uiPriority w:val="39"/>
    <w:semiHidden/>
    <w:unhideWhenUsed/>
    <w:rsid w:val="008862C7"/>
    <w:pPr>
      <w:suppressAutoHyphens w:val="0"/>
      <w:spacing w:after="0"/>
      <w:ind w:left="660"/>
    </w:pPr>
    <w:rPr>
      <w:rFonts w:ascii="Calibri" w:eastAsia="Times New Roman" w:hAnsi="Calibri" w:cs="Times New Roman"/>
      <w:sz w:val="18"/>
      <w:szCs w:val="18"/>
      <w:lang w:eastAsia="fr-FR" w:bidi="ar-SA"/>
    </w:rPr>
  </w:style>
  <w:style w:type="paragraph" w:styleId="TM3">
    <w:name w:val="toc 3"/>
    <w:basedOn w:val="Standard"/>
    <w:next w:val="Normal"/>
    <w:autoRedefine/>
    <w:uiPriority w:val="39"/>
    <w:semiHidden/>
    <w:unhideWhenUsed/>
    <w:qFormat/>
    <w:rsid w:val="008862C7"/>
    <w:pPr>
      <w:suppressAutoHyphens w:val="0"/>
      <w:spacing w:after="0"/>
      <w:ind w:left="440"/>
    </w:pPr>
    <w:rPr>
      <w:rFonts w:ascii="Calibri" w:eastAsia="Times New Roman" w:hAnsi="Calibri" w:cs="Times New Roman"/>
      <w:i/>
      <w:iCs/>
      <w:sz w:val="20"/>
      <w:szCs w:val="20"/>
      <w:lang w:eastAsia="fr-FR" w:bidi="ar-SA"/>
    </w:rPr>
  </w:style>
  <w:style w:type="paragraph" w:styleId="TM2">
    <w:name w:val="toc 2"/>
    <w:basedOn w:val="Standard"/>
    <w:next w:val="Normal"/>
    <w:autoRedefine/>
    <w:uiPriority w:val="39"/>
    <w:semiHidden/>
    <w:unhideWhenUsed/>
    <w:qFormat/>
    <w:rsid w:val="008862C7"/>
    <w:pPr>
      <w:tabs>
        <w:tab w:val="clear" w:pos="708"/>
        <w:tab w:val="right" w:leader="dot" w:pos="9062"/>
      </w:tabs>
      <w:suppressAutoHyphens w:val="0"/>
      <w:spacing w:after="0"/>
      <w:ind w:left="220"/>
    </w:pPr>
    <w:rPr>
      <w:rFonts w:ascii="Arial" w:eastAsia="Times New Roman" w:hAnsi="Arial" w:cs="Arial"/>
      <w:b/>
      <w:smallCaps/>
      <w:noProof/>
      <w:lang w:eastAsia="fr-FR"/>
    </w:rPr>
  </w:style>
  <w:style w:type="paragraph" w:styleId="NormalWeb">
    <w:name w:val="Normal (Web)"/>
    <w:basedOn w:val="Standard"/>
    <w:uiPriority w:val="99"/>
    <w:semiHidden/>
    <w:unhideWhenUsed/>
    <w:rsid w:val="008862C7"/>
    <w:pPr>
      <w:spacing w:before="28" w:after="28" w:line="100" w:lineRule="atLeast"/>
    </w:pPr>
    <w:rPr>
      <w:rFonts w:ascii="Times New Roman" w:eastAsia="Times New Roman" w:hAnsi="Times New Roman" w:cs="Times New Roman"/>
      <w:lang w:eastAsia="fr-FR"/>
    </w:rPr>
  </w:style>
  <w:style w:type="character" w:styleId="Accentuation">
    <w:name w:val="Emphasis"/>
    <w:basedOn w:val="Policepardfaut"/>
    <w:qFormat/>
    <w:rsid w:val="008862C7"/>
    <w:rPr>
      <w:i/>
      <w:iCs/>
    </w:rPr>
  </w:style>
  <w:style w:type="character" w:styleId="lev">
    <w:name w:val="Strong"/>
    <w:basedOn w:val="Policepardfaut"/>
    <w:uiPriority w:val="22"/>
    <w:qFormat/>
    <w:rsid w:val="008862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MEXAN\MEMOIRE_KAMATA_COTON_2014%20COR.docx" TargetMode="External"/><Relationship Id="rId21" Type="http://schemas.openxmlformats.org/officeDocument/2006/relationships/chart" Target="charts/chart8.xml"/><Relationship Id="rId42" Type="http://schemas.openxmlformats.org/officeDocument/2006/relationships/hyperlink" Target="http://www.oecd.org/dsti/stat-ona/stats/" TargetMode="External"/><Relationship Id="rId63" Type="http://schemas.openxmlformats.org/officeDocument/2006/relationships/hyperlink" Target="file:///D:\MEXAN\MEMOIRE_KAMATA_COTON_2014%20COR.docx" TargetMode="External"/><Relationship Id="rId84" Type="http://schemas.openxmlformats.org/officeDocument/2006/relationships/hyperlink" Target="file:///D:\MEXAN\MEMOIRE_KAMATA_COTON_2014%20COR.docx" TargetMode="External"/><Relationship Id="rId138" Type="http://schemas.openxmlformats.org/officeDocument/2006/relationships/hyperlink" Target="file:///D:\MEXAN\MEMOIRE_KAMATA_COTON_2014%20COR.docx" TargetMode="External"/><Relationship Id="rId159" Type="http://schemas.openxmlformats.org/officeDocument/2006/relationships/hyperlink" Target="file:///D:\MEXAN\MEMOIRE_KAMATA_COTON_2014%20COR.docx" TargetMode="External"/><Relationship Id="rId170" Type="http://schemas.openxmlformats.org/officeDocument/2006/relationships/hyperlink" Target="file:///D:\MEXAN\MEMOIRE_KAMATA_COTON_2014%20COR.docx" TargetMode="External"/><Relationship Id="rId191" Type="http://schemas.openxmlformats.org/officeDocument/2006/relationships/hyperlink" Target="file:///D:\MEXAN\MEMOIRE_KAMATA_COTON_2014%20COR.docx" TargetMode="External"/><Relationship Id="rId205" Type="http://schemas.openxmlformats.org/officeDocument/2006/relationships/hyperlink" Target="file:///D:\MEXAN\MEMOIRE_KAMATA_COTON_2014%20COR.docx" TargetMode="External"/><Relationship Id="rId226" Type="http://schemas.openxmlformats.org/officeDocument/2006/relationships/hyperlink" Target="file:///D:\MEXAN\MEMOIRE_KAMATA_COTON_2014%20COR.docx" TargetMode="External"/><Relationship Id="rId247" Type="http://schemas.openxmlformats.org/officeDocument/2006/relationships/hyperlink" Target="file:///D:\MEXAN\MEMOIRE_KAMATA_COTON_2014%20COR.docx" TargetMode="External"/><Relationship Id="rId107" Type="http://schemas.openxmlformats.org/officeDocument/2006/relationships/hyperlink" Target="file:///D:\MEXAN\MEMOIRE_KAMATA_COTON_2014%20COR.docx" TargetMode="External"/><Relationship Id="rId11" Type="http://schemas.microsoft.com/office/2011/relationships/commentsExtended" Target="commentsExtended.xml"/><Relationship Id="rId32" Type="http://schemas.openxmlformats.org/officeDocument/2006/relationships/hyperlink" Target="http://faostat3.fao.org/faostat-gateway/go/to/home/E" TargetMode="External"/><Relationship Id="rId53" Type="http://schemas.openxmlformats.org/officeDocument/2006/relationships/hyperlink" Target="file:///D:\MEXAN\MEMOIRE_KAMATA_COTON_2014%20COR.docx" TargetMode="External"/><Relationship Id="rId74" Type="http://schemas.openxmlformats.org/officeDocument/2006/relationships/hyperlink" Target="file:///D:\MEXAN\MEMOIRE_KAMATA_COTON_2014%20COR.docx" TargetMode="External"/><Relationship Id="rId128" Type="http://schemas.openxmlformats.org/officeDocument/2006/relationships/hyperlink" Target="file:///D:\MEXAN\MEMOIRE_KAMATA_COTON_2014%20COR.docx" TargetMode="External"/><Relationship Id="rId149" Type="http://schemas.openxmlformats.org/officeDocument/2006/relationships/hyperlink" Target="file:///D:\MEXAN\MEMOIRE_KAMATA_COTON_2014%20COR.docx" TargetMode="External"/><Relationship Id="rId5" Type="http://schemas.openxmlformats.org/officeDocument/2006/relationships/footnotes" Target="footnotes.xml"/><Relationship Id="rId95" Type="http://schemas.openxmlformats.org/officeDocument/2006/relationships/hyperlink" Target="file:///D:\MEXAN\MEMOIRE_KAMATA_COTON_2014%20COR.docx" TargetMode="External"/><Relationship Id="rId160" Type="http://schemas.openxmlformats.org/officeDocument/2006/relationships/hyperlink" Target="file:///D:\MEXAN\MEMOIRE_KAMATA_COTON_2014%20COR.docx" TargetMode="External"/><Relationship Id="rId181" Type="http://schemas.openxmlformats.org/officeDocument/2006/relationships/hyperlink" Target="file:///D:\MEXAN\MEMOIRE_KAMATA_COTON_2014%20COR.docx" TargetMode="External"/><Relationship Id="rId216" Type="http://schemas.openxmlformats.org/officeDocument/2006/relationships/hyperlink" Target="file:///D:\MEXAN\MEMOIRE_KAMATA_COTON_2014%20COR.docx" TargetMode="External"/><Relationship Id="rId237" Type="http://schemas.openxmlformats.org/officeDocument/2006/relationships/hyperlink" Target="file:///D:\MEXAN\MEMOIRE_KAMATA_COTON_2014%20COR.docx" TargetMode="External"/><Relationship Id="rId258" Type="http://schemas.openxmlformats.org/officeDocument/2006/relationships/theme" Target="theme/theme1.xml"/><Relationship Id="rId22" Type="http://schemas.openxmlformats.org/officeDocument/2006/relationships/chart" Target="charts/chart9.xml"/><Relationship Id="rId43" Type="http://schemas.openxmlformats.org/officeDocument/2006/relationships/hyperlink" Target="http://www.epp.eurostat.ec.europa.eu/portal/page/portal/agricultue/data/" TargetMode="External"/><Relationship Id="rId64" Type="http://schemas.openxmlformats.org/officeDocument/2006/relationships/hyperlink" Target="file:///D:\MEXAN\MEMOIRE_KAMATA_COTON_2014%20COR.docx" TargetMode="External"/><Relationship Id="rId118" Type="http://schemas.openxmlformats.org/officeDocument/2006/relationships/hyperlink" Target="file:///D:\MEXAN\MEMOIRE_KAMATA_COTON_2014%20COR.docx" TargetMode="External"/><Relationship Id="rId139" Type="http://schemas.openxmlformats.org/officeDocument/2006/relationships/hyperlink" Target="file:///D:\MEXAN\MEMOIRE_KAMATA_COTON_2014%20COR.docx" TargetMode="External"/><Relationship Id="rId85" Type="http://schemas.openxmlformats.org/officeDocument/2006/relationships/hyperlink" Target="file:///D:\MEXAN\MEMOIRE_KAMATA_COTON_2014%20COR.docx" TargetMode="External"/><Relationship Id="rId150" Type="http://schemas.openxmlformats.org/officeDocument/2006/relationships/hyperlink" Target="file:///D:\MEXAN\MEMOIRE_KAMATA_COTON_2014%20COR.docx" TargetMode="External"/><Relationship Id="rId171" Type="http://schemas.openxmlformats.org/officeDocument/2006/relationships/hyperlink" Target="file:///D:\MEXAN\MEMOIRE_KAMATA_COTON_2014%20COR.docx" TargetMode="External"/><Relationship Id="rId192" Type="http://schemas.openxmlformats.org/officeDocument/2006/relationships/hyperlink" Target="file:///D:\MEXAN\MEMOIRE_KAMATA_COTON_2014%20COR.docx" TargetMode="External"/><Relationship Id="rId206" Type="http://schemas.openxmlformats.org/officeDocument/2006/relationships/hyperlink" Target="file:///D:\MEXAN\MEMOIRE_KAMATA_COTON_2014%20COR.docx" TargetMode="External"/><Relationship Id="rId227" Type="http://schemas.openxmlformats.org/officeDocument/2006/relationships/hyperlink" Target="file:///D:\MEXAN\MEMOIRE_KAMATA_COTON_2014%20COR.docx" TargetMode="External"/><Relationship Id="rId248" Type="http://schemas.openxmlformats.org/officeDocument/2006/relationships/hyperlink" Target="file:///D:\MEXAN\MEMOIRE_KAMATA_COTON_2014%20COR.docx" TargetMode="External"/><Relationship Id="rId12" Type="http://schemas.openxmlformats.org/officeDocument/2006/relationships/image" Target="media/image3.emf"/><Relationship Id="rId33" Type="http://schemas.openxmlformats.org/officeDocument/2006/relationships/hyperlink" Target="http://www.cotlook.org" TargetMode="External"/><Relationship Id="rId108" Type="http://schemas.openxmlformats.org/officeDocument/2006/relationships/hyperlink" Target="file:///D:\MEXAN\MEMOIRE_KAMATA_COTON_2014%20COR.docx" TargetMode="External"/><Relationship Id="rId129" Type="http://schemas.openxmlformats.org/officeDocument/2006/relationships/hyperlink" Target="file:///D:\MEXAN\MEMOIRE_KAMATA_COTON_2014%20COR.docx" TargetMode="External"/><Relationship Id="rId54" Type="http://schemas.openxmlformats.org/officeDocument/2006/relationships/hyperlink" Target="file:///D:\MEXAN\MEMOIRE_KAMATA_COTON_2014%20COR.docx" TargetMode="External"/><Relationship Id="rId70" Type="http://schemas.openxmlformats.org/officeDocument/2006/relationships/hyperlink" Target="file:///D:\MEXAN\MEMOIRE_KAMATA_COTON_2014%20COR.docx" TargetMode="External"/><Relationship Id="rId75" Type="http://schemas.openxmlformats.org/officeDocument/2006/relationships/hyperlink" Target="file:///D:\MEXAN\MEMOIRE_KAMATA_COTON_2014%20COR.docx" TargetMode="External"/><Relationship Id="rId91" Type="http://schemas.openxmlformats.org/officeDocument/2006/relationships/hyperlink" Target="file:///D:\MEXAN\MEMOIRE_KAMATA_COTON_2014%20COR.docx" TargetMode="External"/><Relationship Id="rId96" Type="http://schemas.openxmlformats.org/officeDocument/2006/relationships/hyperlink" Target="file:///D:\MEXAN\MEMOIRE_KAMATA_COTON_2014%20COR.docx" TargetMode="External"/><Relationship Id="rId140" Type="http://schemas.openxmlformats.org/officeDocument/2006/relationships/hyperlink" Target="file:///D:\MEXAN\MEMOIRE_KAMATA_COTON_2014%20COR.docx" TargetMode="External"/><Relationship Id="rId145" Type="http://schemas.openxmlformats.org/officeDocument/2006/relationships/hyperlink" Target="file:///D:\MEXAN\MEMOIRE_KAMATA_COTON_2014%20COR.docx" TargetMode="External"/><Relationship Id="rId161" Type="http://schemas.openxmlformats.org/officeDocument/2006/relationships/hyperlink" Target="file:///D:\MEXAN\MEMOIRE_KAMATA_COTON_2014%20COR.docx" TargetMode="External"/><Relationship Id="rId166" Type="http://schemas.openxmlformats.org/officeDocument/2006/relationships/hyperlink" Target="file:///D:\MEXAN\MEMOIRE_KAMATA_COTON_2014%20COR.docx" TargetMode="External"/><Relationship Id="rId182" Type="http://schemas.openxmlformats.org/officeDocument/2006/relationships/hyperlink" Target="file:///D:\MEXAN\MEMOIRE_KAMATA_COTON_2014%20COR.docx" TargetMode="External"/><Relationship Id="rId187" Type="http://schemas.openxmlformats.org/officeDocument/2006/relationships/hyperlink" Target="file:///D:\MEXAN\MEMOIRE_KAMATA_COTON_2014%20COR.docx" TargetMode="External"/><Relationship Id="rId217" Type="http://schemas.openxmlformats.org/officeDocument/2006/relationships/hyperlink" Target="file:///D:\MEXAN\MEMOIRE_KAMATA_COTON_2014%20COR.docx"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file:///D:\MEXAN\MEMOIRE_KAMATA_COTON_2014%20COR.docx" TargetMode="External"/><Relationship Id="rId233" Type="http://schemas.openxmlformats.org/officeDocument/2006/relationships/hyperlink" Target="file:///D:\MEXAN\MEMOIRE_KAMATA_COTON_2014%20COR.docx" TargetMode="External"/><Relationship Id="rId238" Type="http://schemas.openxmlformats.org/officeDocument/2006/relationships/hyperlink" Target="file:///D:\MEXAN\MEMOIRE_KAMATA_COTON_2014%20COR.docx" TargetMode="External"/><Relationship Id="rId254" Type="http://schemas.openxmlformats.org/officeDocument/2006/relationships/hyperlink" Target="file:///D:\MEXAN\MEMOIRE_KAMATA_COTON_2014%20COR.docx" TargetMode="External"/><Relationship Id="rId23" Type="http://schemas.openxmlformats.org/officeDocument/2006/relationships/chart" Target="charts/chart10.xml"/><Relationship Id="rId28" Type="http://schemas.openxmlformats.org/officeDocument/2006/relationships/image" Target="media/image7.emf"/><Relationship Id="rId49" Type="http://schemas.openxmlformats.org/officeDocument/2006/relationships/hyperlink" Target="file:///D:\MEXAN\MEMOIRE_KAMATA_COTON_2014%20COR.docx" TargetMode="External"/><Relationship Id="rId114" Type="http://schemas.openxmlformats.org/officeDocument/2006/relationships/hyperlink" Target="file:///D:\MEXAN\MEMOIRE_KAMATA_COTON_2014%20COR.docx" TargetMode="External"/><Relationship Id="rId119" Type="http://schemas.openxmlformats.org/officeDocument/2006/relationships/hyperlink" Target="file:///D:\MEXAN\MEMOIRE_KAMATA_COTON_2014%20COR.docx" TargetMode="External"/><Relationship Id="rId44" Type="http://schemas.openxmlformats.org/officeDocument/2006/relationships/hyperlink" Target="http://www.doingbusiness.org" TargetMode="External"/><Relationship Id="rId60" Type="http://schemas.openxmlformats.org/officeDocument/2006/relationships/hyperlink" Target="file:///D:\MEXAN\MEMOIRE_KAMATA_COTON_2014%20COR.docx" TargetMode="External"/><Relationship Id="rId65" Type="http://schemas.openxmlformats.org/officeDocument/2006/relationships/hyperlink" Target="file:///D:\MEXAN\MEMOIRE_KAMATA_COTON_2014%20COR.docx" TargetMode="External"/><Relationship Id="rId81" Type="http://schemas.openxmlformats.org/officeDocument/2006/relationships/hyperlink" Target="file:///D:\MEXAN\MEMOIRE_KAMATA_COTON_2014%20COR.docx" TargetMode="External"/><Relationship Id="rId86" Type="http://schemas.openxmlformats.org/officeDocument/2006/relationships/hyperlink" Target="file:///D:\MEXAN\MEMOIRE_KAMATA_COTON_2014%20COR.docx" TargetMode="External"/><Relationship Id="rId130" Type="http://schemas.openxmlformats.org/officeDocument/2006/relationships/hyperlink" Target="file:///D:\MEXAN\MEMOIRE_KAMATA_COTON_2014%20COR.docx" TargetMode="External"/><Relationship Id="rId135" Type="http://schemas.openxmlformats.org/officeDocument/2006/relationships/hyperlink" Target="file:///D:\MEXAN\MEMOIRE_KAMATA_COTON_2014%20COR.docx" TargetMode="External"/><Relationship Id="rId151" Type="http://schemas.openxmlformats.org/officeDocument/2006/relationships/hyperlink" Target="file:///D:\MEXAN\MEMOIRE_KAMATA_COTON_2014%20COR.docx" TargetMode="External"/><Relationship Id="rId156" Type="http://schemas.openxmlformats.org/officeDocument/2006/relationships/hyperlink" Target="file:///D:\MEXAN\MEMOIRE_KAMATA_COTON_2014%20COR.docx" TargetMode="External"/><Relationship Id="rId177" Type="http://schemas.openxmlformats.org/officeDocument/2006/relationships/hyperlink" Target="file:///D:\MEXAN\MEMOIRE_KAMATA_COTON_2014%20COR.docx" TargetMode="External"/><Relationship Id="rId198" Type="http://schemas.openxmlformats.org/officeDocument/2006/relationships/hyperlink" Target="file:///D:\MEXAN\MEMOIRE_KAMATA_COTON_2014%20COR.docx" TargetMode="External"/><Relationship Id="rId172" Type="http://schemas.openxmlformats.org/officeDocument/2006/relationships/hyperlink" Target="file:///D:\MEXAN\MEMOIRE_KAMATA_COTON_2014%20COR.docx" TargetMode="External"/><Relationship Id="rId193" Type="http://schemas.openxmlformats.org/officeDocument/2006/relationships/hyperlink" Target="file:///D:\MEXAN\MEMOIRE_KAMATA_COTON_2014%20COR.docx" TargetMode="External"/><Relationship Id="rId202" Type="http://schemas.openxmlformats.org/officeDocument/2006/relationships/hyperlink" Target="file:///D:\MEXAN\MEMOIRE_KAMATA_COTON_2014%20COR.docx" TargetMode="External"/><Relationship Id="rId207" Type="http://schemas.openxmlformats.org/officeDocument/2006/relationships/hyperlink" Target="file:///D:\MEXAN\MEMOIRE_KAMATA_COTON_2014%20COR.docx" TargetMode="External"/><Relationship Id="rId223" Type="http://schemas.openxmlformats.org/officeDocument/2006/relationships/hyperlink" Target="file:///D:\MEXAN\MEMOIRE_KAMATA_COTON_2014%20COR.docx" TargetMode="External"/><Relationship Id="rId228" Type="http://schemas.openxmlformats.org/officeDocument/2006/relationships/hyperlink" Target="file:///D:\MEXAN\MEMOIRE_KAMATA_COTON_2014%20COR.docx" TargetMode="External"/><Relationship Id="rId244" Type="http://schemas.openxmlformats.org/officeDocument/2006/relationships/hyperlink" Target="file:///D:\MEXAN\MEMOIRE_KAMATA_COTON_2014%20COR.docx" TargetMode="External"/><Relationship Id="rId249" Type="http://schemas.openxmlformats.org/officeDocument/2006/relationships/hyperlink" Target="file:///D:\MEXAN\MEMOIRE_KAMATA_COTON_2014%20COR.docx" TargetMode="External"/><Relationship Id="rId13" Type="http://schemas.openxmlformats.org/officeDocument/2006/relationships/image" Target="media/image4.jpeg"/><Relationship Id="rId18" Type="http://schemas.openxmlformats.org/officeDocument/2006/relationships/chart" Target="charts/chart5.xml"/><Relationship Id="rId39" Type="http://schemas.openxmlformats.org/officeDocument/2006/relationships/hyperlink" Target="http://www.unctad.org/wir" TargetMode="External"/><Relationship Id="rId109" Type="http://schemas.openxmlformats.org/officeDocument/2006/relationships/hyperlink" Target="file:///D:\MEXAN\MEMOIRE_KAMATA_COTON_2014%20COR.docx" TargetMode="External"/><Relationship Id="rId34" Type="http://schemas.openxmlformats.org/officeDocument/2006/relationships/hyperlink" Target="http://www.africacoton.org" TargetMode="External"/><Relationship Id="rId50" Type="http://schemas.openxmlformats.org/officeDocument/2006/relationships/hyperlink" Target="file:///D:\MEXAN\MEMOIRE_KAMATA_COTON_2014%20COR.docx" TargetMode="External"/><Relationship Id="rId55" Type="http://schemas.openxmlformats.org/officeDocument/2006/relationships/hyperlink" Target="file:///D:\MEXAN\MEMOIRE_KAMATA_COTON_2014%20COR.docx" TargetMode="External"/><Relationship Id="rId76" Type="http://schemas.openxmlformats.org/officeDocument/2006/relationships/hyperlink" Target="file:///D:\MEXAN\MEMOIRE_KAMATA_COTON_2014%20COR.docx" TargetMode="External"/><Relationship Id="rId97" Type="http://schemas.openxmlformats.org/officeDocument/2006/relationships/hyperlink" Target="file:///D:\MEXAN\MEMOIRE_KAMATA_COTON_2014%20COR.docx" TargetMode="External"/><Relationship Id="rId104" Type="http://schemas.openxmlformats.org/officeDocument/2006/relationships/hyperlink" Target="file:///D:\MEXAN\MEMOIRE_KAMATA_COTON_2014%20COR.docx" TargetMode="External"/><Relationship Id="rId120" Type="http://schemas.openxmlformats.org/officeDocument/2006/relationships/hyperlink" Target="file:///D:\MEXAN\MEMOIRE_KAMATA_COTON_2014%20COR.docx" TargetMode="External"/><Relationship Id="rId125" Type="http://schemas.openxmlformats.org/officeDocument/2006/relationships/hyperlink" Target="file:///D:\MEXAN\MEMOIRE_KAMATA_COTON_2014%20COR.docx" TargetMode="External"/><Relationship Id="rId141" Type="http://schemas.openxmlformats.org/officeDocument/2006/relationships/hyperlink" Target="file:///D:\MEXAN\MEMOIRE_KAMATA_COTON_2014%20COR.docx" TargetMode="External"/><Relationship Id="rId146" Type="http://schemas.openxmlformats.org/officeDocument/2006/relationships/hyperlink" Target="file:///D:\MEXAN\MEMOIRE_KAMATA_COTON_2014%20COR.docx" TargetMode="External"/><Relationship Id="rId167" Type="http://schemas.openxmlformats.org/officeDocument/2006/relationships/hyperlink" Target="file:///D:\MEXAN\MEMOIRE_KAMATA_COTON_2014%20COR.docx" TargetMode="External"/><Relationship Id="rId188" Type="http://schemas.openxmlformats.org/officeDocument/2006/relationships/hyperlink" Target="file:///D:\MEXAN\MEMOIRE_KAMATA_COTON_2014%20COR.docx" TargetMode="External"/><Relationship Id="rId7" Type="http://schemas.openxmlformats.org/officeDocument/2006/relationships/image" Target="media/image1.jpeg"/><Relationship Id="rId71" Type="http://schemas.openxmlformats.org/officeDocument/2006/relationships/hyperlink" Target="file:///D:\MEXAN\MEMOIRE_KAMATA_COTON_2014%20COR.docx" TargetMode="External"/><Relationship Id="rId92" Type="http://schemas.openxmlformats.org/officeDocument/2006/relationships/hyperlink" Target="file:///D:\MEXAN\MEMOIRE_KAMATA_COTON_2014%20COR.docx" TargetMode="External"/><Relationship Id="rId162" Type="http://schemas.openxmlformats.org/officeDocument/2006/relationships/hyperlink" Target="file:///D:\MEXAN\MEMOIRE_KAMATA_COTON_2014%20COR.docx" TargetMode="External"/><Relationship Id="rId183" Type="http://schemas.openxmlformats.org/officeDocument/2006/relationships/hyperlink" Target="file:///D:\MEXAN\MEMOIRE_KAMATA_COTON_2014%20COR.docx" TargetMode="External"/><Relationship Id="rId213" Type="http://schemas.openxmlformats.org/officeDocument/2006/relationships/hyperlink" Target="file:///D:\MEXAN\MEMOIRE_KAMATA_COTON_2014%20COR.docx" TargetMode="External"/><Relationship Id="rId218" Type="http://schemas.openxmlformats.org/officeDocument/2006/relationships/hyperlink" Target="file:///D:\MEXAN\MEMOIRE_KAMATA_COTON_2014%20COR.docx" TargetMode="External"/><Relationship Id="rId234" Type="http://schemas.openxmlformats.org/officeDocument/2006/relationships/hyperlink" Target="file:///D:\MEXAN\MEMOIRE_KAMATA_COTON_2014%20COR.docx" TargetMode="External"/><Relationship Id="rId239" Type="http://schemas.openxmlformats.org/officeDocument/2006/relationships/hyperlink" Target="file:///D:\MEXAN\MEMOIRE_KAMATA_COTON_2014%20COR.docx" TargetMode="External"/><Relationship Id="rId2" Type="http://schemas.openxmlformats.org/officeDocument/2006/relationships/styles" Target="styles.xml"/><Relationship Id="rId29" Type="http://schemas.openxmlformats.org/officeDocument/2006/relationships/hyperlink" Target="http://www.statcan.ca/publications" TargetMode="External"/><Relationship Id="rId250" Type="http://schemas.openxmlformats.org/officeDocument/2006/relationships/hyperlink" Target="file:///D:\MEXAN\MEMOIRE_KAMATA_COTON_2014%20COR.docx" TargetMode="External"/><Relationship Id="rId255" Type="http://schemas.openxmlformats.org/officeDocument/2006/relationships/chart" Target="charts/chart14.xml"/><Relationship Id="rId24" Type="http://schemas.openxmlformats.org/officeDocument/2006/relationships/chart" Target="charts/chart11.xml"/><Relationship Id="rId40" Type="http://schemas.openxmlformats.org/officeDocument/2006/relationships/hyperlink" Target="http://www.beac.int" TargetMode="External"/><Relationship Id="rId45" Type="http://schemas.openxmlformats.org/officeDocument/2006/relationships/hyperlink" Target="file:///D:\MEXAN\MEMOIRE_KAMATA_COTON_2014%20COR.docx" TargetMode="External"/><Relationship Id="rId66" Type="http://schemas.openxmlformats.org/officeDocument/2006/relationships/hyperlink" Target="file:///D:\MEXAN\MEMOIRE_KAMATA_COTON_2014%20COR.docx" TargetMode="External"/><Relationship Id="rId87" Type="http://schemas.openxmlformats.org/officeDocument/2006/relationships/hyperlink" Target="file:///D:\MEXAN\MEMOIRE_KAMATA_COTON_2014%20COR.docx" TargetMode="External"/><Relationship Id="rId110" Type="http://schemas.openxmlformats.org/officeDocument/2006/relationships/hyperlink" Target="file:///D:\MEXAN\MEMOIRE_KAMATA_COTON_2014%20COR.docx" TargetMode="External"/><Relationship Id="rId115" Type="http://schemas.openxmlformats.org/officeDocument/2006/relationships/hyperlink" Target="file:///D:\MEXAN\MEMOIRE_KAMATA_COTON_2014%20COR.docx" TargetMode="External"/><Relationship Id="rId131" Type="http://schemas.openxmlformats.org/officeDocument/2006/relationships/hyperlink" Target="file:///D:\MEXAN\MEMOIRE_KAMATA_COTON_2014%20COR.docx" TargetMode="External"/><Relationship Id="rId136" Type="http://schemas.openxmlformats.org/officeDocument/2006/relationships/hyperlink" Target="file:///D:\MEXAN\MEMOIRE_KAMATA_COTON_2014%20COR.docx" TargetMode="External"/><Relationship Id="rId157" Type="http://schemas.openxmlformats.org/officeDocument/2006/relationships/hyperlink" Target="file:///D:\MEXAN\MEMOIRE_KAMATA_COTON_2014%20COR.docx" TargetMode="External"/><Relationship Id="rId178" Type="http://schemas.openxmlformats.org/officeDocument/2006/relationships/hyperlink" Target="file:///D:\MEXAN\MEMOIRE_KAMATA_COTON_2014%20COR.docx" TargetMode="External"/><Relationship Id="rId61" Type="http://schemas.openxmlformats.org/officeDocument/2006/relationships/hyperlink" Target="file:///D:\MEXAN\MEMOIRE_KAMATA_COTON_2014%20COR.docx" TargetMode="External"/><Relationship Id="rId82" Type="http://schemas.openxmlformats.org/officeDocument/2006/relationships/hyperlink" Target="file:///D:\MEXAN\MEMOIRE_KAMATA_COTON_2014%20COR.docx" TargetMode="External"/><Relationship Id="rId152" Type="http://schemas.openxmlformats.org/officeDocument/2006/relationships/hyperlink" Target="file:///D:\MEXAN\MEMOIRE_KAMATA_COTON_2014%20COR.docx" TargetMode="External"/><Relationship Id="rId173" Type="http://schemas.openxmlformats.org/officeDocument/2006/relationships/hyperlink" Target="file:///D:\MEXAN\MEMOIRE_KAMATA_COTON_2014%20COR.docx" TargetMode="External"/><Relationship Id="rId194" Type="http://schemas.openxmlformats.org/officeDocument/2006/relationships/hyperlink" Target="file:///D:\MEXAN\MEMOIRE_KAMATA_COTON_2014%20COR.docx" TargetMode="External"/><Relationship Id="rId199" Type="http://schemas.openxmlformats.org/officeDocument/2006/relationships/hyperlink" Target="file:///D:\MEXAN\MEMOIRE_KAMATA_COTON_2014%20COR.docx" TargetMode="External"/><Relationship Id="rId203" Type="http://schemas.openxmlformats.org/officeDocument/2006/relationships/hyperlink" Target="file:///D:\MEXAN\MEMOIRE_KAMATA_COTON_2014%20COR.docx" TargetMode="External"/><Relationship Id="rId208" Type="http://schemas.openxmlformats.org/officeDocument/2006/relationships/hyperlink" Target="file:///D:\MEXAN\MEMOIRE_KAMATA_COTON_2014%20COR.docx" TargetMode="External"/><Relationship Id="rId229" Type="http://schemas.openxmlformats.org/officeDocument/2006/relationships/hyperlink" Target="file:///D:\MEXAN\MEMOIRE_KAMATA_COTON_2014%20COR.docx" TargetMode="External"/><Relationship Id="rId19" Type="http://schemas.openxmlformats.org/officeDocument/2006/relationships/chart" Target="charts/chart6.xml"/><Relationship Id="rId224" Type="http://schemas.openxmlformats.org/officeDocument/2006/relationships/hyperlink" Target="file:///D:\MEXAN\MEMOIRE_KAMATA_COTON_2014%20COR.docx" TargetMode="External"/><Relationship Id="rId240" Type="http://schemas.openxmlformats.org/officeDocument/2006/relationships/hyperlink" Target="file:///D:\MEXAN\MEMOIRE_KAMATA_COTON_2014%20COR.docx" TargetMode="External"/><Relationship Id="rId245" Type="http://schemas.openxmlformats.org/officeDocument/2006/relationships/hyperlink" Target="file:///D:\MEXAN\MEMOIRE_KAMATA_COTON_2014%20COR.docx" TargetMode="External"/><Relationship Id="rId14" Type="http://schemas.openxmlformats.org/officeDocument/2006/relationships/image" Target="media/image5.png"/><Relationship Id="rId30" Type="http://schemas.openxmlformats.org/officeDocument/2006/relationships/hyperlink" Target="http://com.revues.org/index964.html" TargetMode="External"/><Relationship Id="rId35" Type="http://schemas.openxmlformats.org/officeDocument/2006/relationships/hyperlink" Target="http://www.econ.worldbank.org/WBSITE/EXTERNAL/EXTDECPROSPACTS/" TargetMode="External"/><Relationship Id="rId56" Type="http://schemas.openxmlformats.org/officeDocument/2006/relationships/hyperlink" Target="file:///D:\MEXAN\MEMOIRE_KAMATA_COTON_2014%20COR.docx" TargetMode="External"/><Relationship Id="rId77" Type="http://schemas.openxmlformats.org/officeDocument/2006/relationships/hyperlink" Target="file:///D:\MEXAN\MEMOIRE_KAMATA_COTON_2014%20COR.docx" TargetMode="External"/><Relationship Id="rId100" Type="http://schemas.openxmlformats.org/officeDocument/2006/relationships/hyperlink" Target="file:///D:\MEXAN\MEMOIRE_KAMATA_COTON_2014%20COR.docx" TargetMode="External"/><Relationship Id="rId105" Type="http://schemas.openxmlformats.org/officeDocument/2006/relationships/hyperlink" Target="file:///D:\MEXAN\MEMOIRE_KAMATA_COTON_2014%20COR.docx" TargetMode="External"/><Relationship Id="rId126" Type="http://schemas.openxmlformats.org/officeDocument/2006/relationships/hyperlink" Target="file:///D:\MEXAN\MEMOIRE_KAMATA_COTON_2014%20COR.docx" TargetMode="External"/><Relationship Id="rId147" Type="http://schemas.openxmlformats.org/officeDocument/2006/relationships/hyperlink" Target="file:///D:\MEXAN\MEMOIRE_KAMATA_COTON_2014%20COR.docx" TargetMode="External"/><Relationship Id="rId168" Type="http://schemas.openxmlformats.org/officeDocument/2006/relationships/hyperlink" Target="file:///D:\MEXAN\MEMOIRE_KAMATA_COTON_2014%20COR.docx" TargetMode="External"/><Relationship Id="rId8" Type="http://schemas.openxmlformats.org/officeDocument/2006/relationships/image" Target="media/image2.png"/><Relationship Id="rId51" Type="http://schemas.openxmlformats.org/officeDocument/2006/relationships/hyperlink" Target="file:///D:\MEXAN\MEMOIRE_KAMATA_COTON_2014%20COR.docx" TargetMode="External"/><Relationship Id="rId72" Type="http://schemas.openxmlformats.org/officeDocument/2006/relationships/hyperlink" Target="file:///D:\MEXAN\MEMOIRE_KAMATA_COTON_2014%20COR.docx" TargetMode="External"/><Relationship Id="rId93" Type="http://schemas.openxmlformats.org/officeDocument/2006/relationships/hyperlink" Target="file:///D:\MEXAN\MEMOIRE_KAMATA_COTON_2014%20COR.docx" TargetMode="External"/><Relationship Id="rId98" Type="http://schemas.openxmlformats.org/officeDocument/2006/relationships/hyperlink" Target="file:///D:\MEXAN\MEMOIRE_KAMATA_COTON_2014%20COR.docx" TargetMode="External"/><Relationship Id="rId121" Type="http://schemas.openxmlformats.org/officeDocument/2006/relationships/hyperlink" Target="file:///D:\MEXAN\MEMOIRE_KAMATA_COTON_2014%20COR.docx" TargetMode="External"/><Relationship Id="rId142" Type="http://schemas.openxmlformats.org/officeDocument/2006/relationships/hyperlink" Target="file:///D:\MEXAN\MEMOIRE_KAMATA_COTON_2014%20COR.docx" TargetMode="External"/><Relationship Id="rId163" Type="http://schemas.openxmlformats.org/officeDocument/2006/relationships/hyperlink" Target="file:///D:\MEXAN\MEMOIRE_KAMATA_COTON_2014%20COR.docx" TargetMode="External"/><Relationship Id="rId184" Type="http://schemas.openxmlformats.org/officeDocument/2006/relationships/hyperlink" Target="file:///D:\MEXAN\MEMOIRE_KAMATA_COTON_2014%20COR.docx" TargetMode="External"/><Relationship Id="rId189" Type="http://schemas.openxmlformats.org/officeDocument/2006/relationships/hyperlink" Target="file:///D:\MEXAN\MEMOIRE_KAMATA_COTON_2014%20COR.docx" TargetMode="External"/><Relationship Id="rId219" Type="http://schemas.openxmlformats.org/officeDocument/2006/relationships/hyperlink" Target="file:///D:\MEXAN\MEMOIRE_KAMATA_COTON_2014%20COR.docx" TargetMode="External"/><Relationship Id="rId3" Type="http://schemas.openxmlformats.org/officeDocument/2006/relationships/settings" Target="settings.xml"/><Relationship Id="rId214" Type="http://schemas.openxmlformats.org/officeDocument/2006/relationships/hyperlink" Target="file:///D:\MEXAN\MEMOIRE_KAMATA_COTON_2014%20COR.docx" TargetMode="External"/><Relationship Id="rId230" Type="http://schemas.openxmlformats.org/officeDocument/2006/relationships/hyperlink" Target="file:///D:\MEXAN\MEMOIRE_KAMATA_COTON_2014%20COR.docx" TargetMode="External"/><Relationship Id="rId235" Type="http://schemas.openxmlformats.org/officeDocument/2006/relationships/hyperlink" Target="file:///D:\MEXAN\MEMOIRE_KAMATA_COTON_2014%20COR.docx" TargetMode="External"/><Relationship Id="rId251" Type="http://schemas.openxmlformats.org/officeDocument/2006/relationships/hyperlink" Target="file:///D:\MEXAN\MEMOIRE_KAMATA_COTON_2014%20COR.docx" TargetMode="External"/><Relationship Id="rId256" Type="http://schemas.openxmlformats.org/officeDocument/2006/relationships/chart" Target="charts/chart15.xml"/><Relationship Id="rId25" Type="http://schemas.openxmlformats.org/officeDocument/2006/relationships/chart" Target="charts/chart12.xml"/><Relationship Id="rId46" Type="http://schemas.openxmlformats.org/officeDocument/2006/relationships/hyperlink" Target="file:///D:\MEXAN\MEMOIRE_KAMATA_COTON_2014%20COR.docx" TargetMode="External"/><Relationship Id="rId67" Type="http://schemas.openxmlformats.org/officeDocument/2006/relationships/hyperlink" Target="file:///D:\MEXAN\MEMOIRE_KAMATA_COTON_2014%20COR.docx" TargetMode="External"/><Relationship Id="rId116" Type="http://schemas.openxmlformats.org/officeDocument/2006/relationships/hyperlink" Target="file:///D:\MEXAN\MEMOIRE_KAMATA_COTON_2014%20COR.docx" TargetMode="External"/><Relationship Id="rId137" Type="http://schemas.openxmlformats.org/officeDocument/2006/relationships/hyperlink" Target="file:///D:\MEXAN\MEMOIRE_KAMATA_COTON_2014%20COR.docx" TargetMode="External"/><Relationship Id="rId158" Type="http://schemas.openxmlformats.org/officeDocument/2006/relationships/hyperlink" Target="file:///D:\MEXAN\MEMOIRE_KAMATA_COTON_2014%20COR.docx" TargetMode="External"/><Relationship Id="rId20" Type="http://schemas.openxmlformats.org/officeDocument/2006/relationships/chart" Target="charts/chart7.xml"/><Relationship Id="rId41" Type="http://schemas.openxmlformats.org/officeDocument/2006/relationships/hyperlink" Target="http://www.oecd.org/daf/cmis/fdi/methode.htm" TargetMode="External"/><Relationship Id="rId62" Type="http://schemas.openxmlformats.org/officeDocument/2006/relationships/hyperlink" Target="file:///D:\MEXAN\MEMOIRE_KAMATA_COTON_2014%20COR.docx" TargetMode="External"/><Relationship Id="rId83" Type="http://schemas.openxmlformats.org/officeDocument/2006/relationships/hyperlink" Target="file:///D:\MEXAN\MEMOIRE_KAMATA_COTON_2014%20COR.docx" TargetMode="External"/><Relationship Id="rId88" Type="http://schemas.openxmlformats.org/officeDocument/2006/relationships/hyperlink" Target="file:///D:\MEXAN\MEMOIRE_KAMATA_COTON_2014%20COR.docx" TargetMode="External"/><Relationship Id="rId111" Type="http://schemas.openxmlformats.org/officeDocument/2006/relationships/hyperlink" Target="file:///D:\MEXAN\MEMOIRE_KAMATA_COTON_2014%20COR.docx" TargetMode="External"/><Relationship Id="rId132" Type="http://schemas.openxmlformats.org/officeDocument/2006/relationships/hyperlink" Target="file:///D:\MEXAN\MEMOIRE_KAMATA_COTON_2014%20COR.docx" TargetMode="External"/><Relationship Id="rId153" Type="http://schemas.openxmlformats.org/officeDocument/2006/relationships/hyperlink" Target="file:///D:\MEXAN\MEMOIRE_KAMATA_COTON_2014%20COR.docx" TargetMode="External"/><Relationship Id="rId174" Type="http://schemas.openxmlformats.org/officeDocument/2006/relationships/hyperlink" Target="file:///D:\MEXAN\MEMOIRE_KAMATA_COTON_2014%20COR.docx" TargetMode="External"/><Relationship Id="rId179" Type="http://schemas.openxmlformats.org/officeDocument/2006/relationships/hyperlink" Target="file:///D:\MEXAN\MEMOIRE_KAMATA_COTON_2014%20COR.docx" TargetMode="External"/><Relationship Id="rId195" Type="http://schemas.openxmlformats.org/officeDocument/2006/relationships/hyperlink" Target="file:///D:\MEXAN\MEMOIRE_KAMATA_COTON_2014%20COR.docx" TargetMode="External"/><Relationship Id="rId209" Type="http://schemas.openxmlformats.org/officeDocument/2006/relationships/hyperlink" Target="file:///D:\MEXAN\MEMOIRE_KAMATA_COTON_2014%20COR.docx" TargetMode="External"/><Relationship Id="rId190" Type="http://schemas.openxmlformats.org/officeDocument/2006/relationships/hyperlink" Target="file:///D:\MEXAN\MEMOIRE_KAMATA_COTON_2014%20COR.docx" TargetMode="External"/><Relationship Id="rId204" Type="http://schemas.openxmlformats.org/officeDocument/2006/relationships/hyperlink" Target="file:///D:\MEXAN\MEMOIRE_KAMATA_COTON_2014%20COR.docx" TargetMode="External"/><Relationship Id="rId220" Type="http://schemas.openxmlformats.org/officeDocument/2006/relationships/hyperlink" Target="file:///D:\MEXAN\MEMOIRE_KAMATA_COTON_2014%20COR.docx" TargetMode="External"/><Relationship Id="rId225" Type="http://schemas.openxmlformats.org/officeDocument/2006/relationships/hyperlink" Target="file:///D:\MEXAN\MEMOIRE_KAMATA_COTON_2014%20COR.docx" TargetMode="External"/><Relationship Id="rId241" Type="http://schemas.openxmlformats.org/officeDocument/2006/relationships/hyperlink" Target="file:///D:\MEXAN\MEMOIRE_KAMATA_COTON_2014%20COR.docx" TargetMode="External"/><Relationship Id="rId246" Type="http://schemas.openxmlformats.org/officeDocument/2006/relationships/hyperlink" Target="file:///D:\MEXAN\MEMOIRE_KAMATA_COTON_2014%20COR.docx" TargetMode="External"/><Relationship Id="rId15" Type="http://schemas.openxmlformats.org/officeDocument/2006/relationships/chart" Target="charts/chart2.xml"/><Relationship Id="rId36" Type="http://schemas.openxmlformats.org/officeDocument/2006/relationships/hyperlink" Target="http://www.fao.org/giews/pricetoll" TargetMode="External"/><Relationship Id="rId57" Type="http://schemas.openxmlformats.org/officeDocument/2006/relationships/hyperlink" Target="file:///D:\MEXAN\MEMOIRE_KAMATA_COTON_2014%20COR.docx" TargetMode="External"/><Relationship Id="rId106" Type="http://schemas.openxmlformats.org/officeDocument/2006/relationships/hyperlink" Target="file:///D:\MEXAN\MEMOIRE_KAMATA_COTON_2014%20COR.docx" TargetMode="External"/><Relationship Id="rId127" Type="http://schemas.openxmlformats.org/officeDocument/2006/relationships/hyperlink" Target="file:///D:\MEXAN\MEMOIRE_KAMATA_COTON_2014%20COR.docx" TargetMode="External"/><Relationship Id="rId10" Type="http://schemas.openxmlformats.org/officeDocument/2006/relationships/comments" Target="comments.xml"/><Relationship Id="rId31" Type="http://schemas.openxmlformats.org/officeDocument/2006/relationships/hyperlink" Target="https://www.icac.org" TargetMode="External"/><Relationship Id="rId52" Type="http://schemas.openxmlformats.org/officeDocument/2006/relationships/hyperlink" Target="file:///D:\MEXAN\MEMOIRE_KAMATA_COTON_2014%20COR.docx" TargetMode="External"/><Relationship Id="rId73" Type="http://schemas.openxmlformats.org/officeDocument/2006/relationships/hyperlink" Target="file:///D:\MEXAN\MEMOIRE_KAMATA_COTON_2014%20COR.docx" TargetMode="External"/><Relationship Id="rId78" Type="http://schemas.openxmlformats.org/officeDocument/2006/relationships/hyperlink" Target="file:///D:\MEXAN\MEMOIRE_KAMATA_COTON_2014%20COR.docx" TargetMode="External"/><Relationship Id="rId94" Type="http://schemas.openxmlformats.org/officeDocument/2006/relationships/hyperlink" Target="file:///D:\MEXAN\MEMOIRE_KAMATA_COTON_2014%20COR.docx" TargetMode="External"/><Relationship Id="rId99" Type="http://schemas.openxmlformats.org/officeDocument/2006/relationships/hyperlink" Target="file:///D:\MEXAN\MEMOIRE_KAMATA_COTON_2014%20COR.docx" TargetMode="External"/><Relationship Id="rId101" Type="http://schemas.openxmlformats.org/officeDocument/2006/relationships/hyperlink" Target="file:///D:\MEXAN\MEMOIRE_KAMATA_COTON_2014%20COR.docx" TargetMode="External"/><Relationship Id="rId122" Type="http://schemas.openxmlformats.org/officeDocument/2006/relationships/hyperlink" Target="file:///D:\MEXAN\MEMOIRE_KAMATA_COTON_2014%20COR.docx" TargetMode="External"/><Relationship Id="rId143" Type="http://schemas.openxmlformats.org/officeDocument/2006/relationships/hyperlink" Target="file:///D:\MEXAN\MEMOIRE_KAMATA_COTON_2014%20COR.docx" TargetMode="External"/><Relationship Id="rId148" Type="http://schemas.openxmlformats.org/officeDocument/2006/relationships/hyperlink" Target="file:///D:\MEXAN\MEMOIRE_KAMATA_COTON_2014%20COR.docx" TargetMode="External"/><Relationship Id="rId164" Type="http://schemas.openxmlformats.org/officeDocument/2006/relationships/hyperlink" Target="file:///D:\MEXAN\MEMOIRE_KAMATA_COTON_2014%20COR.docx" TargetMode="External"/><Relationship Id="rId169" Type="http://schemas.openxmlformats.org/officeDocument/2006/relationships/hyperlink" Target="file:///D:\MEXAN\MEMOIRE_KAMATA_COTON_2014%20COR.docx" TargetMode="External"/><Relationship Id="rId185" Type="http://schemas.openxmlformats.org/officeDocument/2006/relationships/hyperlink" Target="file:///D:\MEXAN\MEMOIRE_KAMATA_COTON_2014%20COR.docx" TargetMode="External"/><Relationship Id="rId4" Type="http://schemas.openxmlformats.org/officeDocument/2006/relationships/webSettings" Target="webSettings.xml"/><Relationship Id="rId9" Type="http://schemas.openxmlformats.org/officeDocument/2006/relationships/chart" Target="charts/chart1.xml"/><Relationship Id="rId180" Type="http://schemas.openxmlformats.org/officeDocument/2006/relationships/hyperlink" Target="file:///D:\MEXAN\MEMOIRE_KAMATA_COTON_2014%20COR.docx" TargetMode="External"/><Relationship Id="rId210" Type="http://schemas.openxmlformats.org/officeDocument/2006/relationships/hyperlink" Target="file:///D:\MEXAN\MEMOIRE_KAMATA_COTON_2014%20COR.docx" TargetMode="External"/><Relationship Id="rId215" Type="http://schemas.openxmlformats.org/officeDocument/2006/relationships/hyperlink" Target="file:///D:\MEXAN\MEMOIRE_KAMATA_COTON_2014%20COR.docx" TargetMode="External"/><Relationship Id="rId236" Type="http://schemas.openxmlformats.org/officeDocument/2006/relationships/hyperlink" Target="file:///D:\MEXAN\MEMOIRE_KAMATA_COTON_2014%20COR.docx" TargetMode="External"/><Relationship Id="rId257" Type="http://schemas.openxmlformats.org/officeDocument/2006/relationships/fontTable" Target="fontTable.xml"/><Relationship Id="rId26" Type="http://schemas.openxmlformats.org/officeDocument/2006/relationships/chart" Target="charts/chart13.xml"/><Relationship Id="rId231" Type="http://schemas.openxmlformats.org/officeDocument/2006/relationships/hyperlink" Target="file:///D:\MEXAN\MEMOIRE_KAMATA_COTON_2014%20COR.docx" TargetMode="External"/><Relationship Id="rId252" Type="http://schemas.openxmlformats.org/officeDocument/2006/relationships/hyperlink" Target="file:///D:\MEXAN\MEMOIRE_KAMATA_COTON_2014%20COR.docx" TargetMode="External"/><Relationship Id="rId47" Type="http://schemas.openxmlformats.org/officeDocument/2006/relationships/hyperlink" Target="file:///D:\MEXAN\MEMOIRE_KAMATA_COTON_2014%20COR.docx" TargetMode="External"/><Relationship Id="rId68" Type="http://schemas.openxmlformats.org/officeDocument/2006/relationships/hyperlink" Target="file:///D:\MEXAN\MEMOIRE_KAMATA_COTON_2014%20COR.docx" TargetMode="External"/><Relationship Id="rId89" Type="http://schemas.openxmlformats.org/officeDocument/2006/relationships/hyperlink" Target="file:///D:\MEXAN\MEMOIRE_KAMATA_COTON_2014%20COR.docx" TargetMode="External"/><Relationship Id="rId112" Type="http://schemas.openxmlformats.org/officeDocument/2006/relationships/hyperlink" Target="file:///D:\MEXAN\MEMOIRE_KAMATA_COTON_2014%20COR.docx" TargetMode="External"/><Relationship Id="rId133" Type="http://schemas.openxmlformats.org/officeDocument/2006/relationships/hyperlink" Target="file:///D:\MEXAN\MEMOIRE_KAMATA_COTON_2014%20COR.docx" TargetMode="External"/><Relationship Id="rId154" Type="http://schemas.openxmlformats.org/officeDocument/2006/relationships/hyperlink" Target="file:///D:\MEXAN\MEMOIRE_KAMATA_COTON_2014%20COR.docx" TargetMode="External"/><Relationship Id="rId175" Type="http://schemas.openxmlformats.org/officeDocument/2006/relationships/hyperlink" Target="file:///D:\MEXAN\MEMOIRE_KAMATA_COTON_2014%20COR.docx" TargetMode="External"/><Relationship Id="rId196" Type="http://schemas.openxmlformats.org/officeDocument/2006/relationships/hyperlink" Target="file:///D:\MEXAN\MEMOIRE_KAMATA_COTON_2014%20COR.docx" TargetMode="External"/><Relationship Id="rId200" Type="http://schemas.openxmlformats.org/officeDocument/2006/relationships/hyperlink" Target="file:///D:\MEXAN\MEMOIRE_KAMATA_COTON_2014%20COR.docx" TargetMode="External"/><Relationship Id="rId16" Type="http://schemas.openxmlformats.org/officeDocument/2006/relationships/chart" Target="charts/chart3.xml"/><Relationship Id="rId221" Type="http://schemas.openxmlformats.org/officeDocument/2006/relationships/hyperlink" Target="file:///D:\MEXAN\MEMOIRE_KAMATA_COTON_2014%20COR.docx" TargetMode="External"/><Relationship Id="rId242" Type="http://schemas.openxmlformats.org/officeDocument/2006/relationships/hyperlink" Target="file:///D:\MEXAN\MEMOIRE_KAMATA_COTON_2014%20COR.docx" TargetMode="External"/><Relationship Id="rId37" Type="http://schemas.openxmlformats.org/officeDocument/2006/relationships/hyperlink" Target="http://www.ams.usda.gov/cotton" TargetMode="External"/><Relationship Id="rId58" Type="http://schemas.openxmlformats.org/officeDocument/2006/relationships/hyperlink" Target="file:///D:\MEXAN\MEMOIRE_KAMATA_COTON_2014%20COR.docx" TargetMode="External"/><Relationship Id="rId79" Type="http://schemas.openxmlformats.org/officeDocument/2006/relationships/hyperlink" Target="file:///D:\MEXAN\MEMOIRE_KAMATA_COTON_2014%20COR.docx" TargetMode="External"/><Relationship Id="rId102" Type="http://schemas.openxmlformats.org/officeDocument/2006/relationships/hyperlink" Target="file:///D:\MEXAN\MEMOIRE_KAMATA_COTON_2014%20COR.docx" TargetMode="External"/><Relationship Id="rId123" Type="http://schemas.openxmlformats.org/officeDocument/2006/relationships/hyperlink" Target="file:///D:\MEXAN\MEMOIRE_KAMATA_COTON_2014%20COR.docx" TargetMode="External"/><Relationship Id="rId144" Type="http://schemas.openxmlformats.org/officeDocument/2006/relationships/hyperlink" Target="file:///D:\MEXAN\MEMOIRE_KAMATA_COTON_2014%20COR.docx" TargetMode="External"/><Relationship Id="rId90" Type="http://schemas.openxmlformats.org/officeDocument/2006/relationships/hyperlink" Target="file:///D:\MEXAN\MEMOIRE_KAMATA_COTON_2014%20COR.docx" TargetMode="External"/><Relationship Id="rId165" Type="http://schemas.openxmlformats.org/officeDocument/2006/relationships/hyperlink" Target="file:///D:\MEXAN\MEMOIRE_KAMATA_COTON_2014%20COR.docx" TargetMode="External"/><Relationship Id="rId186" Type="http://schemas.openxmlformats.org/officeDocument/2006/relationships/hyperlink" Target="file:///D:\MEXAN\MEMOIRE_KAMATA_COTON_2014%20COR.docx" TargetMode="External"/><Relationship Id="rId211" Type="http://schemas.openxmlformats.org/officeDocument/2006/relationships/hyperlink" Target="file:///D:\MEXAN\MEMOIRE_KAMATA_COTON_2014%20COR.docx" TargetMode="External"/><Relationship Id="rId232" Type="http://schemas.openxmlformats.org/officeDocument/2006/relationships/hyperlink" Target="file:///D:\MEXAN\MEMOIRE_KAMATA_COTON_2014%20COR.docx" TargetMode="External"/><Relationship Id="rId253" Type="http://schemas.openxmlformats.org/officeDocument/2006/relationships/hyperlink" Target="file:///D:\MEXAN\MEMOIRE_KAMATA_COTON_2014%20COR.docx" TargetMode="External"/><Relationship Id="rId27" Type="http://schemas.openxmlformats.org/officeDocument/2006/relationships/image" Target="media/image6.png"/><Relationship Id="rId48" Type="http://schemas.openxmlformats.org/officeDocument/2006/relationships/hyperlink" Target="file:///D:\MEXAN\MEMOIRE_KAMATA_COTON_2014%20COR.docx" TargetMode="External"/><Relationship Id="rId69" Type="http://schemas.openxmlformats.org/officeDocument/2006/relationships/hyperlink" Target="file:///D:\MEXAN\MEMOIRE_KAMATA_COTON_2014%20COR.docx" TargetMode="External"/><Relationship Id="rId113" Type="http://schemas.openxmlformats.org/officeDocument/2006/relationships/hyperlink" Target="file:///D:\MEXAN\MEMOIRE_KAMATA_COTON_2014%20COR.docx" TargetMode="External"/><Relationship Id="rId134" Type="http://schemas.openxmlformats.org/officeDocument/2006/relationships/hyperlink" Target="file:///D:\MEXAN\MEMOIRE_KAMATA_COTON_2014%20COR.docx" TargetMode="External"/><Relationship Id="rId80" Type="http://schemas.openxmlformats.org/officeDocument/2006/relationships/hyperlink" Target="file:///D:\MEXAN\MEMOIRE_KAMATA_COTON_2014%20COR.docx" TargetMode="External"/><Relationship Id="rId155" Type="http://schemas.openxmlformats.org/officeDocument/2006/relationships/hyperlink" Target="file:///D:\MEXAN\MEMOIRE_KAMATA_COTON_2014%20COR.docx" TargetMode="External"/><Relationship Id="rId176" Type="http://schemas.openxmlformats.org/officeDocument/2006/relationships/hyperlink" Target="file:///D:\MEXAN\MEMOIRE_KAMATA_COTON_2014%20COR.docx" TargetMode="External"/><Relationship Id="rId197" Type="http://schemas.openxmlformats.org/officeDocument/2006/relationships/hyperlink" Target="file:///D:\MEXAN\MEMOIRE_KAMATA_COTON_2014%20COR.docx" TargetMode="External"/><Relationship Id="rId201" Type="http://schemas.openxmlformats.org/officeDocument/2006/relationships/hyperlink" Target="file:///D:\MEXAN\MEMOIRE_KAMATA_COTON_2014%20COR.docx" TargetMode="External"/><Relationship Id="rId222" Type="http://schemas.openxmlformats.org/officeDocument/2006/relationships/hyperlink" Target="file:///D:\MEXAN\MEMOIRE_KAMATA_COTON_2014%20COR.docx" TargetMode="External"/><Relationship Id="rId243" Type="http://schemas.openxmlformats.org/officeDocument/2006/relationships/hyperlink" Target="file:///D:\MEXAN\MEMOIRE_KAMATA_COTON_2014%20COR.docx" TargetMode="External"/><Relationship Id="rId17" Type="http://schemas.openxmlformats.org/officeDocument/2006/relationships/chart" Target="charts/chart4.xml"/><Relationship Id="rId38" Type="http://schemas.openxmlformats.org/officeDocument/2006/relationships/hyperlink" Target="http://www.cottonafrica.com" TargetMode="External"/><Relationship Id="rId59" Type="http://schemas.openxmlformats.org/officeDocument/2006/relationships/hyperlink" Target="file:///D:\MEXAN\MEMOIRE_KAMATA_COTON_2014%20COR.docx" TargetMode="External"/><Relationship Id="rId103" Type="http://schemas.openxmlformats.org/officeDocument/2006/relationships/hyperlink" Target="file:///D:\MEXAN\MEMOIRE_KAMATA_COTON_2014%20COR.docx" TargetMode="External"/><Relationship Id="rId124" Type="http://schemas.openxmlformats.org/officeDocument/2006/relationships/hyperlink" Target="file:///D:\MEXAN\MEMOIRE_KAMATA_COTON_2014%20COR.doc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6.5546218487394961E-2"/>
          <c:y val="5.2083333333333461E-2"/>
          <c:w val="0.90924369747899259"/>
          <c:h val="0.59027777777777757"/>
        </c:manualLayout>
      </c:layout>
      <c:barChart>
        <c:barDir val="col"/>
        <c:grouping val="clustered"/>
        <c:varyColors val="0"/>
        <c:ser>
          <c:idx val="0"/>
          <c:order val="0"/>
          <c:tx>
            <c:strRef>
              <c:f>Feuil1!$A$1</c:f>
              <c:strCache>
                <c:ptCount val="1"/>
                <c:pt idx="0">
                  <c:v>Production mondiale (million de T)</c:v>
                </c:pt>
              </c:strCache>
            </c:strRef>
          </c:tx>
          <c:invertIfNegative val="0"/>
          <c:cat>
            <c:strRef>
              <c:f>Feuil1!$B$2:$B$17</c:f>
              <c:strCache>
                <c:ptCount val="16"/>
                <c:pt idx="0">
                  <c:v>1999/2000</c:v>
                </c:pt>
                <c:pt idx="1">
                  <c:v>2000/2001</c:v>
                </c:pt>
                <c:pt idx="2">
                  <c:v>2000/2001</c:v>
                </c:pt>
                <c:pt idx="3">
                  <c:v>2001/2002</c:v>
                </c:pt>
                <c:pt idx="4">
                  <c:v>2003/2004</c:v>
                </c:pt>
                <c:pt idx="5">
                  <c:v>2004/2005</c:v>
                </c:pt>
                <c:pt idx="6">
                  <c:v>2005/2006</c:v>
                </c:pt>
                <c:pt idx="7">
                  <c:v>2006/2007</c:v>
                </c:pt>
                <c:pt idx="8">
                  <c:v>2007/2008</c:v>
                </c:pt>
                <c:pt idx="9">
                  <c:v>2008/2009</c:v>
                </c:pt>
                <c:pt idx="10">
                  <c:v>2009/2010</c:v>
                </c:pt>
                <c:pt idx="11">
                  <c:v>2010/2011</c:v>
                </c:pt>
                <c:pt idx="12">
                  <c:v>2011/2012</c:v>
                </c:pt>
                <c:pt idx="13">
                  <c:v>2012/2013</c:v>
                </c:pt>
                <c:pt idx="14">
                  <c:v>2013/2014</c:v>
                </c:pt>
                <c:pt idx="15">
                  <c:v>2014/2015</c:v>
                </c:pt>
              </c:strCache>
            </c:strRef>
          </c:cat>
          <c:val>
            <c:numRef>
              <c:f>Feuil1!$A$2:$A$17</c:f>
              <c:numCache>
                <c:formatCode>General</c:formatCode>
                <c:ptCount val="16"/>
                <c:pt idx="0">
                  <c:v>19.696000000000005</c:v>
                </c:pt>
                <c:pt idx="1">
                  <c:v>19.46099999999997</c:v>
                </c:pt>
                <c:pt idx="2">
                  <c:v>21.51</c:v>
                </c:pt>
                <c:pt idx="3">
                  <c:v>19.213999999999999</c:v>
                </c:pt>
                <c:pt idx="4">
                  <c:v>20.959999999999987</c:v>
                </c:pt>
                <c:pt idx="5">
                  <c:v>25.638999999999999</c:v>
                </c:pt>
                <c:pt idx="6">
                  <c:v>26.718</c:v>
                </c:pt>
                <c:pt idx="7">
                  <c:v>26.170999999999999</c:v>
                </c:pt>
                <c:pt idx="8">
                  <c:v>23.376000000000001</c:v>
                </c:pt>
                <c:pt idx="9">
                  <c:v>23.51</c:v>
                </c:pt>
                <c:pt idx="10">
                  <c:v>22.3</c:v>
                </c:pt>
                <c:pt idx="11">
                  <c:v>25.4</c:v>
                </c:pt>
                <c:pt idx="12">
                  <c:v>28</c:v>
                </c:pt>
                <c:pt idx="13">
                  <c:v>26.8</c:v>
                </c:pt>
                <c:pt idx="14">
                  <c:v>25.8</c:v>
                </c:pt>
                <c:pt idx="15">
                  <c:v>25.3</c:v>
                </c:pt>
              </c:numCache>
            </c:numRef>
          </c:val>
          <c:extLst>
            <c:ext xmlns:c16="http://schemas.microsoft.com/office/drawing/2014/chart" uri="{C3380CC4-5D6E-409C-BE32-E72D297353CC}">
              <c16:uniqueId val="{00000000-63E7-4EF6-B194-E0B9BB72F5DF}"/>
            </c:ext>
          </c:extLst>
        </c:ser>
        <c:ser>
          <c:idx val="1"/>
          <c:order val="1"/>
          <c:invertIfNegative val="0"/>
          <c:cat>
            <c:strRef>
              <c:f>Feuil1!$B$2:$B$17</c:f>
              <c:strCache>
                <c:ptCount val="16"/>
                <c:pt idx="0">
                  <c:v>1999/2000</c:v>
                </c:pt>
                <c:pt idx="1">
                  <c:v>2000/2001</c:v>
                </c:pt>
                <c:pt idx="2">
                  <c:v>2000/2001</c:v>
                </c:pt>
                <c:pt idx="3">
                  <c:v>2001/2002</c:v>
                </c:pt>
                <c:pt idx="4">
                  <c:v>2003/2004</c:v>
                </c:pt>
                <c:pt idx="5">
                  <c:v>2004/2005</c:v>
                </c:pt>
                <c:pt idx="6">
                  <c:v>2005/2006</c:v>
                </c:pt>
                <c:pt idx="7">
                  <c:v>2006/2007</c:v>
                </c:pt>
                <c:pt idx="8">
                  <c:v>2007/2008</c:v>
                </c:pt>
                <c:pt idx="9">
                  <c:v>2008/2009</c:v>
                </c:pt>
                <c:pt idx="10">
                  <c:v>2009/2010</c:v>
                </c:pt>
                <c:pt idx="11">
                  <c:v>2010/2011</c:v>
                </c:pt>
                <c:pt idx="12">
                  <c:v>2011/2012</c:v>
                </c:pt>
                <c:pt idx="13">
                  <c:v>2012/2013</c:v>
                </c:pt>
                <c:pt idx="14">
                  <c:v>2013/2014</c:v>
                </c:pt>
                <c:pt idx="15">
                  <c:v>2014/2015</c:v>
                </c:pt>
              </c:strCache>
            </c:strRef>
          </c:cat>
          <c:val>
            <c:numLit>
              <c:formatCode>General</c:formatCode>
              <c:ptCount val="1"/>
              <c:pt idx="0">
                <c:v>0</c:v>
              </c:pt>
            </c:numLit>
          </c:val>
          <c:extLst>
            <c:ext xmlns:c16="http://schemas.microsoft.com/office/drawing/2014/chart" uri="{C3380CC4-5D6E-409C-BE32-E72D297353CC}">
              <c16:uniqueId val="{00000001-63E7-4EF6-B194-E0B9BB72F5DF}"/>
            </c:ext>
          </c:extLst>
        </c:ser>
        <c:dLbls>
          <c:showLegendKey val="0"/>
          <c:showVal val="0"/>
          <c:showCatName val="0"/>
          <c:showSerName val="0"/>
          <c:showPercent val="0"/>
          <c:showBubbleSize val="0"/>
        </c:dLbls>
        <c:gapWidth val="75"/>
        <c:overlap val="-25"/>
        <c:axId val="165659776"/>
        <c:axId val="165661312"/>
      </c:barChart>
      <c:catAx>
        <c:axId val="165659776"/>
        <c:scaling>
          <c:orientation val="minMax"/>
        </c:scaling>
        <c:delete val="0"/>
        <c:axPos val="b"/>
        <c:numFmt formatCode="General" sourceLinked="1"/>
        <c:majorTickMark val="none"/>
        <c:minorTickMark val="none"/>
        <c:tickLblPos val="nextTo"/>
        <c:crossAx val="165661312"/>
        <c:crosses val="autoZero"/>
        <c:auto val="1"/>
        <c:lblAlgn val="ctr"/>
        <c:lblOffset val="100"/>
        <c:noMultiLvlLbl val="0"/>
      </c:catAx>
      <c:valAx>
        <c:axId val="165661312"/>
        <c:scaling>
          <c:orientation val="minMax"/>
        </c:scaling>
        <c:delete val="0"/>
        <c:axPos val="l"/>
        <c:majorGridlines/>
        <c:numFmt formatCode="General" sourceLinked="1"/>
        <c:majorTickMark val="none"/>
        <c:minorTickMark val="none"/>
        <c:tickLblPos val="nextTo"/>
        <c:spPr>
          <a:ln w="9524">
            <a:noFill/>
          </a:ln>
        </c:spPr>
        <c:crossAx val="165659776"/>
        <c:crosses val="autoZero"/>
        <c:crossBetween val="between"/>
      </c:valAx>
    </c:plotArea>
    <c:legend>
      <c:legendPos val="b"/>
      <c:legendEntry>
        <c:idx val="1"/>
        <c:delete val="1"/>
      </c:legendEntry>
      <c:layout>
        <c:manualLayout>
          <c:xMode val="edge"/>
          <c:yMode val="edge"/>
          <c:x val="0.57910778799708851"/>
          <c:y val="0.88182925051035366"/>
          <c:w val="0.40173448907121911"/>
          <c:h val="8.5192475940507648E-2"/>
        </c:manualLayout>
      </c:layout>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64635415713974E-2"/>
          <c:y val="0.22830449028237468"/>
          <c:w val="0.69446379591328256"/>
          <c:h val="0.63678019085758863"/>
        </c:manualLayout>
      </c:layout>
      <c:lineChart>
        <c:grouping val="stacked"/>
        <c:varyColors val="0"/>
        <c:ser>
          <c:idx val="0"/>
          <c:order val="0"/>
          <c:tx>
            <c:strRef>
              <c:f>Feuil1!$B$1</c:f>
              <c:strCache>
                <c:ptCount val="1"/>
                <c:pt idx="0">
                  <c:v>Rendement en Kg/Ha </c:v>
                </c:pt>
              </c:strCache>
            </c:strRef>
          </c:tx>
          <c:dLbls>
            <c:spPr>
              <a:noFill/>
              <a:ln>
                <a:noFill/>
              </a:ln>
              <a:effectLst/>
            </c:spPr>
            <c:txPr>
              <a:bodyPr/>
              <a:lstStyle/>
              <a:p>
                <a:pPr>
                  <a:defRPr sz="1047" b="1">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Feuil1!$A$2:$A$6</c:f>
              <c:strCache>
                <c:ptCount val="5"/>
                <c:pt idx="0">
                  <c:v>2005/2006</c:v>
                </c:pt>
                <c:pt idx="1">
                  <c:v>2006/2007</c:v>
                </c:pt>
                <c:pt idx="2">
                  <c:v>2007/2008</c:v>
                </c:pt>
                <c:pt idx="3">
                  <c:v>2008/2009</c:v>
                </c:pt>
                <c:pt idx="4">
                  <c:v>2009/2010</c:v>
                </c:pt>
              </c:strCache>
            </c:strRef>
          </c:cat>
          <c:val>
            <c:numRef>
              <c:f>Feuil1!$B$2:$B$6</c:f>
              <c:numCache>
                <c:formatCode>General</c:formatCode>
                <c:ptCount val="5"/>
                <c:pt idx="0">
                  <c:v>392</c:v>
                </c:pt>
                <c:pt idx="1">
                  <c:v>363</c:v>
                </c:pt>
                <c:pt idx="2">
                  <c:v>656</c:v>
                </c:pt>
                <c:pt idx="3">
                  <c:v>101</c:v>
                </c:pt>
                <c:pt idx="4">
                  <c:v>525</c:v>
                </c:pt>
              </c:numCache>
            </c:numRef>
          </c:val>
          <c:smooth val="0"/>
          <c:extLst>
            <c:ext xmlns:c16="http://schemas.microsoft.com/office/drawing/2014/chart" uri="{C3380CC4-5D6E-409C-BE32-E72D297353CC}">
              <c16:uniqueId val="{00000000-B9DF-41A3-93B2-282367CB712B}"/>
            </c:ext>
          </c:extLst>
        </c:ser>
        <c:ser>
          <c:idx val="1"/>
          <c:order val="1"/>
          <c:tx>
            <c:strRef>
              <c:f>Feuil1!$C$1</c:f>
              <c:strCache>
                <c:ptCount val="1"/>
                <c:pt idx="0">
                  <c:v>Subventions en million de FCFA</c:v>
                </c:pt>
              </c:strCache>
            </c:strRef>
          </c:tx>
          <c:dLbls>
            <c:spPr>
              <a:noFill/>
              <a:ln>
                <a:noFill/>
              </a:ln>
              <a:effectLst/>
            </c:spPr>
            <c:txPr>
              <a:bodyPr/>
              <a:lstStyle/>
              <a:p>
                <a:pPr>
                  <a:defRPr sz="1047" b="1" i="1">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Feuil1!$A$2:$A$6</c:f>
              <c:strCache>
                <c:ptCount val="5"/>
                <c:pt idx="0">
                  <c:v>2005/2006</c:v>
                </c:pt>
                <c:pt idx="1">
                  <c:v>2006/2007</c:v>
                </c:pt>
                <c:pt idx="2">
                  <c:v>2007/2008</c:v>
                </c:pt>
                <c:pt idx="3">
                  <c:v>2008/2009</c:v>
                </c:pt>
                <c:pt idx="4">
                  <c:v>2009/2010</c:v>
                </c:pt>
              </c:strCache>
            </c:strRef>
          </c:cat>
          <c:val>
            <c:numRef>
              <c:f>Feuil1!$C$2:$C$6</c:f>
              <c:numCache>
                <c:formatCode>#,##0</c:formatCode>
                <c:ptCount val="5"/>
                <c:pt idx="0">
                  <c:v>1350</c:v>
                </c:pt>
                <c:pt idx="1">
                  <c:v>506.65000000000032</c:v>
                </c:pt>
                <c:pt idx="2">
                  <c:v>3164.5676009999997</c:v>
                </c:pt>
                <c:pt idx="3" formatCode="General">
                  <c:v>1854.7</c:v>
                </c:pt>
                <c:pt idx="4" formatCode="General">
                  <c:v>1500</c:v>
                </c:pt>
              </c:numCache>
            </c:numRef>
          </c:val>
          <c:smooth val="0"/>
          <c:extLst>
            <c:ext xmlns:c16="http://schemas.microsoft.com/office/drawing/2014/chart" uri="{C3380CC4-5D6E-409C-BE32-E72D297353CC}">
              <c16:uniqueId val="{00000001-B9DF-41A3-93B2-282367CB712B}"/>
            </c:ext>
          </c:extLst>
        </c:ser>
        <c:dLbls>
          <c:showLegendKey val="0"/>
          <c:showVal val="1"/>
          <c:showCatName val="0"/>
          <c:showSerName val="0"/>
          <c:showPercent val="0"/>
          <c:showBubbleSize val="0"/>
        </c:dLbls>
        <c:marker val="1"/>
        <c:smooth val="0"/>
        <c:axId val="168004992"/>
        <c:axId val="168010880"/>
      </c:lineChart>
      <c:catAx>
        <c:axId val="16800499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fr-FR"/>
          </a:p>
        </c:txPr>
        <c:crossAx val="168010880"/>
        <c:crosses val="autoZero"/>
        <c:auto val="1"/>
        <c:lblAlgn val="ctr"/>
        <c:lblOffset val="100"/>
        <c:noMultiLvlLbl val="0"/>
      </c:catAx>
      <c:valAx>
        <c:axId val="168010880"/>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fr-FR"/>
          </a:p>
        </c:txPr>
        <c:crossAx val="168004992"/>
        <c:crosses val="autoZero"/>
        <c:crossBetween val="between"/>
      </c:valAx>
    </c:plotArea>
    <c:legend>
      <c:legendPos val="r"/>
      <c:layout>
        <c:manualLayout>
          <c:xMode val="edge"/>
          <c:yMode val="edge"/>
          <c:x val="0.82655867004820061"/>
          <c:y val="0.39974298294680444"/>
          <c:w val="0.17344132995179962"/>
          <c:h val="0.50049366779972149"/>
        </c:manualLayout>
      </c:layout>
      <c:overlay val="0"/>
      <c:txPr>
        <a:bodyPr/>
        <a:lstStyle/>
        <a:p>
          <a:pPr algn="just">
            <a:defRPr sz="997">
              <a:latin typeface="Times New Roman" pitchFamily="18" charset="0"/>
              <a:cs typeface="Times New Roman" pitchFamily="18" charset="0"/>
            </a:defRPr>
          </a:pPr>
          <a:endParaRPr lang="fr-FR"/>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27027027027026"/>
          <c:y val="5.2631578947368432E-2"/>
          <c:w val="0.70945945945945965"/>
          <c:h val="0.79532163742690065"/>
        </c:manualLayout>
      </c:layout>
      <c:scatterChart>
        <c:scatterStyle val="lineMarker"/>
        <c:varyColors val="0"/>
        <c:ser>
          <c:idx val="0"/>
          <c:order val="0"/>
          <c:tx>
            <c:strRef>
              <c:f>Feuil1!$B$1</c:f>
              <c:strCache>
                <c:ptCount val="1"/>
                <c:pt idx="0">
                  <c:v>Production en millier de Kg</c:v>
                </c:pt>
              </c:strCache>
            </c:strRef>
          </c:tx>
          <c:xVal>
            <c:strRef>
              <c:f>Feuil1!$A$2:$A$6</c:f>
              <c:strCache>
                <c:ptCount val="5"/>
                <c:pt idx="0">
                  <c:v>2005/2006</c:v>
                </c:pt>
                <c:pt idx="1">
                  <c:v>2006/2007</c:v>
                </c:pt>
                <c:pt idx="2">
                  <c:v>2007/2008</c:v>
                </c:pt>
                <c:pt idx="3">
                  <c:v>2008/2009</c:v>
                </c:pt>
                <c:pt idx="4">
                  <c:v>2009/2010</c:v>
                </c:pt>
              </c:strCache>
            </c:strRef>
          </c:xVal>
          <c:yVal>
            <c:numRef>
              <c:f>Feuil1!$B$2:$B$6</c:f>
              <c:numCache>
                <c:formatCode>#,##0</c:formatCode>
                <c:ptCount val="5"/>
                <c:pt idx="0">
                  <c:v>2946</c:v>
                </c:pt>
                <c:pt idx="1">
                  <c:v>30.02</c:v>
                </c:pt>
                <c:pt idx="2">
                  <c:v>5902.6150000000034</c:v>
                </c:pt>
                <c:pt idx="3">
                  <c:v>911.84999999999923</c:v>
                </c:pt>
                <c:pt idx="4">
                  <c:v>8912.6980000000003</c:v>
                </c:pt>
              </c:numCache>
            </c:numRef>
          </c:yVal>
          <c:smooth val="0"/>
          <c:extLst>
            <c:ext xmlns:c16="http://schemas.microsoft.com/office/drawing/2014/chart" uri="{C3380CC4-5D6E-409C-BE32-E72D297353CC}">
              <c16:uniqueId val="{00000000-FE40-482B-83EE-49AFAE883B30}"/>
            </c:ext>
          </c:extLst>
        </c:ser>
        <c:ser>
          <c:idx val="1"/>
          <c:order val="1"/>
          <c:tx>
            <c:strRef>
              <c:f>Feuil1!$C$1</c:f>
              <c:strCache>
                <c:ptCount val="1"/>
                <c:pt idx="0">
                  <c:v>Subventions en million de FCFA</c:v>
                </c:pt>
              </c:strCache>
            </c:strRef>
          </c:tx>
          <c:xVal>
            <c:strRef>
              <c:f>Feuil1!$A$2:$A$6</c:f>
              <c:strCache>
                <c:ptCount val="5"/>
                <c:pt idx="0">
                  <c:v>2005/2006</c:v>
                </c:pt>
                <c:pt idx="1">
                  <c:v>2006/2007</c:v>
                </c:pt>
                <c:pt idx="2">
                  <c:v>2007/2008</c:v>
                </c:pt>
                <c:pt idx="3">
                  <c:v>2008/2009</c:v>
                </c:pt>
                <c:pt idx="4">
                  <c:v>2009/2010</c:v>
                </c:pt>
              </c:strCache>
            </c:strRef>
          </c:xVal>
          <c:yVal>
            <c:numRef>
              <c:f>Feuil1!$C$2:$C$6</c:f>
              <c:numCache>
                <c:formatCode>#,##0</c:formatCode>
                <c:ptCount val="5"/>
                <c:pt idx="0">
                  <c:v>1350</c:v>
                </c:pt>
                <c:pt idx="1">
                  <c:v>506.65000000000032</c:v>
                </c:pt>
                <c:pt idx="2">
                  <c:v>3164.567</c:v>
                </c:pt>
                <c:pt idx="3" formatCode="#,##0.00">
                  <c:v>1854.6509999999998</c:v>
                </c:pt>
                <c:pt idx="4" formatCode="General">
                  <c:v>1500</c:v>
                </c:pt>
              </c:numCache>
            </c:numRef>
          </c:yVal>
          <c:smooth val="0"/>
          <c:extLst>
            <c:ext xmlns:c16="http://schemas.microsoft.com/office/drawing/2014/chart" uri="{C3380CC4-5D6E-409C-BE32-E72D297353CC}">
              <c16:uniqueId val="{00000001-FE40-482B-83EE-49AFAE883B30}"/>
            </c:ext>
          </c:extLst>
        </c:ser>
        <c:dLbls>
          <c:showLegendKey val="0"/>
          <c:showVal val="0"/>
          <c:showCatName val="0"/>
          <c:showSerName val="0"/>
          <c:showPercent val="0"/>
          <c:showBubbleSize val="0"/>
        </c:dLbls>
        <c:axId val="167749504"/>
        <c:axId val="167751040"/>
      </c:scatterChart>
      <c:valAx>
        <c:axId val="167749504"/>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fr-FR"/>
          </a:p>
        </c:txPr>
        <c:crossAx val="167751040"/>
        <c:crosses val="autoZero"/>
        <c:crossBetween val="midCat"/>
      </c:valAx>
      <c:valAx>
        <c:axId val="167751040"/>
        <c:scaling>
          <c:orientation val="minMax"/>
        </c:scaling>
        <c:delete val="0"/>
        <c:axPos val="l"/>
        <c:majorGridlines/>
        <c:numFmt formatCode="#,##0" sourceLinked="1"/>
        <c:majorTickMark val="out"/>
        <c:minorTickMark val="none"/>
        <c:tickLblPos val="nextTo"/>
        <c:crossAx val="167749504"/>
        <c:crosses val="autoZero"/>
        <c:crossBetween val="midCat"/>
      </c:valAx>
    </c:plotArea>
    <c:legend>
      <c:legendPos val="r"/>
      <c:layout>
        <c:manualLayout>
          <c:xMode val="edge"/>
          <c:yMode val="edge"/>
          <c:x val="0.80464389586436835"/>
          <c:y val="3.1809181747018474E-2"/>
          <c:w val="0.18215489111158401"/>
          <c:h val="0.8498006170281357"/>
        </c:manualLayout>
      </c:layout>
      <c:overlay val="0"/>
      <c:txPr>
        <a:bodyPr/>
        <a:lstStyle/>
        <a:p>
          <a:pPr rtl="0">
            <a:defRPr>
              <a:latin typeface="Arial" pitchFamily="34" charset="0"/>
              <a:cs typeface="Arial" pitchFamily="34" charset="0"/>
            </a:defRPr>
          </a:pPr>
          <a:endParaRPr lang="fr-F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1">
                <a:latin typeface="Times New Roman" pitchFamily="18" charset="0"/>
                <a:cs typeface="Times New Roman" pitchFamily="18" charset="0"/>
              </a:defRPr>
            </a:pPr>
            <a:r>
              <a:rPr lang="fr-FR" sz="1101" b="1">
                <a:latin typeface="Times New Roman" pitchFamily="18" charset="0"/>
                <a:cs typeface="Times New Roman" pitchFamily="18" charset="0"/>
              </a:rPr>
              <a:t>Graphique </a:t>
            </a:r>
            <a:r>
              <a:rPr lang="fr-FR" sz="1101" b="1" baseline="0">
                <a:latin typeface="Times New Roman" pitchFamily="18" charset="0"/>
                <a:cs typeface="Times New Roman" pitchFamily="18" charset="0"/>
              </a:rPr>
              <a:t> </a:t>
            </a:r>
            <a:r>
              <a:rPr lang="fr-FR" sz="1101" b="1">
                <a:latin typeface="Times New Roman" pitchFamily="18" charset="0"/>
                <a:cs typeface="Times New Roman" pitchFamily="18" charset="0"/>
              </a:rPr>
              <a:t>4.5 : </a:t>
            </a:r>
            <a:r>
              <a:rPr lang="fr-FR" sz="1101" b="0">
                <a:latin typeface="Times New Roman" pitchFamily="18" charset="0"/>
                <a:cs typeface="Times New Roman" pitchFamily="18" charset="0"/>
              </a:rPr>
              <a:t>Part annuelle de chaque qualité de fibre exporté</a:t>
            </a:r>
          </a:p>
        </c:rich>
      </c:tx>
      <c:layout>
        <c:manualLayout>
          <c:xMode val="edge"/>
          <c:yMode val="edge"/>
          <c:x val="0.17793932735152318"/>
          <c:y val="0"/>
        </c:manualLayout>
      </c:layout>
      <c:overlay val="0"/>
    </c:title>
    <c:autoTitleDeleted val="0"/>
    <c:view3D>
      <c:rotX val="15"/>
      <c:rotY val="20"/>
      <c:depthPercent val="100"/>
      <c:rAngAx val="1"/>
    </c:view3D>
    <c:floor>
      <c:thickness val="0"/>
    </c:floor>
    <c:sideWall>
      <c:thickness val="0"/>
      <c:spPr>
        <a:gradFill>
          <a:gsLst>
            <a:gs pos="0">
              <a:srgbClr val="4F81BD">
                <a:tint val="66000"/>
                <a:satMod val="160000"/>
              </a:srgbClr>
            </a:gs>
            <a:gs pos="50000">
              <a:schemeClr val="bg1"/>
            </a:gs>
            <a:gs pos="100000">
              <a:srgbClr val="4F81BD">
                <a:tint val="23500"/>
                <a:satMod val="160000"/>
              </a:srgbClr>
            </a:gs>
          </a:gsLst>
          <a:lin ang="5400000" scaled="0"/>
        </a:gradFill>
        <a:ln w="12700"/>
        <a:scene3d>
          <a:camera prst="orthographicFront"/>
          <a:lightRig rig="threePt" dir="t"/>
        </a:scene3d>
        <a:sp3d>
          <a:bevelT prst="slope"/>
        </a:sp3d>
      </c:spPr>
    </c:sideWall>
    <c:backWall>
      <c:thickness val="0"/>
      <c:spPr>
        <a:gradFill>
          <a:gsLst>
            <a:gs pos="0">
              <a:srgbClr val="4F81BD">
                <a:tint val="66000"/>
                <a:satMod val="160000"/>
              </a:srgbClr>
            </a:gs>
            <a:gs pos="50000">
              <a:schemeClr val="bg1"/>
            </a:gs>
            <a:gs pos="100000">
              <a:srgbClr val="4F81BD">
                <a:tint val="23500"/>
                <a:satMod val="160000"/>
              </a:srgbClr>
            </a:gs>
          </a:gsLst>
          <a:lin ang="5400000" scaled="0"/>
        </a:gradFill>
        <a:ln w="12700"/>
        <a:scene3d>
          <a:camera prst="orthographicFront"/>
          <a:lightRig rig="threePt" dir="t"/>
        </a:scene3d>
        <a:sp3d>
          <a:bevelT prst="slope"/>
        </a:sp3d>
      </c:spPr>
    </c:backWall>
    <c:plotArea>
      <c:layout/>
      <c:bar3DChart>
        <c:barDir val="col"/>
        <c:grouping val="percentStacked"/>
        <c:varyColors val="0"/>
        <c:ser>
          <c:idx val="0"/>
          <c:order val="0"/>
          <c:tx>
            <c:strRef>
              <c:f>Feuil1!$B$1</c:f>
              <c:strCache>
                <c:ptCount val="1"/>
                <c:pt idx="0">
                  <c:v>BOJA 129</c:v>
                </c:pt>
              </c:strCache>
            </c:strRef>
          </c:tx>
          <c:invertIfNegative val="0"/>
          <c:cat>
            <c:numRef>
              <c:f>Feuil1!$A$2:$A$5</c:f>
              <c:numCache>
                <c:formatCode>General</c:formatCode>
                <c:ptCount val="4"/>
                <c:pt idx="0">
                  <c:v>2004</c:v>
                </c:pt>
                <c:pt idx="1">
                  <c:v>2005</c:v>
                </c:pt>
                <c:pt idx="2">
                  <c:v>2006</c:v>
                </c:pt>
                <c:pt idx="3">
                  <c:v>2009</c:v>
                </c:pt>
              </c:numCache>
            </c:numRef>
          </c:cat>
          <c:val>
            <c:numRef>
              <c:f>Feuil1!$B$2:$B$5</c:f>
              <c:numCache>
                <c:formatCode>General</c:formatCode>
                <c:ptCount val="4"/>
                <c:pt idx="0" formatCode="0.00%">
                  <c:v>2.8199999999999989E-2</c:v>
                </c:pt>
                <c:pt idx="2" formatCode="0.00%">
                  <c:v>4.1099999999999998E-2</c:v>
                </c:pt>
                <c:pt idx="3" formatCode="0.00%">
                  <c:v>2.3400000000000001E-2</c:v>
                </c:pt>
              </c:numCache>
            </c:numRef>
          </c:val>
          <c:extLst>
            <c:ext xmlns:c16="http://schemas.microsoft.com/office/drawing/2014/chart" uri="{C3380CC4-5D6E-409C-BE32-E72D297353CC}">
              <c16:uniqueId val="{00000000-CE89-444A-8866-12E779744929}"/>
            </c:ext>
          </c:extLst>
        </c:ser>
        <c:ser>
          <c:idx val="1"/>
          <c:order val="1"/>
          <c:tx>
            <c:strRef>
              <c:f>Feuil1!$C$1</c:f>
              <c:strCache>
                <c:ptCount val="1"/>
                <c:pt idx="0">
                  <c:v>JIBA 127</c:v>
                </c:pt>
              </c:strCache>
            </c:strRef>
          </c:tx>
          <c:invertIfNegative val="0"/>
          <c:cat>
            <c:numRef>
              <c:f>Feuil1!$A$2:$A$5</c:f>
              <c:numCache>
                <c:formatCode>General</c:formatCode>
                <c:ptCount val="4"/>
                <c:pt idx="0">
                  <c:v>2004</c:v>
                </c:pt>
                <c:pt idx="1">
                  <c:v>2005</c:v>
                </c:pt>
                <c:pt idx="2">
                  <c:v>2006</c:v>
                </c:pt>
                <c:pt idx="3">
                  <c:v>2009</c:v>
                </c:pt>
              </c:numCache>
            </c:numRef>
          </c:cat>
          <c:val>
            <c:numRef>
              <c:f>Feuil1!$C$2:$C$5</c:f>
              <c:numCache>
                <c:formatCode>0.00%</c:formatCode>
                <c:ptCount val="4"/>
                <c:pt idx="0">
                  <c:v>0.29780000000000045</c:v>
                </c:pt>
                <c:pt idx="1">
                  <c:v>9.7000000000000003E-2</c:v>
                </c:pt>
                <c:pt idx="2">
                  <c:v>0.66260000000000119</c:v>
                </c:pt>
                <c:pt idx="3">
                  <c:v>0.2535</c:v>
                </c:pt>
              </c:numCache>
            </c:numRef>
          </c:val>
          <c:extLst>
            <c:ext xmlns:c16="http://schemas.microsoft.com/office/drawing/2014/chart" uri="{C3380CC4-5D6E-409C-BE32-E72D297353CC}">
              <c16:uniqueId val="{00000001-CE89-444A-8866-12E779744929}"/>
            </c:ext>
          </c:extLst>
        </c:ser>
        <c:ser>
          <c:idx val="2"/>
          <c:order val="2"/>
          <c:tx>
            <c:strRef>
              <c:f>Feuil1!$D$1</c:f>
              <c:strCache>
                <c:ptCount val="1"/>
                <c:pt idx="0">
                  <c:v>GOZO 125</c:v>
                </c:pt>
              </c:strCache>
            </c:strRef>
          </c:tx>
          <c:invertIfNegative val="0"/>
          <c:cat>
            <c:numRef>
              <c:f>Feuil1!$A$2:$A$5</c:f>
              <c:numCache>
                <c:formatCode>General</c:formatCode>
                <c:ptCount val="4"/>
                <c:pt idx="0">
                  <c:v>2004</c:v>
                </c:pt>
                <c:pt idx="1">
                  <c:v>2005</c:v>
                </c:pt>
                <c:pt idx="2">
                  <c:v>2006</c:v>
                </c:pt>
                <c:pt idx="3">
                  <c:v>2009</c:v>
                </c:pt>
              </c:numCache>
            </c:numRef>
          </c:cat>
          <c:val>
            <c:numRef>
              <c:f>Feuil1!$D$2:$D$5</c:f>
              <c:numCache>
                <c:formatCode>0.00%</c:formatCode>
                <c:ptCount val="4"/>
                <c:pt idx="0">
                  <c:v>0.28620000000000001</c:v>
                </c:pt>
                <c:pt idx="1">
                  <c:v>0.24770000000000023</c:v>
                </c:pt>
                <c:pt idx="2" formatCode="0%">
                  <c:v>0.19</c:v>
                </c:pt>
                <c:pt idx="3">
                  <c:v>0.40650000000000008</c:v>
                </c:pt>
              </c:numCache>
            </c:numRef>
          </c:val>
          <c:extLst>
            <c:ext xmlns:c16="http://schemas.microsoft.com/office/drawing/2014/chart" uri="{C3380CC4-5D6E-409C-BE32-E72D297353CC}">
              <c16:uniqueId val="{00000002-CE89-444A-8866-12E779744929}"/>
            </c:ext>
          </c:extLst>
        </c:ser>
        <c:ser>
          <c:idx val="3"/>
          <c:order val="3"/>
          <c:tx>
            <c:strRef>
              <c:f>Feuil1!$E$1</c:f>
              <c:strCache>
                <c:ptCount val="1"/>
                <c:pt idx="0">
                  <c:v>JIBA/C 123</c:v>
                </c:pt>
              </c:strCache>
            </c:strRef>
          </c:tx>
          <c:invertIfNegative val="0"/>
          <c:cat>
            <c:numRef>
              <c:f>Feuil1!$A$2:$A$5</c:f>
              <c:numCache>
                <c:formatCode>General</c:formatCode>
                <c:ptCount val="4"/>
                <c:pt idx="0">
                  <c:v>2004</c:v>
                </c:pt>
                <c:pt idx="1">
                  <c:v>2005</c:v>
                </c:pt>
                <c:pt idx="2">
                  <c:v>2006</c:v>
                </c:pt>
                <c:pt idx="3">
                  <c:v>2009</c:v>
                </c:pt>
              </c:numCache>
            </c:numRef>
          </c:cat>
          <c:val>
            <c:numRef>
              <c:f>Feuil1!$E$2:$E$5</c:f>
              <c:numCache>
                <c:formatCode>General</c:formatCode>
                <c:ptCount val="4"/>
                <c:pt idx="0" formatCode="0.00%">
                  <c:v>3.1000000000000034E-2</c:v>
                </c:pt>
                <c:pt idx="2" formatCode="0.00%">
                  <c:v>2.2000000000000036E-3</c:v>
                </c:pt>
                <c:pt idx="3" formatCode="0.00%">
                  <c:v>1.2E-2</c:v>
                </c:pt>
              </c:numCache>
            </c:numRef>
          </c:val>
          <c:extLst>
            <c:ext xmlns:c16="http://schemas.microsoft.com/office/drawing/2014/chart" uri="{C3380CC4-5D6E-409C-BE32-E72D297353CC}">
              <c16:uniqueId val="{00000003-CE89-444A-8866-12E779744929}"/>
            </c:ext>
          </c:extLst>
        </c:ser>
        <c:ser>
          <c:idx val="4"/>
          <c:order val="4"/>
          <c:tx>
            <c:strRef>
              <c:f>Feuil1!$F$1</c:f>
              <c:strCache>
                <c:ptCount val="1"/>
                <c:pt idx="0">
                  <c:v>JURA 122</c:v>
                </c:pt>
              </c:strCache>
            </c:strRef>
          </c:tx>
          <c:invertIfNegative val="0"/>
          <c:cat>
            <c:numRef>
              <c:f>Feuil1!$A$2:$A$5</c:f>
              <c:numCache>
                <c:formatCode>General</c:formatCode>
                <c:ptCount val="4"/>
                <c:pt idx="0">
                  <c:v>2004</c:v>
                </c:pt>
                <c:pt idx="1">
                  <c:v>2005</c:v>
                </c:pt>
                <c:pt idx="2">
                  <c:v>2006</c:v>
                </c:pt>
                <c:pt idx="3">
                  <c:v>2009</c:v>
                </c:pt>
              </c:numCache>
            </c:numRef>
          </c:cat>
          <c:val>
            <c:numRef>
              <c:f>Feuil1!$F$2:$F$5</c:f>
              <c:numCache>
                <c:formatCode>0.00%</c:formatCode>
                <c:ptCount val="4"/>
                <c:pt idx="0">
                  <c:v>0.1618</c:v>
                </c:pt>
                <c:pt idx="1">
                  <c:v>0.33820000000000039</c:v>
                </c:pt>
                <c:pt idx="2">
                  <c:v>2.35E-2</c:v>
                </c:pt>
                <c:pt idx="3">
                  <c:v>0.25219999999999998</c:v>
                </c:pt>
              </c:numCache>
            </c:numRef>
          </c:val>
          <c:extLst>
            <c:ext xmlns:c16="http://schemas.microsoft.com/office/drawing/2014/chart" uri="{C3380CC4-5D6E-409C-BE32-E72D297353CC}">
              <c16:uniqueId val="{00000004-CE89-444A-8866-12E779744929}"/>
            </c:ext>
          </c:extLst>
        </c:ser>
        <c:ser>
          <c:idx val="5"/>
          <c:order val="5"/>
          <c:tx>
            <c:strRef>
              <c:f>Feuil1!$G$1</c:f>
              <c:strCache>
                <c:ptCount val="1"/>
                <c:pt idx="0">
                  <c:v>JACO 121</c:v>
                </c:pt>
              </c:strCache>
            </c:strRef>
          </c:tx>
          <c:invertIfNegative val="0"/>
          <c:cat>
            <c:numRef>
              <c:f>Feuil1!$A$2:$A$5</c:f>
              <c:numCache>
                <c:formatCode>General</c:formatCode>
                <c:ptCount val="4"/>
                <c:pt idx="0">
                  <c:v>2004</c:v>
                </c:pt>
                <c:pt idx="1">
                  <c:v>2005</c:v>
                </c:pt>
                <c:pt idx="2">
                  <c:v>2006</c:v>
                </c:pt>
                <c:pt idx="3">
                  <c:v>2009</c:v>
                </c:pt>
              </c:numCache>
            </c:numRef>
          </c:cat>
          <c:val>
            <c:numRef>
              <c:f>Feuil1!$G$2:$G$5</c:f>
              <c:numCache>
                <c:formatCode>0.00%</c:formatCode>
                <c:ptCount val="4"/>
                <c:pt idx="0">
                  <c:v>5.5600000000000004E-2</c:v>
                </c:pt>
                <c:pt idx="1">
                  <c:v>8.0600000000000047E-2</c:v>
                </c:pt>
                <c:pt idx="2">
                  <c:v>2.8199999999999989E-2</c:v>
                </c:pt>
                <c:pt idx="3">
                  <c:v>1.6299999999999999E-2</c:v>
                </c:pt>
              </c:numCache>
            </c:numRef>
          </c:val>
          <c:extLst>
            <c:ext xmlns:c16="http://schemas.microsoft.com/office/drawing/2014/chart" uri="{C3380CC4-5D6E-409C-BE32-E72D297353CC}">
              <c16:uniqueId val="{00000005-CE89-444A-8866-12E779744929}"/>
            </c:ext>
          </c:extLst>
        </c:ser>
        <c:ser>
          <c:idx val="6"/>
          <c:order val="6"/>
          <c:tx>
            <c:strRef>
              <c:f>Feuil1!$H$1</c:f>
              <c:strCache>
                <c:ptCount val="1"/>
                <c:pt idx="0">
                  <c:v>DIBU 120</c:v>
                </c:pt>
              </c:strCache>
            </c:strRef>
          </c:tx>
          <c:invertIfNegative val="0"/>
          <c:cat>
            <c:numRef>
              <c:f>Feuil1!$A$2:$A$5</c:f>
              <c:numCache>
                <c:formatCode>General</c:formatCode>
                <c:ptCount val="4"/>
                <c:pt idx="0">
                  <c:v>2004</c:v>
                </c:pt>
                <c:pt idx="1">
                  <c:v>2005</c:v>
                </c:pt>
                <c:pt idx="2">
                  <c:v>2006</c:v>
                </c:pt>
                <c:pt idx="3">
                  <c:v>2009</c:v>
                </c:pt>
              </c:numCache>
            </c:numRef>
          </c:cat>
          <c:val>
            <c:numRef>
              <c:f>Feuil1!$H$2:$H$5</c:f>
              <c:numCache>
                <c:formatCode>0.00%</c:formatCode>
                <c:ptCount val="4"/>
                <c:pt idx="0">
                  <c:v>8.6000000000000021E-2</c:v>
                </c:pt>
                <c:pt idx="1">
                  <c:v>0.15700000000000022</c:v>
                </c:pt>
                <c:pt idx="2" formatCode="General">
                  <c:v>0</c:v>
                </c:pt>
                <c:pt idx="3">
                  <c:v>2.8899999999999999E-2</c:v>
                </c:pt>
              </c:numCache>
            </c:numRef>
          </c:val>
          <c:extLst>
            <c:ext xmlns:c16="http://schemas.microsoft.com/office/drawing/2014/chart" uri="{C3380CC4-5D6E-409C-BE32-E72D297353CC}">
              <c16:uniqueId val="{00000006-CE89-444A-8866-12E779744929}"/>
            </c:ext>
          </c:extLst>
        </c:ser>
        <c:ser>
          <c:idx val="7"/>
          <c:order val="7"/>
          <c:tx>
            <c:strRef>
              <c:f>Feuil1!$I$1</c:f>
              <c:strCache>
                <c:ptCount val="1"/>
                <c:pt idx="0">
                  <c:v>VIRU 124</c:v>
                </c:pt>
              </c:strCache>
            </c:strRef>
          </c:tx>
          <c:invertIfNegative val="0"/>
          <c:cat>
            <c:numRef>
              <c:f>Feuil1!$A$2:$A$5</c:f>
              <c:numCache>
                <c:formatCode>General</c:formatCode>
                <c:ptCount val="4"/>
                <c:pt idx="0">
                  <c:v>2004</c:v>
                </c:pt>
                <c:pt idx="1">
                  <c:v>2005</c:v>
                </c:pt>
                <c:pt idx="2">
                  <c:v>2006</c:v>
                </c:pt>
                <c:pt idx="3">
                  <c:v>2009</c:v>
                </c:pt>
              </c:numCache>
            </c:numRef>
          </c:cat>
          <c:val>
            <c:numRef>
              <c:f>Feuil1!$I$2:$I$5</c:f>
              <c:numCache>
                <c:formatCode>0.00%</c:formatCode>
                <c:ptCount val="4"/>
                <c:pt idx="0">
                  <c:v>3.3000000000000002E-2</c:v>
                </c:pt>
                <c:pt idx="1">
                  <c:v>7.4100000000000013E-2</c:v>
                </c:pt>
                <c:pt idx="2">
                  <c:v>1.1800000000000022E-2</c:v>
                </c:pt>
                <c:pt idx="3">
                  <c:v>5.0000000000000062E-3</c:v>
                </c:pt>
              </c:numCache>
            </c:numRef>
          </c:val>
          <c:extLst>
            <c:ext xmlns:c16="http://schemas.microsoft.com/office/drawing/2014/chart" uri="{C3380CC4-5D6E-409C-BE32-E72D297353CC}">
              <c16:uniqueId val="{00000007-CE89-444A-8866-12E779744929}"/>
            </c:ext>
          </c:extLst>
        </c:ser>
        <c:ser>
          <c:idx val="8"/>
          <c:order val="8"/>
          <c:tx>
            <c:strRef>
              <c:f>Feuil1!$J$1</c:f>
              <c:strCache>
                <c:ptCount val="1"/>
                <c:pt idx="0">
                  <c:v>KEKE 126</c:v>
                </c:pt>
              </c:strCache>
            </c:strRef>
          </c:tx>
          <c:invertIfNegative val="0"/>
          <c:cat>
            <c:numRef>
              <c:f>Feuil1!$A$2:$A$5</c:f>
              <c:numCache>
                <c:formatCode>General</c:formatCode>
                <c:ptCount val="4"/>
                <c:pt idx="0">
                  <c:v>2004</c:v>
                </c:pt>
                <c:pt idx="1">
                  <c:v>2005</c:v>
                </c:pt>
                <c:pt idx="2">
                  <c:v>2006</c:v>
                </c:pt>
                <c:pt idx="3">
                  <c:v>2009</c:v>
                </c:pt>
              </c:numCache>
            </c:numRef>
          </c:cat>
          <c:val>
            <c:numRef>
              <c:f>Feuil1!$J$2:$J$5</c:f>
              <c:numCache>
                <c:formatCode>0.00%</c:formatCode>
                <c:ptCount val="4"/>
                <c:pt idx="0">
                  <c:v>1.8599999999999998E-2</c:v>
                </c:pt>
                <c:pt idx="1">
                  <c:v>4.1000000000000003E-3</c:v>
                </c:pt>
                <c:pt idx="2">
                  <c:v>3.1000000000000034E-2</c:v>
                </c:pt>
                <c:pt idx="3">
                  <c:v>1.900000000000003E-3</c:v>
                </c:pt>
              </c:numCache>
            </c:numRef>
          </c:val>
          <c:extLst>
            <c:ext xmlns:c16="http://schemas.microsoft.com/office/drawing/2014/chart" uri="{C3380CC4-5D6E-409C-BE32-E72D297353CC}">
              <c16:uniqueId val="{00000008-CE89-444A-8866-12E779744929}"/>
            </c:ext>
          </c:extLst>
        </c:ser>
        <c:dLbls>
          <c:showLegendKey val="0"/>
          <c:showVal val="0"/>
          <c:showCatName val="0"/>
          <c:showSerName val="0"/>
          <c:showPercent val="0"/>
          <c:showBubbleSize val="0"/>
        </c:dLbls>
        <c:gapWidth val="75"/>
        <c:shape val="cylinder"/>
        <c:axId val="167892864"/>
        <c:axId val="167894400"/>
        <c:axId val="0"/>
      </c:bar3DChart>
      <c:catAx>
        <c:axId val="167892864"/>
        <c:scaling>
          <c:orientation val="minMax"/>
        </c:scaling>
        <c:delete val="0"/>
        <c:axPos val="b"/>
        <c:numFmt formatCode="General" sourceLinked="1"/>
        <c:majorTickMark val="none"/>
        <c:minorTickMark val="none"/>
        <c:tickLblPos val="nextTo"/>
        <c:crossAx val="167894400"/>
        <c:crosses val="autoZero"/>
        <c:auto val="1"/>
        <c:lblAlgn val="ctr"/>
        <c:lblOffset val="100"/>
        <c:noMultiLvlLbl val="0"/>
      </c:catAx>
      <c:valAx>
        <c:axId val="167894400"/>
        <c:scaling>
          <c:orientation val="minMax"/>
        </c:scaling>
        <c:delete val="0"/>
        <c:axPos val="l"/>
        <c:majorGridlines/>
        <c:numFmt formatCode="0%" sourceLinked="1"/>
        <c:majorTickMark val="none"/>
        <c:minorTickMark val="none"/>
        <c:tickLblPos val="nextTo"/>
        <c:spPr>
          <a:ln w="9535">
            <a:noFill/>
          </a:ln>
        </c:spPr>
        <c:txPr>
          <a:bodyPr/>
          <a:lstStyle/>
          <a:p>
            <a:pPr>
              <a:defRPr>
                <a:latin typeface="Times New Roman" pitchFamily="18" charset="0"/>
                <a:cs typeface="Times New Roman" pitchFamily="18" charset="0"/>
              </a:defRPr>
            </a:pPr>
            <a:endParaRPr lang="fr-FR"/>
          </a:p>
        </c:txPr>
        <c:crossAx val="167892864"/>
        <c:crosses val="autoZero"/>
        <c:crossBetween val="between"/>
      </c:valAx>
      <c:spPr>
        <a:noFill/>
        <a:ln w="25427">
          <a:noFill/>
        </a:ln>
      </c:spPr>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Feuil1!$B$1</c:f>
              <c:strCache>
                <c:ptCount val="1"/>
                <c:pt idx="0">
                  <c:v>rapport PN/PI</c:v>
                </c:pt>
              </c:strCache>
            </c:strRef>
          </c:tx>
          <c:xVal>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xVal>
          <c:yVal>
            <c:numRef>
              <c:f>Feuil1!$B$2:$B$11</c:f>
              <c:numCache>
                <c:formatCode>General</c:formatCode>
                <c:ptCount val="10"/>
                <c:pt idx="0">
                  <c:v>5.01</c:v>
                </c:pt>
                <c:pt idx="1">
                  <c:v>4.9800000000000004</c:v>
                </c:pt>
                <c:pt idx="2">
                  <c:v>4.8599999999999985</c:v>
                </c:pt>
                <c:pt idx="3">
                  <c:v>4.75</c:v>
                </c:pt>
                <c:pt idx="4">
                  <c:v>3.8899999999999997</c:v>
                </c:pt>
                <c:pt idx="5">
                  <c:v>3.86</c:v>
                </c:pt>
                <c:pt idx="6">
                  <c:v>3.34</c:v>
                </c:pt>
                <c:pt idx="7">
                  <c:v>3.21</c:v>
                </c:pt>
                <c:pt idx="8">
                  <c:v>4.8</c:v>
                </c:pt>
                <c:pt idx="9">
                  <c:v>2.5</c:v>
                </c:pt>
              </c:numCache>
            </c:numRef>
          </c:yVal>
          <c:smooth val="0"/>
          <c:extLst>
            <c:ext xmlns:c16="http://schemas.microsoft.com/office/drawing/2014/chart" uri="{C3380CC4-5D6E-409C-BE32-E72D297353CC}">
              <c16:uniqueId val="{00000000-2C7A-4B77-BFDB-D0E8425CD863}"/>
            </c:ext>
          </c:extLst>
        </c:ser>
        <c:dLbls>
          <c:showLegendKey val="0"/>
          <c:showVal val="0"/>
          <c:showCatName val="0"/>
          <c:showSerName val="0"/>
          <c:showPercent val="0"/>
          <c:showBubbleSize val="0"/>
        </c:dLbls>
        <c:axId val="166665600"/>
        <c:axId val="166635008"/>
      </c:scatterChart>
      <c:valAx>
        <c:axId val="166665600"/>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fr-FR"/>
                  <a:t>année</a:t>
                </a:r>
              </a:p>
            </c:rich>
          </c:tx>
          <c:overlay val="0"/>
        </c:title>
        <c:numFmt formatCode="General" sourceLinked="1"/>
        <c:majorTickMark val="none"/>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fr-FR"/>
          </a:p>
        </c:txPr>
        <c:crossAx val="166635008"/>
        <c:crosses val="autoZero"/>
        <c:crossBetween val="midCat"/>
      </c:valAx>
      <c:valAx>
        <c:axId val="166635008"/>
        <c:scaling>
          <c:orientation val="minMax"/>
        </c:scaling>
        <c:delete val="0"/>
        <c:axPos val="l"/>
        <c:majorGridlines/>
        <c:title>
          <c:tx>
            <c:rich>
              <a:bodyPr/>
              <a:lstStyle/>
              <a:p>
                <a:pPr>
                  <a:defRPr sz="798" b="1" i="0" u="none" strike="noStrike" baseline="0">
                    <a:solidFill>
                      <a:srgbClr val="000000"/>
                    </a:solidFill>
                    <a:latin typeface="Times New Roman"/>
                    <a:ea typeface="Times New Roman"/>
                    <a:cs typeface="Times New Roman"/>
                  </a:defRPr>
                </a:pPr>
                <a:r>
                  <a:rPr lang="fr-FR"/>
                  <a:t>prix nationaux / prix internationaux en %</a:t>
                </a:r>
              </a:p>
            </c:rich>
          </c:tx>
          <c:overlay val="0"/>
        </c:title>
        <c:numFmt formatCode="General" sourceLinked="1"/>
        <c:majorTickMark val="none"/>
        <c:minorTickMark val="none"/>
        <c:tickLblPos val="nextTo"/>
        <c:crossAx val="166665600"/>
        <c:crosses val="autoZero"/>
        <c:crossBetween val="midCat"/>
      </c:valAx>
    </c:plotArea>
    <c:plotVisOnly val="1"/>
    <c:dispBlanksAs val="gap"/>
    <c:showDLblsOverMax val="0"/>
  </c:chart>
  <c:txPr>
    <a:bodyPr/>
    <a:lstStyle/>
    <a:p>
      <a:pPr>
        <a:defRPr sz="1197">
          <a:latin typeface="Arial" pitchFamily="34" charset="0"/>
          <a:cs typeface="Arial" pitchFamily="34" charset="0"/>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a:latin typeface="Times New Roman" pitchFamily="18" charset="0"/>
                <a:cs typeface="Times New Roman" pitchFamily="18" charset="0"/>
              </a:defRPr>
            </a:pPr>
            <a:r>
              <a:rPr lang="fr-FR" sz="1100" b="1">
                <a:latin typeface="Times New Roman" pitchFamily="18" charset="0"/>
                <a:cs typeface="Times New Roman" pitchFamily="18" charset="0"/>
              </a:rPr>
              <a:t>Graphique </a:t>
            </a:r>
            <a:r>
              <a:rPr lang="fr-FR" sz="1100" b="1" baseline="0">
                <a:latin typeface="Times New Roman" pitchFamily="18" charset="0"/>
                <a:cs typeface="Times New Roman" pitchFamily="18" charset="0"/>
              </a:rPr>
              <a:t> </a:t>
            </a:r>
            <a:r>
              <a:rPr lang="fr-FR" sz="1100" b="1">
                <a:latin typeface="Times New Roman" pitchFamily="18" charset="0"/>
                <a:cs typeface="Times New Roman" pitchFamily="18" charset="0"/>
              </a:rPr>
              <a:t>4.5 : </a:t>
            </a:r>
            <a:r>
              <a:rPr lang="fr-FR" sz="1100" b="0">
                <a:latin typeface="Times New Roman" pitchFamily="18" charset="0"/>
                <a:cs typeface="Times New Roman" pitchFamily="18" charset="0"/>
              </a:rPr>
              <a:t>Part annuelle de chaque qualité de fibre exporté</a:t>
            </a:r>
          </a:p>
        </c:rich>
      </c:tx>
      <c:layout>
        <c:manualLayout>
          <c:xMode val="edge"/>
          <c:yMode val="edge"/>
          <c:x val="0.17793937181693348"/>
          <c:y val="0"/>
        </c:manualLayout>
      </c:layout>
      <c:overlay val="0"/>
    </c:title>
    <c:autoTitleDeleted val="0"/>
    <c:view3D>
      <c:rotX val="15"/>
      <c:rotY val="20"/>
      <c:depthPercent val="100"/>
      <c:rAngAx val="1"/>
    </c:view3D>
    <c:floor>
      <c:thickness val="0"/>
    </c:floor>
    <c:sideWall>
      <c:thickness val="0"/>
      <c:spPr>
        <a:gradFill>
          <a:gsLst>
            <a:gs pos="0">
              <a:srgbClr val="4F81BD">
                <a:tint val="66000"/>
                <a:satMod val="160000"/>
              </a:srgbClr>
            </a:gs>
            <a:gs pos="50000">
              <a:schemeClr val="bg1"/>
            </a:gs>
            <a:gs pos="100000">
              <a:srgbClr val="4F81BD">
                <a:tint val="23500"/>
                <a:satMod val="160000"/>
              </a:srgbClr>
            </a:gs>
          </a:gsLst>
          <a:lin ang="5400000" scaled="0"/>
        </a:gradFill>
        <a:ln w="12700"/>
        <a:scene3d>
          <a:camera prst="orthographicFront"/>
          <a:lightRig rig="threePt" dir="t"/>
        </a:scene3d>
        <a:sp3d>
          <a:bevelT prst="slope"/>
        </a:sp3d>
      </c:spPr>
    </c:sideWall>
    <c:backWall>
      <c:thickness val="0"/>
      <c:spPr>
        <a:gradFill>
          <a:gsLst>
            <a:gs pos="0">
              <a:srgbClr val="4F81BD">
                <a:tint val="66000"/>
                <a:satMod val="160000"/>
              </a:srgbClr>
            </a:gs>
            <a:gs pos="50000">
              <a:schemeClr val="bg1"/>
            </a:gs>
            <a:gs pos="100000">
              <a:srgbClr val="4F81BD">
                <a:tint val="23500"/>
                <a:satMod val="160000"/>
              </a:srgbClr>
            </a:gs>
          </a:gsLst>
          <a:lin ang="5400000" scaled="0"/>
        </a:gradFill>
        <a:ln w="12700"/>
        <a:scene3d>
          <a:camera prst="orthographicFront"/>
          <a:lightRig rig="threePt" dir="t"/>
        </a:scene3d>
        <a:sp3d>
          <a:bevelT prst="slope"/>
        </a:sp3d>
      </c:spPr>
    </c:backWall>
    <c:plotArea>
      <c:layout/>
      <c:bar3DChart>
        <c:barDir val="col"/>
        <c:grouping val="percentStacked"/>
        <c:varyColors val="0"/>
        <c:ser>
          <c:idx val="0"/>
          <c:order val="0"/>
          <c:tx>
            <c:strRef>
              <c:f>Feuil1!$B$1</c:f>
              <c:strCache>
                <c:ptCount val="1"/>
                <c:pt idx="0">
                  <c:v>BOJA 129</c:v>
                </c:pt>
              </c:strCache>
            </c:strRef>
          </c:tx>
          <c:invertIfNegative val="0"/>
          <c:cat>
            <c:numRef>
              <c:f>Feuil1!$A$2:$A$5</c:f>
              <c:numCache>
                <c:formatCode>General</c:formatCode>
                <c:ptCount val="4"/>
                <c:pt idx="0">
                  <c:v>2004</c:v>
                </c:pt>
                <c:pt idx="1">
                  <c:v>2005</c:v>
                </c:pt>
                <c:pt idx="2">
                  <c:v>2006</c:v>
                </c:pt>
                <c:pt idx="3">
                  <c:v>2009</c:v>
                </c:pt>
              </c:numCache>
            </c:numRef>
          </c:cat>
          <c:val>
            <c:numRef>
              <c:f>Feuil1!$B$2:$B$5</c:f>
              <c:numCache>
                <c:formatCode>General</c:formatCode>
                <c:ptCount val="4"/>
                <c:pt idx="0" formatCode="0.00%">
                  <c:v>2.8199999999999999E-2</c:v>
                </c:pt>
                <c:pt idx="2" formatCode="0.00%">
                  <c:v>4.1099999999999998E-2</c:v>
                </c:pt>
                <c:pt idx="3" formatCode="0.00%">
                  <c:v>2.3400000000000001E-2</c:v>
                </c:pt>
              </c:numCache>
            </c:numRef>
          </c:val>
          <c:extLst>
            <c:ext xmlns:c16="http://schemas.microsoft.com/office/drawing/2014/chart" uri="{C3380CC4-5D6E-409C-BE32-E72D297353CC}">
              <c16:uniqueId val="{00000000-8630-42CF-97CB-554F80C19322}"/>
            </c:ext>
          </c:extLst>
        </c:ser>
        <c:ser>
          <c:idx val="1"/>
          <c:order val="1"/>
          <c:tx>
            <c:strRef>
              <c:f>Feuil1!$C$1</c:f>
              <c:strCache>
                <c:ptCount val="1"/>
                <c:pt idx="0">
                  <c:v>JIBA 127</c:v>
                </c:pt>
              </c:strCache>
            </c:strRef>
          </c:tx>
          <c:invertIfNegative val="0"/>
          <c:cat>
            <c:numRef>
              <c:f>Feuil1!$A$2:$A$5</c:f>
              <c:numCache>
                <c:formatCode>General</c:formatCode>
                <c:ptCount val="4"/>
                <c:pt idx="0">
                  <c:v>2004</c:v>
                </c:pt>
                <c:pt idx="1">
                  <c:v>2005</c:v>
                </c:pt>
                <c:pt idx="2">
                  <c:v>2006</c:v>
                </c:pt>
                <c:pt idx="3">
                  <c:v>2009</c:v>
                </c:pt>
              </c:numCache>
            </c:numRef>
          </c:cat>
          <c:val>
            <c:numRef>
              <c:f>Feuil1!$C$2:$C$5</c:f>
              <c:numCache>
                <c:formatCode>0.00%</c:formatCode>
                <c:ptCount val="4"/>
                <c:pt idx="0">
                  <c:v>0.29780000000000001</c:v>
                </c:pt>
                <c:pt idx="1">
                  <c:v>9.7000000000000003E-2</c:v>
                </c:pt>
                <c:pt idx="2">
                  <c:v>0.66259999999999997</c:v>
                </c:pt>
                <c:pt idx="3">
                  <c:v>0.2535</c:v>
                </c:pt>
              </c:numCache>
            </c:numRef>
          </c:val>
          <c:extLst>
            <c:ext xmlns:c16="http://schemas.microsoft.com/office/drawing/2014/chart" uri="{C3380CC4-5D6E-409C-BE32-E72D297353CC}">
              <c16:uniqueId val="{00000001-8630-42CF-97CB-554F80C19322}"/>
            </c:ext>
          </c:extLst>
        </c:ser>
        <c:ser>
          <c:idx val="2"/>
          <c:order val="2"/>
          <c:tx>
            <c:strRef>
              <c:f>Feuil1!$D$1</c:f>
              <c:strCache>
                <c:ptCount val="1"/>
                <c:pt idx="0">
                  <c:v>GOZO 125</c:v>
                </c:pt>
              </c:strCache>
            </c:strRef>
          </c:tx>
          <c:invertIfNegative val="0"/>
          <c:cat>
            <c:numRef>
              <c:f>Feuil1!$A$2:$A$5</c:f>
              <c:numCache>
                <c:formatCode>General</c:formatCode>
                <c:ptCount val="4"/>
                <c:pt idx="0">
                  <c:v>2004</c:v>
                </c:pt>
                <c:pt idx="1">
                  <c:v>2005</c:v>
                </c:pt>
                <c:pt idx="2">
                  <c:v>2006</c:v>
                </c:pt>
                <c:pt idx="3">
                  <c:v>2009</c:v>
                </c:pt>
              </c:numCache>
            </c:numRef>
          </c:cat>
          <c:val>
            <c:numRef>
              <c:f>Feuil1!$D$2:$D$5</c:f>
              <c:numCache>
                <c:formatCode>0.00%</c:formatCode>
                <c:ptCount val="4"/>
                <c:pt idx="0">
                  <c:v>0.28620000000000001</c:v>
                </c:pt>
                <c:pt idx="1">
                  <c:v>0.2477</c:v>
                </c:pt>
                <c:pt idx="2" formatCode="0%">
                  <c:v>0.19</c:v>
                </c:pt>
                <c:pt idx="3">
                  <c:v>0.40649999999999997</c:v>
                </c:pt>
              </c:numCache>
            </c:numRef>
          </c:val>
          <c:extLst>
            <c:ext xmlns:c16="http://schemas.microsoft.com/office/drawing/2014/chart" uri="{C3380CC4-5D6E-409C-BE32-E72D297353CC}">
              <c16:uniqueId val="{00000002-8630-42CF-97CB-554F80C19322}"/>
            </c:ext>
          </c:extLst>
        </c:ser>
        <c:ser>
          <c:idx val="3"/>
          <c:order val="3"/>
          <c:tx>
            <c:strRef>
              <c:f>Feuil1!$E$1</c:f>
              <c:strCache>
                <c:ptCount val="1"/>
                <c:pt idx="0">
                  <c:v>JIBA/C 123</c:v>
                </c:pt>
              </c:strCache>
            </c:strRef>
          </c:tx>
          <c:invertIfNegative val="0"/>
          <c:cat>
            <c:numRef>
              <c:f>Feuil1!$A$2:$A$5</c:f>
              <c:numCache>
                <c:formatCode>General</c:formatCode>
                <c:ptCount val="4"/>
                <c:pt idx="0">
                  <c:v>2004</c:v>
                </c:pt>
                <c:pt idx="1">
                  <c:v>2005</c:v>
                </c:pt>
                <c:pt idx="2">
                  <c:v>2006</c:v>
                </c:pt>
                <c:pt idx="3">
                  <c:v>2009</c:v>
                </c:pt>
              </c:numCache>
            </c:numRef>
          </c:cat>
          <c:val>
            <c:numRef>
              <c:f>Feuil1!$E$2:$E$5</c:f>
              <c:numCache>
                <c:formatCode>General</c:formatCode>
                <c:ptCount val="4"/>
                <c:pt idx="0" formatCode="0.00%">
                  <c:v>3.1E-2</c:v>
                </c:pt>
                <c:pt idx="2" formatCode="0.00%">
                  <c:v>2.2000000000000001E-3</c:v>
                </c:pt>
                <c:pt idx="3" formatCode="0.00%">
                  <c:v>1.2E-2</c:v>
                </c:pt>
              </c:numCache>
            </c:numRef>
          </c:val>
          <c:extLst>
            <c:ext xmlns:c16="http://schemas.microsoft.com/office/drawing/2014/chart" uri="{C3380CC4-5D6E-409C-BE32-E72D297353CC}">
              <c16:uniqueId val="{00000003-8630-42CF-97CB-554F80C19322}"/>
            </c:ext>
          </c:extLst>
        </c:ser>
        <c:ser>
          <c:idx val="4"/>
          <c:order val="4"/>
          <c:tx>
            <c:strRef>
              <c:f>Feuil1!$F$1</c:f>
              <c:strCache>
                <c:ptCount val="1"/>
                <c:pt idx="0">
                  <c:v>JURA 122</c:v>
                </c:pt>
              </c:strCache>
            </c:strRef>
          </c:tx>
          <c:invertIfNegative val="0"/>
          <c:cat>
            <c:numRef>
              <c:f>Feuil1!$A$2:$A$5</c:f>
              <c:numCache>
                <c:formatCode>General</c:formatCode>
                <c:ptCount val="4"/>
                <c:pt idx="0">
                  <c:v>2004</c:v>
                </c:pt>
                <c:pt idx="1">
                  <c:v>2005</c:v>
                </c:pt>
                <c:pt idx="2">
                  <c:v>2006</c:v>
                </c:pt>
                <c:pt idx="3">
                  <c:v>2009</c:v>
                </c:pt>
              </c:numCache>
            </c:numRef>
          </c:cat>
          <c:val>
            <c:numRef>
              <c:f>Feuil1!$F$2:$F$5</c:f>
              <c:numCache>
                <c:formatCode>0.00%</c:formatCode>
                <c:ptCount val="4"/>
                <c:pt idx="0">
                  <c:v>0.1618</c:v>
                </c:pt>
                <c:pt idx="1">
                  <c:v>0.3382</c:v>
                </c:pt>
                <c:pt idx="2">
                  <c:v>2.35E-2</c:v>
                </c:pt>
                <c:pt idx="3">
                  <c:v>0.25219999999999998</c:v>
                </c:pt>
              </c:numCache>
            </c:numRef>
          </c:val>
          <c:extLst>
            <c:ext xmlns:c16="http://schemas.microsoft.com/office/drawing/2014/chart" uri="{C3380CC4-5D6E-409C-BE32-E72D297353CC}">
              <c16:uniqueId val="{00000004-8630-42CF-97CB-554F80C19322}"/>
            </c:ext>
          </c:extLst>
        </c:ser>
        <c:ser>
          <c:idx val="5"/>
          <c:order val="5"/>
          <c:tx>
            <c:strRef>
              <c:f>Feuil1!$G$1</c:f>
              <c:strCache>
                <c:ptCount val="1"/>
                <c:pt idx="0">
                  <c:v>JACO 121</c:v>
                </c:pt>
              </c:strCache>
            </c:strRef>
          </c:tx>
          <c:invertIfNegative val="0"/>
          <c:cat>
            <c:numRef>
              <c:f>Feuil1!$A$2:$A$5</c:f>
              <c:numCache>
                <c:formatCode>General</c:formatCode>
                <c:ptCount val="4"/>
                <c:pt idx="0">
                  <c:v>2004</c:v>
                </c:pt>
                <c:pt idx="1">
                  <c:v>2005</c:v>
                </c:pt>
                <c:pt idx="2">
                  <c:v>2006</c:v>
                </c:pt>
                <c:pt idx="3">
                  <c:v>2009</c:v>
                </c:pt>
              </c:numCache>
            </c:numRef>
          </c:cat>
          <c:val>
            <c:numRef>
              <c:f>Feuil1!$G$2:$G$5</c:f>
              <c:numCache>
                <c:formatCode>0.00%</c:formatCode>
                <c:ptCount val="4"/>
                <c:pt idx="0">
                  <c:v>5.5599999999999997E-2</c:v>
                </c:pt>
                <c:pt idx="1">
                  <c:v>8.0600000000000005E-2</c:v>
                </c:pt>
                <c:pt idx="2">
                  <c:v>2.8199999999999999E-2</c:v>
                </c:pt>
                <c:pt idx="3">
                  <c:v>1.6299999999999999E-2</c:v>
                </c:pt>
              </c:numCache>
            </c:numRef>
          </c:val>
          <c:extLst>
            <c:ext xmlns:c16="http://schemas.microsoft.com/office/drawing/2014/chart" uri="{C3380CC4-5D6E-409C-BE32-E72D297353CC}">
              <c16:uniqueId val="{00000005-8630-42CF-97CB-554F80C19322}"/>
            </c:ext>
          </c:extLst>
        </c:ser>
        <c:ser>
          <c:idx val="6"/>
          <c:order val="6"/>
          <c:tx>
            <c:strRef>
              <c:f>Feuil1!$H$1</c:f>
              <c:strCache>
                <c:ptCount val="1"/>
                <c:pt idx="0">
                  <c:v>DIBU 120</c:v>
                </c:pt>
              </c:strCache>
            </c:strRef>
          </c:tx>
          <c:invertIfNegative val="0"/>
          <c:cat>
            <c:numRef>
              <c:f>Feuil1!$A$2:$A$5</c:f>
              <c:numCache>
                <c:formatCode>General</c:formatCode>
                <c:ptCount val="4"/>
                <c:pt idx="0">
                  <c:v>2004</c:v>
                </c:pt>
                <c:pt idx="1">
                  <c:v>2005</c:v>
                </c:pt>
                <c:pt idx="2">
                  <c:v>2006</c:v>
                </c:pt>
                <c:pt idx="3">
                  <c:v>2009</c:v>
                </c:pt>
              </c:numCache>
            </c:numRef>
          </c:cat>
          <c:val>
            <c:numRef>
              <c:f>Feuil1!$H$2:$H$5</c:f>
              <c:numCache>
                <c:formatCode>0.00%</c:formatCode>
                <c:ptCount val="4"/>
                <c:pt idx="0">
                  <c:v>8.5999999999999993E-2</c:v>
                </c:pt>
                <c:pt idx="1">
                  <c:v>0.157</c:v>
                </c:pt>
                <c:pt idx="2" formatCode="General">
                  <c:v>0</c:v>
                </c:pt>
                <c:pt idx="3">
                  <c:v>2.8899999999999999E-2</c:v>
                </c:pt>
              </c:numCache>
            </c:numRef>
          </c:val>
          <c:extLst>
            <c:ext xmlns:c16="http://schemas.microsoft.com/office/drawing/2014/chart" uri="{C3380CC4-5D6E-409C-BE32-E72D297353CC}">
              <c16:uniqueId val="{00000006-8630-42CF-97CB-554F80C19322}"/>
            </c:ext>
          </c:extLst>
        </c:ser>
        <c:ser>
          <c:idx val="7"/>
          <c:order val="7"/>
          <c:tx>
            <c:strRef>
              <c:f>Feuil1!$I$1</c:f>
              <c:strCache>
                <c:ptCount val="1"/>
                <c:pt idx="0">
                  <c:v>VIRU 124</c:v>
                </c:pt>
              </c:strCache>
            </c:strRef>
          </c:tx>
          <c:invertIfNegative val="0"/>
          <c:cat>
            <c:numRef>
              <c:f>Feuil1!$A$2:$A$5</c:f>
              <c:numCache>
                <c:formatCode>General</c:formatCode>
                <c:ptCount val="4"/>
                <c:pt idx="0">
                  <c:v>2004</c:v>
                </c:pt>
                <c:pt idx="1">
                  <c:v>2005</c:v>
                </c:pt>
                <c:pt idx="2">
                  <c:v>2006</c:v>
                </c:pt>
                <c:pt idx="3">
                  <c:v>2009</c:v>
                </c:pt>
              </c:numCache>
            </c:numRef>
          </c:cat>
          <c:val>
            <c:numRef>
              <c:f>Feuil1!$I$2:$I$5</c:f>
              <c:numCache>
                <c:formatCode>0.00%</c:formatCode>
                <c:ptCount val="4"/>
                <c:pt idx="0">
                  <c:v>3.3000000000000002E-2</c:v>
                </c:pt>
                <c:pt idx="1">
                  <c:v>7.4099999999999999E-2</c:v>
                </c:pt>
                <c:pt idx="2">
                  <c:v>1.18E-2</c:v>
                </c:pt>
                <c:pt idx="3">
                  <c:v>5.0000000000000001E-3</c:v>
                </c:pt>
              </c:numCache>
            </c:numRef>
          </c:val>
          <c:extLst>
            <c:ext xmlns:c16="http://schemas.microsoft.com/office/drawing/2014/chart" uri="{C3380CC4-5D6E-409C-BE32-E72D297353CC}">
              <c16:uniqueId val="{00000007-8630-42CF-97CB-554F80C19322}"/>
            </c:ext>
          </c:extLst>
        </c:ser>
        <c:ser>
          <c:idx val="8"/>
          <c:order val="8"/>
          <c:tx>
            <c:strRef>
              <c:f>Feuil1!$J$1</c:f>
              <c:strCache>
                <c:ptCount val="1"/>
                <c:pt idx="0">
                  <c:v>KEKE 126</c:v>
                </c:pt>
              </c:strCache>
            </c:strRef>
          </c:tx>
          <c:invertIfNegative val="0"/>
          <c:cat>
            <c:numRef>
              <c:f>Feuil1!$A$2:$A$5</c:f>
              <c:numCache>
                <c:formatCode>General</c:formatCode>
                <c:ptCount val="4"/>
                <c:pt idx="0">
                  <c:v>2004</c:v>
                </c:pt>
                <c:pt idx="1">
                  <c:v>2005</c:v>
                </c:pt>
                <c:pt idx="2">
                  <c:v>2006</c:v>
                </c:pt>
                <c:pt idx="3">
                  <c:v>2009</c:v>
                </c:pt>
              </c:numCache>
            </c:numRef>
          </c:cat>
          <c:val>
            <c:numRef>
              <c:f>Feuil1!$J$2:$J$5</c:f>
              <c:numCache>
                <c:formatCode>0.00%</c:formatCode>
                <c:ptCount val="4"/>
                <c:pt idx="0">
                  <c:v>1.8599999999999998E-2</c:v>
                </c:pt>
                <c:pt idx="1">
                  <c:v>4.1000000000000003E-3</c:v>
                </c:pt>
                <c:pt idx="2">
                  <c:v>3.1E-2</c:v>
                </c:pt>
                <c:pt idx="3">
                  <c:v>1.9E-3</c:v>
                </c:pt>
              </c:numCache>
            </c:numRef>
          </c:val>
          <c:extLst>
            <c:ext xmlns:c16="http://schemas.microsoft.com/office/drawing/2014/chart" uri="{C3380CC4-5D6E-409C-BE32-E72D297353CC}">
              <c16:uniqueId val="{00000008-8630-42CF-97CB-554F80C19322}"/>
            </c:ext>
          </c:extLst>
        </c:ser>
        <c:dLbls>
          <c:showLegendKey val="0"/>
          <c:showVal val="0"/>
          <c:showCatName val="0"/>
          <c:showSerName val="0"/>
          <c:showPercent val="0"/>
          <c:showBubbleSize val="0"/>
        </c:dLbls>
        <c:gapWidth val="75"/>
        <c:shape val="cylinder"/>
        <c:axId val="167932288"/>
        <c:axId val="167933824"/>
        <c:axId val="0"/>
      </c:bar3DChart>
      <c:catAx>
        <c:axId val="167932288"/>
        <c:scaling>
          <c:orientation val="minMax"/>
        </c:scaling>
        <c:delete val="0"/>
        <c:axPos val="b"/>
        <c:numFmt formatCode="General" sourceLinked="1"/>
        <c:majorTickMark val="none"/>
        <c:minorTickMark val="none"/>
        <c:tickLblPos val="nextTo"/>
        <c:crossAx val="167933824"/>
        <c:crosses val="autoZero"/>
        <c:auto val="1"/>
        <c:lblAlgn val="ctr"/>
        <c:lblOffset val="100"/>
        <c:noMultiLvlLbl val="0"/>
      </c:catAx>
      <c:valAx>
        <c:axId val="167933824"/>
        <c:scaling>
          <c:orientation val="minMax"/>
        </c:scaling>
        <c:delete val="0"/>
        <c:axPos val="l"/>
        <c:majorGridlines/>
        <c:numFmt formatCode="0%" sourceLinked="1"/>
        <c:majorTickMark val="none"/>
        <c:minorTickMark val="none"/>
        <c:tickLblPos val="nextTo"/>
        <c:spPr>
          <a:ln w="9526">
            <a:noFill/>
          </a:ln>
        </c:spPr>
        <c:txPr>
          <a:bodyPr/>
          <a:lstStyle/>
          <a:p>
            <a:pPr>
              <a:defRPr>
                <a:latin typeface="Times New Roman" pitchFamily="18" charset="0"/>
                <a:cs typeface="Times New Roman" pitchFamily="18" charset="0"/>
              </a:defRPr>
            </a:pPr>
            <a:endParaRPr lang="fr-FR"/>
          </a:p>
        </c:txPr>
        <c:crossAx val="167932288"/>
        <c:crosses val="autoZero"/>
        <c:crossBetween val="between"/>
      </c:valAx>
      <c:spPr>
        <a:noFill/>
        <a:ln w="25375">
          <a:noFill/>
        </a:ln>
      </c:spPr>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a:pPr>
            <a:r>
              <a:rPr lang="en-US" sz="1051">
                <a:latin typeface="Arial" pitchFamily="34" charset="0"/>
                <a:cs typeface="Arial" pitchFamily="34" charset="0"/>
              </a:rPr>
              <a:t>Graphique 3.5: </a:t>
            </a:r>
            <a:r>
              <a:rPr lang="en-US" sz="1051" b="0">
                <a:latin typeface="Arial" pitchFamily="34" charset="0"/>
                <a:cs typeface="Arial" pitchFamily="34" charset="0"/>
              </a:rPr>
              <a:t>Part de la main d'œuvre utilisée sur l'exploitation selon les sources </a:t>
            </a:r>
          </a:p>
        </c:rich>
      </c:tx>
      <c:layout>
        <c:manualLayout>
          <c:xMode val="edge"/>
          <c:yMode val="edge"/>
          <c:x val="9.0798599584832676E-2"/>
          <c:y val="0"/>
        </c:manualLayout>
      </c:layout>
      <c:overlay val="0"/>
    </c:title>
    <c:autoTitleDeleted val="0"/>
    <c:plotArea>
      <c:layout>
        <c:manualLayout>
          <c:layoutTarget val="inner"/>
          <c:xMode val="edge"/>
          <c:yMode val="edge"/>
          <c:x val="0.12351945854483926"/>
          <c:y val="0.17343173431734349"/>
          <c:w val="0.75634517766497622"/>
          <c:h val="0.78597785977859869"/>
        </c:manualLayout>
      </c:layout>
      <c:ofPieChart>
        <c:ofPieType val="pie"/>
        <c:varyColors val="1"/>
        <c:ser>
          <c:idx val="0"/>
          <c:order val="0"/>
          <c:tx>
            <c:strRef>
              <c:f>Feuil1!$B$1</c:f>
              <c:strCache>
                <c:ptCount val="1"/>
                <c:pt idx="0">
                  <c:v>Graphique 3.5: Part de la main d'œuvre utilisée sur l'exploitation selon les sources </c:v>
                </c:pt>
              </c:strCache>
            </c:strRef>
          </c:tx>
          <c:dPt>
            <c:idx val="0"/>
            <c:bubble3D val="0"/>
            <c:spPr>
              <a:scene3d>
                <a:camera prst="orthographicFront"/>
                <a:lightRig rig="threePt" dir="t"/>
              </a:scene3d>
              <a:sp3d prstMaterial="metal">
                <a:bevelT/>
              </a:sp3d>
            </c:spPr>
            <c:extLst>
              <c:ext xmlns:c16="http://schemas.microsoft.com/office/drawing/2014/chart" uri="{C3380CC4-5D6E-409C-BE32-E72D297353CC}">
                <c16:uniqueId val="{00000001-2F87-4731-A8D1-AB4B7506DF69}"/>
              </c:ext>
            </c:extLst>
          </c:dPt>
          <c:dPt>
            <c:idx val="1"/>
            <c:bubble3D val="0"/>
            <c:spPr>
              <a:ln cap="sq" cmpd="tri">
                <a:solidFill>
                  <a:schemeClr val="accent1"/>
                </a:solidFill>
                <a:bevel/>
              </a:ln>
              <a:scene3d>
                <a:camera prst="orthographicFront"/>
                <a:lightRig rig="threePt" dir="t"/>
              </a:scene3d>
              <a:sp3d>
                <a:bevelT prst="angle"/>
                <a:bevelB prst="angle"/>
              </a:sp3d>
            </c:spPr>
            <c:extLst>
              <c:ext xmlns:c16="http://schemas.microsoft.com/office/drawing/2014/chart" uri="{C3380CC4-5D6E-409C-BE32-E72D297353CC}">
                <c16:uniqueId val="{00000003-2F87-4731-A8D1-AB4B7506DF69}"/>
              </c:ext>
            </c:extLst>
          </c:dPt>
          <c:dPt>
            <c:idx val="2"/>
            <c:bubble3D val="0"/>
            <c:spPr>
              <a:scene3d>
                <a:camera prst="orthographicFront"/>
                <a:lightRig rig="threePt" dir="t"/>
              </a:scene3d>
              <a:sp3d prstMaterial="dkEdge">
                <a:bevelT prst="slope"/>
              </a:sp3d>
            </c:spPr>
            <c:extLst>
              <c:ext xmlns:c16="http://schemas.microsoft.com/office/drawing/2014/chart" uri="{C3380CC4-5D6E-409C-BE32-E72D297353CC}">
                <c16:uniqueId val="{00000005-2F87-4731-A8D1-AB4B7506DF69}"/>
              </c:ext>
            </c:extLst>
          </c:dPt>
          <c:dPt>
            <c:idx val="3"/>
            <c:bubble3D val="0"/>
            <c:spPr>
              <a:scene3d>
                <a:camera prst="orthographicFront"/>
                <a:lightRig rig="soft" dir="t"/>
              </a:scene3d>
              <a:sp3d prstMaterial="matte">
                <a:bevelT w="152400" h="50800" prst="softRound"/>
                <a:bevelB prst="convex"/>
              </a:sp3d>
            </c:spPr>
            <c:extLst>
              <c:ext xmlns:c16="http://schemas.microsoft.com/office/drawing/2014/chart" uri="{C3380CC4-5D6E-409C-BE32-E72D297353CC}">
                <c16:uniqueId val="{00000007-2F87-4731-A8D1-AB4B7506DF69}"/>
              </c:ext>
            </c:extLst>
          </c:dPt>
          <c:dPt>
            <c:idx val="4"/>
            <c:bubble3D val="0"/>
            <c:extLst>
              <c:ext xmlns:c16="http://schemas.microsoft.com/office/drawing/2014/chart" uri="{C3380CC4-5D6E-409C-BE32-E72D297353CC}">
                <c16:uniqueId val="{00000008-2F87-4731-A8D1-AB4B7506DF69}"/>
              </c:ext>
            </c:extLst>
          </c:dPt>
          <c:dLbls>
            <c:dLbl>
              <c:idx val="0"/>
              <c:tx>
                <c:rich>
                  <a:bodyPr/>
                  <a:lstStyle/>
                  <a:p>
                    <a:r>
                      <a:rPr lang="en-US" sz="801" b="0"/>
                      <a:t>M</a:t>
                    </a:r>
                    <a:r>
                      <a:rPr lang="en-US"/>
                      <a:t>ain d'oeuvre familiale
58%</a:t>
                    </a:r>
                  </a:p>
                </c:rich>
              </c:tx>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87-4731-A8D1-AB4B7506DF69}"/>
                </c:ext>
              </c:extLst>
            </c:dLbl>
            <c:dLbl>
              <c:idx val="1"/>
              <c:layout>
                <c:manualLayout>
                  <c:x val="7.4912510936138359E-5"/>
                  <c:y val="-4.477323714424293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87-4731-A8D1-AB4B7506DF69}"/>
                </c:ext>
              </c:extLst>
            </c:dLbl>
            <c:dLbl>
              <c:idx val="4"/>
              <c:tx>
                <c:rich>
                  <a:bodyPr/>
                  <a:lstStyle/>
                  <a:p>
                    <a:r>
                      <a:rPr lang="en-US" sz="801" b="0"/>
                      <a:t>M</a:t>
                    </a:r>
                    <a:r>
                      <a:rPr lang="en-US"/>
                      <a:t>ain d'oeuvre Extérieure
42%</a:t>
                    </a:r>
                  </a:p>
                </c:rich>
              </c:tx>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87-4731-A8D1-AB4B7506DF69}"/>
                </c:ext>
              </c:extLst>
            </c:dLbl>
            <c:spPr>
              <a:noFill/>
              <a:ln w="25376">
                <a:noFill/>
              </a:ln>
            </c:spPr>
            <c:txPr>
              <a:bodyPr/>
              <a:lstStyle/>
              <a:p>
                <a:pPr>
                  <a:defRPr sz="801" b="0"/>
                </a:pPr>
                <a:endParaRPr lang="fr-FR"/>
              </a:p>
            </c:txPr>
            <c:dLblPos val="bestFit"/>
            <c:showLegendKey val="1"/>
            <c:showVal val="0"/>
            <c:showCatName val="1"/>
            <c:showSerName val="0"/>
            <c:showPercent val="1"/>
            <c:showBubbleSize val="0"/>
            <c:showLeaderLines val="1"/>
            <c:extLst>
              <c:ext xmlns:c15="http://schemas.microsoft.com/office/drawing/2012/chart" uri="{CE6537A1-D6FC-4f65-9D91-7224C49458BB}"/>
            </c:extLst>
          </c:dLbls>
          <c:cat>
            <c:strRef>
              <c:f>Feuil1!$A$2:$A$5</c:f>
              <c:strCache>
                <c:ptCount val="4"/>
                <c:pt idx="0">
                  <c:v>Familiale</c:v>
                </c:pt>
                <c:pt idx="1">
                  <c:v>Invitation</c:v>
                </c:pt>
                <c:pt idx="2">
                  <c:v>Salariat</c:v>
                </c:pt>
                <c:pt idx="3">
                  <c:v>Entraide</c:v>
                </c:pt>
              </c:strCache>
            </c:strRef>
          </c:cat>
          <c:val>
            <c:numRef>
              <c:f>Feuil1!$B$2:$B$5</c:f>
              <c:numCache>
                <c:formatCode>General</c:formatCode>
                <c:ptCount val="4"/>
                <c:pt idx="0">
                  <c:v>58</c:v>
                </c:pt>
                <c:pt idx="1">
                  <c:v>30</c:v>
                </c:pt>
                <c:pt idx="2">
                  <c:v>7</c:v>
                </c:pt>
                <c:pt idx="3">
                  <c:v>5</c:v>
                </c:pt>
              </c:numCache>
            </c:numRef>
          </c:val>
          <c:extLst>
            <c:ext xmlns:c16="http://schemas.microsoft.com/office/drawing/2014/chart" uri="{C3380CC4-5D6E-409C-BE32-E72D297353CC}">
              <c16:uniqueId val="{00000009-2F87-4731-A8D1-AB4B7506DF69}"/>
            </c:ext>
          </c:extLst>
        </c:ser>
        <c:dLbls>
          <c:showLegendKey val="0"/>
          <c:showVal val="0"/>
          <c:showCatName val="0"/>
          <c:showSerName val="0"/>
          <c:showPercent val="0"/>
          <c:showBubbleSize val="0"/>
          <c:showLeaderLines val="1"/>
        </c:dLbls>
        <c:gapWidth val="70"/>
        <c:splitType val="pos"/>
        <c:splitPos val="3"/>
        <c:secondPieSize val="75"/>
        <c:serLines/>
      </c:ofPieChart>
      <c:spPr>
        <a:noFill/>
        <a:ln w="25376">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fréquence des cotonculteurs par tranche d'âge en %</c:v>
                </c:pt>
              </c:strCache>
            </c:strRef>
          </c:tx>
          <c:invertIfNegative val="0"/>
          <c:cat>
            <c:strRef>
              <c:f>Feuil1!$A$2:$A$5</c:f>
              <c:strCache>
                <c:ptCount val="4"/>
                <c:pt idx="0">
                  <c:v>18-25 ans</c:v>
                </c:pt>
                <c:pt idx="1">
                  <c:v>26-35 ans </c:v>
                </c:pt>
                <c:pt idx="2">
                  <c:v>36-45 ans </c:v>
                </c:pt>
                <c:pt idx="3">
                  <c:v>&gt;=46 ans </c:v>
                </c:pt>
              </c:strCache>
            </c:strRef>
          </c:cat>
          <c:val>
            <c:numRef>
              <c:f>Feuil1!$B$2:$B$5</c:f>
              <c:numCache>
                <c:formatCode>0%</c:formatCode>
                <c:ptCount val="4"/>
                <c:pt idx="0">
                  <c:v>0.37000000000000038</c:v>
                </c:pt>
                <c:pt idx="1">
                  <c:v>0.28000000000000008</c:v>
                </c:pt>
                <c:pt idx="2">
                  <c:v>0.2</c:v>
                </c:pt>
                <c:pt idx="3">
                  <c:v>0.15000000000000019</c:v>
                </c:pt>
              </c:numCache>
            </c:numRef>
          </c:val>
          <c:extLst>
            <c:ext xmlns:c16="http://schemas.microsoft.com/office/drawing/2014/chart" uri="{C3380CC4-5D6E-409C-BE32-E72D297353CC}">
              <c16:uniqueId val="{00000000-B6C1-4CAC-818C-4CEA4E29E589}"/>
            </c:ext>
          </c:extLst>
        </c:ser>
        <c:ser>
          <c:idx val="1"/>
          <c:order val="1"/>
          <c:tx>
            <c:strRef>
              <c:f>Feuil1!$C$1</c:f>
              <c:strCache>
                <c:ptCount val="1"/>
                <c:pt idx="0">
                  <c:v>Part Superficie vivriers dans le total de l'exploitation</c:v>
                </c:pt>
              </c:strCache>
            </c:strRef>
          </c:tx>
          <c:invertIfNegative val="0"/>
          <c:cat>
            <c:strRef>
              <c:f>Feuil1!$A$2:$A$5</c:f>
              <c:strCache>
                <c:ptCount val="4"/>
                <c:pt idx="0">
                  <c:v>18-25 ans</c:v>
                </c:pt>
                <c:pt idx="1">
                  <c:v>26-35 ans </c:v>
                </c:pt>
                <c:pt idx="2">
                  <c:v>36-45 ans </c:v>
                </c:pt>
                <c:pt idx="3">
                  <c:v>&gt;=46 ans </c:v>
                </c:pt>
              </c:strCache>
            </c:strRef>
          </c:cat>
          <c:val>
            <c:numRef>
              <c:f>Feuil1!$C$2:$C$5</c:f>
              <c:numCache>
                <c:formatCode>0%</c:formatCode>
                <c:ptCount val="4"/>
                <c:pt idx="0">
                  <c:v>0.27</c:v>
                </c:pt>
                <c:pt idx="1">
                  <c:v>0.47000000000000008</c:v>
                </c:pt>
                <c:pt idx="2">
                  <c:v>0.51</c:v>
                </c:pt>
                <c:pt idx="3">
                  <c:v>0.42000000000000032</c:v>
                </c:pt>
              </c:numCache>
            </c:numRef>
          </c:val>
          <c:extLst>
            <c:ext xmlns:c16="http://schemas.microsoft.com/office/drawing/2014/chart" uri="{C3380CC4-5D6E-409C-BE32-E72D297353CC}">
              <c16:uniqueId val="{00000001-B6C1-4CAC-818C-4CEA4E29E589}"/>
            </c:ext>
          </c:extLst>
        </c:ser>
        <c:ser>
          <c:idx val="3"/>
          <c:order val="2"/>
          <c:tx>
            <c:strRef>
              <c:f>Feuil1!$E$1</c:f>
              <c:strCache>
                <c:ptCount val="1"/>
                <c:pt idx="0">
                  <c:v>Part de la superficie cotonnière dans la superficie des exploitations enquêtées en % </c:v>
                </c:pt>
              </c:strCache>
            </c:strRef>
          </c:tx>
          <c:invertIfNegative val="0"/>
          <c:cat>
            <c:strRef>
              <c:f>Feuil1!$A$2:$A$5</c:f>
              <c:strCache>
                <c:ptCount val="4"/>
                <c:pt idx="0">
                  <c:v>18-25 ans</c:v>
                </c:pt>
                <c:pt idx="1">
                  <c:v>26-35 ans </c:v>
                </c:pt>
                <c:pt idx="2">
                  <c:v>36-45 ans </c:v>
                </c:pt>
                <c:pt idx="3">
                  <c:v>&gt;=46 ans </c:v>
                </c:pt>
              </c:strCache>
            </c:strRef>
          </c:cat>
          <c:val>
            <c:numRef>
              <c:f>Feuil1!$E$2:$E$5</c:f>
              <c:numCache>
                <c:formatCode>0%</c:formatCode>
                <c:ptCount val="4"/>
                <c:pt idx="0">
                  <c:v>0.1</c:v>
                </c:pt>
                <c:pt idx="1">
                  <c:v>0.25</c:v>
                </c:pt>
                <c:pt idx="2">
                  <c:v>0.45</c:v>
                </c:pt>
                <c:pt idx="3">
                  <c:v>0.2</c:v>
                </c:pt>
              </c:numCache>
            </c:numRef>
          </c:val>
          <c:extLst>
            <c:ext xmlns:c16="http://schemas.microsoft.com/office/drawing/2014/chart" uri="{C3380CC4-5D6E-409C-BE32-E72D297353CC}">
              <c16:uniqueId val="{00000002-B6C1-4CAC-818C-4CEA4E29E589}"/>
            </c:ext>
          </c:extLst>
        </c:ser>
        <c:ser>
          <c:idx val="4"/>
          <c:order val="3"/>
          <c:tx>
            <c:strRef>
              <c:f>Feuil1!$D$1</c:f>
              <c:strCache>
                <c:ptCount val="1"/>
                <c:pt idx="0">
                  <c:v>part superficie coton en %</c:v>
                </c:pt>
              </c:strCache>
            </c:strRef>
          </c:tx>
          <c:invertIfNegative val="0"/>
          <c:cat>
            <c:strRef>
              <c:f>Feuil1!$A$2:$A$5</c:f>
              <c:strCache>
                <c:ptCount val="4"/>
                <c:pt idx="0">
                  <c:v>18-25 ans</c:v>
                </c:pt>
                <c:pt idx="1">
                  <c:v>26-35 ans </c:v>
                </c:pt>
                <c:pt idx="2">
                  <c:v>36-45 ans </c:v>
                </c:pt>
                <c:pt idx="3">
                  <c:v>&gt;=46 ans </c:v>
                </c:pt>
              </c:strCache>
            </c:strRef>
          </c:cat>
          <c:val>
            <c:numRef>
              <c:f>Feuil1!$D$2:$D$5</c:f>
              <c:numCache>
                <c:formatCode>0%</c:formatCode>
                <c:ptCount val="4"/>
                <c:pt idx="0">
                  <c:v>0.73000000000000065</c:v>
                </c:pt>
                <c:pt idx="1">
                  <c:v>0.53</c:v>
                </c:pt>
                <c:pt idx="2">
                  <c:v>0.49000000000000032</c:v>
                </c:pt>
                <c:pt idx="3">
                  <c:v>0.58000000000000007</c:v>
                </c:pt>
              </c:numCache>
            </c:numRef>
          </c:val>
          <c:extLst>
            <c:ext xmlns:c16="http://schemas.microsoft.com/office/drawing/2014/chart" uri="{C3380CC4-5D6E-409C-BE32-E72D297353CC}">
              <c16:uniqueId val="{00000003-B6C1-4CAC-818C-4CEA4E29E589}"/>
            </c:ext>
          </c:extLst>
        </c:ser>
        <c:dLbls>
          <c:showLegendKey val="0"/>
          <c:showVal val="0"/>
          <c:showCatName val="0"/>
          <c:showSerName val="0"/>
          <c:showPercent val="0"/>
          <c:showBubbleSize val="0"/>
        </c:dLbls>
        <c:gapWidth val="150"/>
        <c:shape val="cylinder"/>
        <c:axId val="166009088"/>
        <c:axId val="166010880"/>
        <c:axId val="0"/>
      </c:bar3DChart>
      <c:catAx>
        <c:axId val="166009088"/>
        <c:scaling>
          <c:orientation val="minMax"/>
        </c:scaling>
        <c:delete val="0"/>
        <c:axPos val="b"/>
        <c:numFmt formatCode="General" sourceLinked="1"/>
        <c:majorTickMark val="out"/>
        <c:minorTickMark val="none"/>
        <c:tickLblPos val="nextTo"/>
        <c:txPr>
          <a:bodyPr/>
          <a:lstStyle/>
          <a:p>
            <a:pPr>
              <a:defRPr b="1"/>
            </a:pPr>
            <a:endParaRPr lang="fr-FR"/>
          </a:p>
        </c:txPr>
        <c:crossAx val="166010880"/>
        <c:crosses val="autoZero"/>
        <c:auto val="1"/>
        <c:lblAlgn val="ctr"/>
        <c:lblOffset val="100"/>
        <c:noMultiLvlLbl val="0"/>
      </c:catAx>
      <c:valAx>
        <c:axId val="166010880"/>
        <c:scaling>
          <c:orientation val="minMax"/>
          <c:max val="1"/>
          <c:min val="0"/>
        </c:scaling>
        <c:delete val="0"/>
        <c:axPos val="l"/>
        <c:majorGridlines/>
        <c:numFmt formatCode="0%" sourceLinked="1"/>
        <c:majorTickMark val="out"/>
        <c:minorTickMark val="none"/>
        <c:tickLblPos val="nextTo"/>
        <c:crossAx val="166009088"/>
        <c:crosses val="autoZero"/>
        <c:crossBetween val="between"/>
        <c:majorUnit val="0.2"/>
        <c:minorUnit val="0.1"/>
      </c:valAx>
      <c:spPr>
        <a:noFill/>
        <a:ln w="25340">
          <a:noFill/>
        </a:ln>
      </c:spPr>
    </c:plotArea>
    <c:legend>
      <c:legendPos val="r"/>
      <c:overlay val="0"/>
      <c:txPr>
        <a:bodyPr/>
        <a:lstStyle/>
        <a:p>
          <a:pPr>
            <a:defRPr>
              <a:solidFill>
                <a:sysClr val="windowText" lastClr="000000"/>
              </a:solidFill>
            </a:defRPr>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Graphique N°3.3 : Situation matrimoniale des producteurs de coton </c:v>
                </c:pt>
              </c:strCache>
            </c:strRef>
          </c:tx>
          <c:dLbls>
            <c:dLbl>
              <c:idx val="0"/>
              <c:tx>
                <c:rich>
                  <a:bodyPr/>
                  <a:lstStyle/>
                  <a:p>
                    <a:pPr>
                      <a:defRPr/>
                    </a:pPr>
                    <a:r>
                      <a:rPr lang="en-US"/>
                      <a:t>Célibataire
25%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35-466F-A6CF-388F912F375C}"/>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Feuil1!$A$2:$A$3</c:f>
              <c:strCache>
                <c:ptCount val="2"/>
                <c:pt idx="0">
                  <c:v>Célitaire</c:v>
                </c:pt>
                <c:pt idx="1">
                  <c:v>Marié</c:v>
                </c:pt>
              </c:strCache>
            </c:strRef>
          </c:cat>
          <c:val>
            <c:numRef>
              <c:f>Feuil1!$B$2:$B$3</c:f>
              <c:numCache>
                <c:formatCode>0%</c:formatCode>
                <c:ptCount val="2"/>
                <c:pt idx="0">
                  <c:v>0.25</c:v>
                </c:pt>
                <c:pt idx="1">
                  <c:v>0.75000000000000089</c:v>
                </c:pt>
              </c:numCache>
            </c:numRef>
          </c:val>
          <c:extLst>
            <c:ext xmlns:c16="http://schemas.microsoft.com/office/drawing/2014/chart" uri="{C3380CC4-5D6E-409C-BE32-E72D297353CC}">
              <c16:uniqueId val="{00000001-FC35-466F-A6CF-388F912F375C}"/>
            </c:ext>
          </c:extLst>
        </c:ser>
        <c:dLbls>
          <c:showLegendKey val="0"/>
          <c:showVal val="1"/>
          <c:showCatName val="1"/>
          <c:showSerName val="0"/>
          <c:showPercent val="0"/>
          <c:showBubbleSize val="0"/>
          <c:showLeaderLines val="0"/>
        </c:dLbls>
      </c:pie3DChart>
      <c:spPr>
        <a:noFill/>
        <a:ln w="25330">
          <a:noFill/>
        </a:ln>
      </c:spPr>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Feuil1!$B$1</c:f>
              <c:strCache>
                <c:ptCount val="1"/>
                <c:pt idx="0">
                  <c:v>Niveau d'instruction</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Nul</c:v>
                </c:pt>
                <c:pt idx="1">
                  <c:v>Primaire </c:v>
                </c:pt>
                <c:pt idx="2">
                  <c:v>Secondaire</c:v>
                </c:pt>
                <c:pt idx="3">
                  <c:v>Supérieur</c:v>
                </c:pt>
              </c:strCache>
            </c:strRef>
          </c:cat>
          <c:val>
            <c:numRef>
              <c:f>Feuil1!$B$2:$B$5</c:f>
              <c:numCache>
                <c:formatCode>0%</c:formatCode>
                <c:ptCount val="4"/>
                <c:pt idx="0">
                  <c:v>0.16</c:v>
                </c:pt>
                <c:pt idx="1">
                  <c:v>0.49000000000000032</c:v>
                </c:pt>
                <c:pt idx="2">
                  <c:v>0.33000000000000052</c:v>
                </c:pt>
                <c:pt idx="3">
                  <c:v>2.0000000000000011E-2</c:v>
                </c:pt>
              </c:numCache>
            </c:numRef>
          </c:val>
          <c:extLst>
            <c:ext xmlns:c16="http://schemas.microsoft.com/office/drawing/2014/chart" uri="{C3380CC4-5D6E-409C-BE32-E72D297353CC}">
              <c16:uniqueId val="{00000000-6BDB-4436-9146-3B6A2DF09866}"/>
            </c:ext>
          </c:extLst>
        </c:ser>
        <c:ser>
          <c:idx val="1"/>
          <c:order val="1"/>
          <c:tx>
            <c:strRef>
              <c:f>Feuil1!$C$1</c:f>
              <c:strCache>
                <c:ptCount val="1"/>
              </c:strCache>
            </c:strRef>
          </c:tx>
          <c:invertIfNegative val="0"/>
          <c:dLbls>
            <c:spPr>
              <a:noFill/>
              <a:ln>
                <a:noFill/>
              </a:ln>
              <a:effectLst/>
            </c:spPr>
            <c:txPr>
              <a:bodyPr/>
              <a:lstStyle/>
              <a:p>
                <a:pPr>
                  <a:defRPr>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Nul</c:v>
                </c:pt>
                <c:pt idx="1">
                  <c:v>Primaire </c:v>
                </c:pt>
                <c:pt idx="2">
                  <c:v>Secondaire</c:v>
                </c:pt>
                <c:pt idx="3">
                  <c:v>Supérieur</c:v>
                </c:pt>
              </c:strCache>
            </c:strRef>
          </c:cat>
          <c:val>
            <c:numRef>
              <c:f>Feuil1!$C$2:$C$5</c:f>
              <c:numCache>
                <c:formatCode>General</c:formatCode>
                <c:ptCount val="4"/>
              </c:numCache>
            </c:numRef>
          </c:val>
          <c:extLst>
            <c:ext xmlns:c16="http://schemas.microsoft.com/office/drawing/2014/chart" uri="{C3380CC4-5D6E-409C-BE32-E72D297353CC}">
              <c16:uniqueId val="{00000001-6BDB-4436-9146-3B6A2DF09866}"/>
            </c:ext>
          </c:extLst>
        </c:ser>
        <c:ser>
          <c:idx val="2"/>
          <c:order val="2"/>
          <c:tx>
            <c:strRef>
              <c:f>Feuil1!$D$1</c:f>
              <c:strCache>
                <c:ptCount val="1"/>
              </c:strCache>
            </c:strRef>
          </c:tx>
          <c:invertIfNegative val="0"/>
          <c:dLbls>
            <c:dLbl>
              <c:idx val="2"/>
              <c:layout>
                <c:manualLayout>
                  <c:x val="3.7037037037037056E-2"/>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DB-4436-9146-3B6A2DF09866}"/>
                </c:ext>
              </c:extLst>
            </c:dLbl>
            <c:spPr>
              <a:noFill/>
              <a:ln>
                <a:noFill/>
              </a:ln>
              <a:effectLst/>
            </c:spPr>
            <c:txPr>
              <a:bodyPr/>
              <a:lstStyle/>
              <a:p>
                <a:pPr>
                  <a:defRPr>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Nul</c:v>
                </c:pt>
                <c:pt idx="1">
                  <c:v>Primaire </c:v>
                </c:pt>
                <c:pt idx="2">
                  <c:v>Secondaire</c:v>
                </c:pt>
                <c:pt idx="3">
                  <c:v>Supérieur</c:v>
                </c:pt>
              </c:strCache>
            </c:strRef>
          </c:cat>
          <c:val>
            <c:numRef>
              <c:f>Feuil1!$D$2:$D$5</c:f>
              <c:numCache>
                <c:formatCode>General</c:formatCode>
                <c:ptCount val="4"/>
              </c:numCache>
            </c:numRef>
          </c:val>
          <c:extLst>
            <c:ext xmlns:c16="http://schemas.microsoft.com/office/drawing/2014/chart" uri="{C3380CC4-5D6E-409C-BE32-E72D297353CC}">
              <c16:uniqueId val="{00000003-6BDB-4436-9146-3B6A2DF09866}"/>
            </c:ext>
          </c:extLst>
        </c:ser>
        <c:ser>
          <c:idx val="3"/>
          <c:order val="3"/>
          <c:tx>
            <c:strRef>
              <c:f>Feuil1!$E$1</c:f>
              <c:strCache>
                <c:ptCount val="1"/>
              </c:strCache>
            </c:strRef>
          </c:tx>
          <c:invertIfNegative val="0"/>
          <c:dLbls>
            <c:dLbl>
              <c:idx val="2"/>
              <c:layout>
                <c:manualLayout>
                  <c:x val="4.1666666666666664E-2"/>
                  <c:y val="-1.9841269841270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DB-4436-9146-3B6A2DF09866}"/>
                </c:ext>
              </c:extLst>
            </c:dLbl>
            <c:spPr>
              <a:noFill/>
              <a:ln>
                <a:noFill/>
              </a:ln>
              <a:effectLst/>
            </c:spPr>
            <c:txPr>
              <a:bodyPr/>
              <a:lstStyle/>
              <a:p>
                <a:pPr>
                  <a:defRPr>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Feuil1!$A$2:$A$5</c:f>
              <c:strCache>
                <c:ptCount val="4"/>
                <c:pt idx="0">
                  <c:v>Nul</c:v>
                </c:pt>
                <c:pt idx="1">
                  <c:v>Primaire </c:v>
                </c:pt>
                <c:pt idx="2">
                  <c:v>Secondaire</c:v>
                </c:pt>
                <c:pt idx="3">
                  <c:v>Supérieur</c:v>
                </c:pt>
              </c:strCache>
            </c:strRef>
          </c:cat>
          <c:val>
            <c:numRef>
              <c:f>Feuil1!$E$2:$E$5</c:f>
              <c:numCache>
                <c:formatCode>General</c:formatCode>
                <c:ptCount val="4"/>
              </c:numCache>
            </c:numRef>
          </c:val>
          <c:extLst>
            <c:ext xmlns:c16="http://schemas.microsoft.com/office/drawing/2014/chart" uri="{C3380CC4-5D6E-409C-BE32-E72D297353CC}">
              <c16:uniqueId val="{00000005-6BDB-4436-9146-3B6A2DF09866}"/>
            </c:ext>
          </c:extLst>
        </c:ser>
        <c:dLbls>
          <c:showLegendKey val="0"/>
          <c:showVal val="0"/>
          <c:showCatName val="0"/>
          <c:showSerName val="0"/>
          <c:showPercent val="0"/>
          <c:showBubbleSize val="0"/>
        </c:dLbls>
        <c:gapWidth val="75"/>
        <c:shape val="box"/>
        <c:axId val="167663872"/>
        <c:axId val="167677952"/>
        <c:axId val="102164224"/>
      </c:bar3DChart>
      <c:catAx>
        <c:axId val="167663872"/>
        <c:scaling>
          <c:orientation val="minMax"/>
        </c:scaling>
        <c:delete val="0"/>
        <c:axPos val="b"/>
        <c:numFmt formatCode="General" sourceLinked="1"/>
        <c:majorTickMark val="none"/>
        <c:minorTickMark val="none"/>
        <c:tickLblPos val="nextTo"/>
        <c:crossAx val="167677952"/>
        <c:crosses val="autoZero"/>
        <c:auto val="1"/>
        <c:lblAlgn val="ctr"/>
        <c:lblOffset val="100"/>
        <c:noMultiLvlLbl val="0"/>
      </c:catAx>
      <c:valAx>
        <c:axId val="167677952"/>
        <c:scaling>
          <c:orientation val="minMax"/>
        </c:scaling>
        <c:delete val="0"/>
        <c:axPos val="l"/>
        <c:numFmt formatCode="0%" sourceLinked="1"/>
        <c:majorTickMark val="none"/>
        <c:minorTickMark val="none"/>
        <c:tickLblPos val="nextTo"/>
        <c:txPr>
          <a:bodyPr/>
          <a:lstStyle/>
          <a:p>
            <a:pPr>
              <a:defRPr>
                <a:latin typeface="Times New Roman" pitchFamily="18" charset="0"/>
                <a:cs typeface="Times New Roman" pitchFamily="18" charset="0"/>
              </a:defRPr>
            </a:pPr>
            <a:endParaRPr lang="fr-FR"/>
          </a:p>
        </c:txPr>
        <c:crossAx val="167663872"/>
        <c:crosses val="autoZero"/>
        <c:crossBetween val="between"/>
      </c:valAx>
      <c:serAx>
        <c:axId val="102164224"/>
        <c:scaling>
          <c:orientation val="minMax"/>
        </c:scaling>
        <c:delete val="0"/>
        <c:axPos val="b"/>
        <c:numFmt formatCode="General" sourceLinked="1"/>
        <c:majorTickMark val="out"/>
        <c:minorTickMark val="none"/>
        <c:tickLblPos val="nextTo"/>
        <c:spPr>
          <a:ln w="3176">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fr-FR"/>
          </a:p>
        </c:txPr>
        <c:crossAx val="167677952"/>
        <c:crosses val="autoZero"/>
        <c:tickLblSkip val="1"/>
        <c:tickMarkSkip val="1"/>
      </c:serAx>
      <c:spPr>
        <a:noFill/>
        <a:ln w="25411">
          <a:noFill/>
        </a:ln>
      </c:spPr>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966613814911542E-2"/>
          <c:y val="6.2726099915476854E-2"/>
          <c:w val="0.75169887040570627"/>
          <c:h val="0.79573913430312848"/>
        </c:manualLayout>
      </c:layout>
      <c:scatterChart>
        <c:scatterStyle val="lineMarker"/>
        <c:varyColors val="0"/>
        <c:ser>
          <c:idx val="0"/>
          <c:order val="0"/>
          <c:tx>
            <c:strRef>
              <c:f>Feuil1!$B$1</c:f>
              <c:strCache>
                <c:ptCount val="1"/>
                <c:pt idx="0">
                  <c:v>Surface (1000ha)</c:v>
                </c:pt>
              </c:strCache>
            </c:strRef>
          </c:tx>
          <c:xVal>
            <c:numRef>
              <c:f>Feuil1!$A$2:$A$8</c:f>
              <c:numCache>
                <c:formatCode>General</c:formatCode>
                <c:ptCount val="7"/>
                <c:pt idx="0">
                  <c:v>1980</c:v>
                </c:pt>
                <c:pt idx="1">
                  <c:v>1990</c:v>
                </c:pt>
                <c:pt idx="2">
                  <c:v>1994</c:v>
                </c:pt>
                <c:pt idx="3">
                  <c:v>2000</c:v>
                </c:pt>
                <c:pt idx="4">
                  <c:v>2005</c:v>
                </c:pt>
                <c:pt idx="5">
                  <c:v>2007</c:v>
                </c:pt>
                <c:pt idx="6">
                  <c:v>2009</c:v>
                </c:pt>
              </c:numCache>
            </c:numRef>
          </c:xVal>
          <c:yVal>
            <c:numRef>
              <c:f>Feuil1!$B$2:$B$8</c:f>
              <c:numCache>
                <c:formatCode>General</c:formatCode>
                <c:ptCount val="7"/>
                <c:pt idx="0">
                  <c:v>81</c:v>
                </c:pt>
                <c:pt idx="1">
                  <c:v>47</c:v>
                </c:pt>
                <c:pt idx="2">
                  <c:v>51</c:v>
                </c:pt>
                <c:pt idx="3">
                  <c:v>39</c:v>
                </c:pt>
                <c:pt idx="4">
                  <c:v>13.6</c:v>
                </c:pt>
                <c:pt idx="5">
                  <c:v>14</c:v>
                </c:pt>
                <c:pt idx="6">
                  <c:v>15</c:v>
                </c:pt>
              </c:numCache>
            </c:numRef>
          </c:yVal>
          <c:smooth val="0"/>
          <c:extLst>
            <c:ext xmlns:c16="http://schemas.microsoft.com/office/drawing/2014/chart" uri="{C3380CC4-5D6E-409C-BE32-E72D297353CC}">
              <c16:uniqueId val="{00000000-44D1-4B31-8E4C-152E5D2EB357}"/>
            </c:ext>
          </c:extLst>
        </c:ser>
        <c:ser>
          <c:idx val="1"/>
          <c:order val="1"/>
          <c:tx>
            <c:strRef>
              <c:f>Feuil1!$C$1</c:f>
              <c:strCache>
                <c:ptCount val="1"/>
                <c:pt idx="0">
                  <c:v>Rendement (10kg/ha)</c:v>
                </c:pt>
              </c:strCache>
            </c:strRef>
          </c:tx>
          <c:xVal>
            <c:numRef>
              <c:f>Feuil1!$A$2:$A$8</c:f>
              <c:numCache>
                <c:formatCode>General</c:formatCode>
                <c:ptCount val="7"/>
                <c:pt idx="0">
                  <c:v>1980</c:v>
                </c:pt>
                <c:pt idx="1">
                  <c:v>1990</c:v>
                </c:pt>
                <c:pt idx="2">
                  <c:v>1994</c:v>
                </c:pt>
                <c:pt idx="3">
                  <c:v>2000</c:v>
                </c:pt>
                <c:pt idx="4">
                  <c:v>2005</c:v>
                </c:pt>
                <c:pt idx="5">
                  <c:v>2007</c:v>
                </c:pt>
                <c:pt idx="6">
                  <c:v>2009</c:v>
                </c:pt>
              </c:numCache>
            </c:numRef>
          </c:xVal>
          <c:yVal>
            <c:numRef>
              <c:f>Feuil1!$C$2:$C$8</c:f>
              <c:numCache>
                <c:formatCode>General</c:formatCode>
                <c:ptCount val="7"/>
                <c:pt idx="0">
                  <c:v>28</c:v>
                </c:pt>
                <c:pt idx="1">
                  <c:v>79</c:v>
                </c:pt>
                <c:pt idx="2">
                  <c:v>31</c:v>
                </c:pt>
                <c:pt idx="3">
                  <c:v>64</c:v>
                </c:pt>
                <c:pt idx="4">
                  <c:v>27.2</c:v>
                </c:pt>
                <c:pt idx="5">
                  <c:v>57</c:v>
                </c:pt>
                <c:pt idx="6">
                  <c:v>51</c:v>
                </c:pt>
              </c:numCache>
            </c:numRef>
          </c:yVal>
          <c:smooth val="0"/>
          <c:extLst>
            <c:ext xmlns:c16="http://schemas.microsoft.com/office/drawing/2014/chart" uri="{C3380CC4-5D6E-409C-BE32-E72D297353CC}">
              <c16:uniqueId val="{00000001-44D1-4B31-8E4C-152E5D2EB357}"/>
            </c:ext>
          </c:extLst>
        </c:ser>
        <c:ser>
          <c:idx val="2"/>
          <c:order val="2"/>
          <c:tx>
            <c:strRef>
              <c:f>Feuil1!$D$1</c:f>
              <c:strCache>
                <c:ptCount val="1"/>
                <c:pt idx="0">
                  <c:v>Production (1000t)</c:v>
                </c:pt>
              </c:strCache>
            </c:strRef>
          </c:tx>
          <c:xVal>
            <c:numRef>
              <c:f>Feuil1!$A$2:$A$8</c:f>
              <c:numCache>
                <c:formatCode>General</c:formatCode>
                <c:ptCount val="7"/>
                <c:pt idx="0">
                  <c:v>1980</c:v>
                </c:pt>
                <c:pt idx="1">
                  <c:v>1990</c:v>
                </c:pt>
                <c:pt idx="2">
                  <c:v>1994</c:v>
                </c:pt>
                <c:pt idx="3">
                  <c:v>2000</c:v>
                </c:pt>
                <c:pt idx="4">
                  <c:v>2005</c:v>
                </c:pt>
                <c:pt idx="5">
                  <c:v>2007</c:v>
                </c:pt>
                <c:pt idx="6">
                  <c:v>2009</c:v>
                </c:pt>
              </c:numCache>
            </c:numRef>
          </c:xVal>
          <c:yVal>
            <c:numRef>
              <c:f>Feuil1!$D$2:$D$8</c:f>
              <c:numCache>
                <c:formatCode>General</c:formatCode>
                <c:ptCount val="7"/>
                <c:pt idx="0">
                  <c:v>23</c:v>
                </c:pt>
                <c:pt idx="1">
                  <c:v>37</c:v>
                </c:pt>
                <c:pt idx="2">
                  <c:v>16</c:v>
                </c:pt>
                <c:pt idx="3">
                  <c:v>25</c:v>
                </c:pt>
                <c:pt idx="4">
                  <c:v>3.7</c:v>
                </c:pt>
                <c:pt idx="5">
                  <c:v>8</c:v>
                </c:pt>
                <c:pt idx="6">
                  <c:v>8</c:v>
                </c:pt>
              </c:numCache>
            </c:numRef>
          </c:yVal>
          <c:smooth val="0"/>
          <c:extLst>
            <c:ext xmlns:c16="http://schemas.microsoft.com/office/drawing/2014/chart" uri="{C3380CC4-5D6E-409C-BE32-E72D297353CC}">
              <c16:uniqueId val="{00000002-44D1-4B31-8E4C-152E5D2EB357}"/>
            </c:ext>
          </c:extLst>
        </c:ser>
        <c:dLbls>
          <c:showLegendKey val="0"/>
          <c:showVal val="0"/>
          <c:showCatName val="0"/>
          <c:showSerName val="0"/>
          <c:showPercent val="0"/>
          <c:showBubbleSize val="0"/>
        </c:dLbls>
        <c:axId val="167696640"/>
        <c:axId val="166395904"/>
      </c:scatterChart>
      <c:valAx>
        <c:axId val="167696640"/>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fr-FR"/>
          </a:p>
        </c:txPr>
        <c:crossAx val="166395904"/>
        <c:crosses val="autoZero"/>
        <c:crossBetween val="midCat"/>
      </c:valAx>
      <c:valAx>
        <c:axId val="166395904"/>
        <c:scaling>
          <c:orientation val="minMax"/>
        </c:scaling>
        <c:delete val="0"/>
        <c:axPos val="l"/>
        <c:majorGridlines/>
        <c:numFmt formatCode="General" sourceLinked="1"/>
        <c:majorTickMark val="out"/>
        <c:minorTickMark val="none"/>
        <c:tickLblPos val="nextTo"/>
        <c:crossAx val="167696640"/>
        <c:crosses val="autoZero"/>
        <c:crossBetween val="midCat"/>
      </c:valAx>
    </c:plotArea>
    <c:legend>
      <c:legendPos val="r"/>
      <c:layout>
        <c:manualLayout>
          <c:xMode val="edge"/>
          <c:yMode val="edge"/>
          <c:x val="0.82463017208173262"/>
          <c:y val="6.9918783736938647E-2"/>
          <c:w val="0.16171795078516188"/>
          <c:h val="0.8093151091962559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a:pPr>
            <a:r>
              <a:rPr lang="en-US" sz="1052">
                <a:latin typeface="Arial" pitchFamily="34" charset="0"/>
                <a:cs typeface="Arial" pitchFamily="34" charset="0"/>
              </a:rPr>
              <a:t>Graphique 3.5: </a:t>
            </a:r>
            <a:r>
              <a:rPr lang="en-US" sz="1052" b="0">
                <a:latin typeface="Arial" pitchFamily="34" charset="0"/>
                <a:cs typeface="Arial" pitchFamily="34" charset="0"/>
              </a:rPr>
              <a:t>Part de la main d'œuvre utilisée sur l'exploitation selon les sources </a:t>
            </a:r>
          </a:p>
        </c:rich>
      </c:tx>
      <c:layout>
        <c:manualLayout>
          <c:xMode val="edge"/>
          <c:yMode val="edge"/>
          <c:x val="9.0798548658575048E-2"/>
          <c:y val="0"/>
        </c:manualLayout>
      </c:layout>
      <c:overlay val="0"/>
    </c:title>
    <c:autoTitleDeleted val="0"/>
    <c:plotArea>
      <c:layout>
        <c:manualLayout>
          <c:layoutTarget val="inner"/>
          <c:xMode val="edge"/>
          <c:yMode val="edge"/>
          <c:x val="0.12351945854483926"/>
          <c:y val="0.17343173431734349"/>
          <c:w val="0.75634517766497622"/>
          <c:h val="0.78597785977859869"/>
        </c:manualLayout>
      </c:layout>
      <c:ofPieChart>
        <c:ofPieType val="pie"/>
        <c:varyColors val="1"/>
        <c:ser>
          <c:idx val="0"/>
          <c:order val="0"/>
          <c:tx>
            <c:strRef>
              <c:f>Feuil1!$B$1</c:f>
              <c:strCache>
                <c:ptCount val="1"/>
                <c:pt idx="0">
                  <c:v>Graphique 3.5: Part de la main d'œuvre utilisée sur l'exploitation selon les sources </c:v>
                </c:pt>
              </c:strCache>
            </c:strRef>
          </c:tx>
          <c:dPt>
            <c:idx val="0"/>
            <c:bubble3D val="0"/>
            <c:spPr>
              <a:scene3d>
                <a:camera prst="orthographicFront"/>
                <a:lightRig rig="threePt" dir="t"/>
              </a:scene3d>
              <a:sp3d prstMaterial="metal">
                <a:bevelT/>
              </a:sp3d>
            </c:spPr>
            <c:extLst>
              <c:ext xmlns:c16="http://schemas.microsoft.com/office/drawing/2014/chart" uri="{C3380CC4-5D6E-409C-BE32-E72D297353CC}">
                <c16:uniqueId val="{00000001-878B-45D0-BA17-C30624372558}"/>
              </c:ext>
            </c:extLst>
          </c:dPt>
          <c:dPt>
            <c:idx val="1"/>
            <c:bubble3D val="0"/>
            <c:spPr>
              <a:ln cap="sq" cmpd="tri">
                <a:solidFill>
                  <a:schemeClr val="accent1"/>
                </a:solidFill>
                <a:bevel/>
              </a:ln>
              <a:scene3d>
                <a:camera prst="orthographicFront"/>
                <a:lightRig rig="threePt" dir="t"/>
              </a:scene3d>
              <a:sp3d>
                <a:bevelT prst="angle"/>
                <a:bevelB prst="angle"/>
              </a:sp3d>
            </c:spPr>
            <c:extLst>
              <c:ext xmlns:c16="http://schemas.microsoft.com/office/drawing/2014/chart" uri="{C3380CC4-5D6E-409C-BE32-E72D297353CC}">
                <c16:uniqueId val="{00000003-878B-45D0-BA17-C30624372558}"/>
              </c:ext>
            </c:extLst>
          </c:dPt>
          <c:dPt>
            <c:idx val="2"/>
            <c:bubble3D val="0"/>
            <c:spPr>
              <a:scene3d>
                <a:camera prst="orthographicFront"/>
                <a:lightRig rig="threePt" dir="t"/>
              </a:scene3d>
              <a:sp3d prstMaterial="dkEdge">
                <a:bevelT prst="slope"/>
              </a:sp3d>
            </c:spPr>
            <c:extLst>
              <c:ext xmlns:c16="http://schemas.microsoft.com/office/drawing/2014/chart" uri="{C3380CC4-5D6E-409C-BE32-E72D297353CC}">
                <c16:uniqueId val="{00000005-878B-45D0-BA17-C30624372558}"/>
              </c:ext>
            </c:extLst>
          </c:dPt>
          <c:dPt>
            <c:idx val="3"/>
            <c:bubble3D val="0"/>
            <c:spPr>
              <a:scene3d>
                <a:camera prst="orthographicFront"/>
                <a:lightRig rig="soft" dir="t"/>
              </a:scene3d>
              <a:sp3d prstMaterial="matte">
                <a:bevelT w="152400" h="50800" prst="softRound"/>
                <a:bevelB prst="convex"/>
              </a:sp3d>
            </c:spPr>
            <c:extLst>
              <c:ext xmlns:c16="http://schemas.microsoft.com/office/drawing/2014/chart" uri="{C3380CC4-5D6E-409C-BE32-E72D297353CC}">
                <c16:uniqueId val="{00000007-878B-45D0-BA17-C30624372558}"/>
              </c:ext>
            </c:extLst>
          </c:dPt>
          <c:dLbls>
            <c:dLbl>
              <c:idx val="0"/>
              <c:tx>
                <c:rich>
                  <a:bodyPr/>
                  <a:lstStyle/>
                  <a:p>
                    <a:r>
                      <a:rPr lang="en-US" sz="802" b="0"/>
                      <a:t>M</a:t>
                    </a:r>
                    <a:r>
                      <a:rPr lang="en-US"/>
                      <a:t>ain d'oeuvre familiale
58%</a:t>
                    </a:r>
                  </a:p>
                </c:rich>
              </c:tx>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8B-45D0-BA17-C30624372558}"/>
                </c:ext>
              </c:extLst>
            </c:dLbl>
            <c:dLbl>
              <c:idx val="1"/>
              <c:layout>
                <c:manualLayout>
                  <c:x val="7.4912510936138359E-5"/>
                  <c:y val="-4.477323714424293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8B-45D0-BA17-C30624372558}"/>
                </c:ext>
              </c:extLst>
            </c:dLbl>
            <c:dLbl>
              <c:idx val="4"/>
              <c:tx>
                <c:rich>
                  <a:bodyPr/>
                  <a:lstStyle/>
                  <a:p>
                    <a:r>
                      <a:rPr lang="en-US" sz="802" b="0"/>
                      <a:t>M</a:t>
                    </a:r>
                    <a:r>
                      <a:rPr lang="en-US"/>
                      <a:t>ain d'oeuvre Extérieure
42%</a:t>
                    </a:r>
                  </a:p>
                </c:rich>
              </c:tx>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8B-45D0-BA17-C30624372558}"/>
                </c:ext>
              </c:extLst>
            </c:dLbl>
            <c:spPr>
              <a:noFill/>
              <a:ln>
                <a:noFill/>
              </a:ln>
              <a:effectLst/>
            </c:spPr>
            <c:txPr>
              <a:bodyPr/>
              <a:lstStyle/>
              <a:p>
                <a:pPr>
                  <a:defRPr sz="802" b="0"/>
                </a:pPr>
                <a:endParaRPr lang="fr-FR"/>
              </a:p>
            </c:txPr>
            <c:dLblPos val="bestFit"/>
            <c:showLegendKey val="1"/>
            <c:showVal val="0"/>
            <c:showCatName val="1"/>
            <c:showSerName val="0"/>
            <c:showPercent val="1"/>
            <c:showBubbleSize val="0"/>
            <c:showLeaderLines val="1"/>
            <c:extLst>
              <c:ext xmlns:c15="http://schemas.microsoft.com/office/drawing/2012/chart" uri="{CE6537A1-D6FC-4f65-9D91-7224C49458BB}"/>
            </c:extLst>
          </c:dLbls>
          <c:cat>
            <c:strRef>
              <c:f>Feuil1!$A$2:$A$5</c:f>
              <c:strCache>
                <c:ptCount val="4"/>
                <c:pt idx="0">
                  <c:v>Familiale</c:v>
                </c:pt>
                <c:pt idx="1">
                  <c:v>Invitation</c:v>
                </c:pt>
                <c:pt idx="2">
                  <c:v>Salariat</c:v>
                </c:pt>
                <c:pt idx="3">
                  <c:v>Entraide</c:v>
                </c:pt>
              </c:strCache>
            </c:strRef>
          </c:cat>
          <c:val>
            <c:numRef>
              <c:f>Feuil1!$B$2:$B$5</c:f>
              <c:numCache>
                <c:formatCode>General</c:formatCode>
                <c:ptCount val="4"/>
                <c:pt idx="0">
                  <c:v>58</c:v>
                </c:pt>
                <c:pt idx="1">
                  <c:v>30</c:v>
                </c:pt>
                <c:pt idx="2">
                  <c:v>7</c:v>
                </c:pt>
                <c:pt idx="3">
                  <c:v>5</c:v>
                </c:pt>
              </c:numCache>
            </c:numRef>
          </c:val>
          <c:extLst>
            <c:ext xmlns:c16="http://schemas.microsoft.com/office/drawing/2014/chart" uri="{C3380CC4-5D6E-409C-BE32-E72D297353CC}">
              <c16:uniqueId val="{00000009-878B-45D0-BA17-C30624372558}"/>
            </c:ext>
          </c:extLst>
        </c:ser>
        <c:dLbls>
          <c:showLegendKey val="0"/>
          <c:showVal val="0"/>
          <c:showCatName val="1"/>
          <c:showSerName val="0"/>
          <c:showPercent val="1"/>
          <c:showBubbleSize val="0"/>
          <c:showLeaderLines val="1"/>
        </c:dLbls>
        <c:gapWidth val="70"/>
        <c:splitType val="pos"/>
        <c:splitPos val="3"/>
        <c:secondPieSize val="75"/>
        <c:serLines/>
      </c:ofPieChart>
      <c:spPr>
        <a:noFill/>
        <a:ln w="25454">
          <a:noFil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8917366579177602"/>
          <c:w val="1"/>
          <c:h val="0.80899343832021064"/>
        </c:manualLayout>
      </c:layout>
      <c:pie3DChart>
        <c:varyColors val="1"/>
        <c:ser>
          <c:idx val="0"/>
          <c:order val="0"/>
          <c:tx>
            <c:strRef>
              <c:f>Feuil1!$B$1</c:f>
              <c:strCache>
                <c:ptCount val="1"/>
                <c:pt idx="0">
                  <c:v>Graphique N°3.9 : Répartition de la main d'œuvre extérieure entre les différentes activités l'itinéraire techique</c:v>
                </c:pt>
              </c:strCache>
            </c:strRef>
          </c:tx>
          <c:dLbls>
            <c:dLbl>
              <c:idx val="5"/>
              <c:layout>
                <c:manualLayout>
                  <c:x val="-7.5870516185476813E-2"/>
                  <c:y val="6.7389954118330833E-2"/>
                </c:manualLayout>
              </c:layout>
              <c:spPr/>
              <c:txPr>
                <a:bodyPr/>
                <a:lstStyle/>
                <a:p>
                  <a:pPr>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B9-435C-BBEC-4273E4B90A8E}"/>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Feuil1!$A$2:$A$8</c:f>
              <c:strCache>
                <c:ptCount val="7"/>
                <c:pt idx="0">
                  <c:v>Défrichage</c:v>
                </c:pt>
                <c:pt idx="1">
                  <c:v>Endénage et brulis</c:v>
                </c:pt>
                <c:pt idx="2">
                  <c:v>labour</c:v>
                </c:pt>
                <c:pt idx="3">
                  <c:v>semis</c:v>
                </c:pt>
                <c:pt idx="4">
                  <c:v>sarclage</c:v>
                </c:pt>
                <c:pt idx="5">
                  <c:v>fumure</c:v>
                </c:pt>
                <c:pt idx="6">
                  <c:v>Récolte</c:v>
                </c:pt>
              </c:strCache>
            </c:strRef>
          </c:cat>
          <c:val>
            <c:numRef>
              <c:f>Feuil1!$B$2:$B$8</c:f>
              <c:numCache>
                <c:formatCode>0%</c:formatCode>
                <c:ptCount val="7"/>
                <c:pt idx="0">
                  <c:v>0.13</c:v>
                </c:pt>
                <c:pt idx="1">
                  <c:v>0.05</c:v>
                </c:pt>
                <c:pt idx="2">
                  <c:v>0.11</c:v>
                </c:pt>
                <c:pt idx="3">
                  <c:v>0.05</c:v>
                </c:pt>
                <c:pt idx="4">
                  <c:v>0.48000000000000032</c:v>
                </c:pt>
                <c:pt idx="5">
                  <c:v>3.0000000000000002E-2</c:v>
                </c:pt>
                <c:pt idx="6">
                  <c:v>0.15000000000000019</c:v>
                </c:pt>
              </c:numCache>
            </c:numRef>
          </c:val>
          <c:extLst>
            <c:ext xmlns:c16="http://schemas.microsoft.com/office/drawing/2014/chart" uri="{C3380CC4-5D6E-409C-BE32-E72D297353CC}">
              <c16:uniqueId val="{00000001-98B9-435C-BBEC-4273E4B90A8E}"/>
            </c:ext>
          </c:extLst>
        </c:ser>
        <c:dLbls>
          <c:showLegendKey val="0"/>
          <c:showVal val="0"/>
          <c:showCatName val="1"/>
          <c:showSerName val="0"/>
          <c:showPercent val="1"/>
          <c:showBubbleSize val="0"/>
          <c:showLeaderLines val="1"/>
        </c:dLbls>
      </c:pie3DChart>
      <c:spPr>
        <a:noFill/>
        <a:ln w="25411">
          <a:noFil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a:pPr>
            <a:endParaRPr lang="en-US"/>
          </a:p>
        </c:rich>
      </c:tx>
      <c:overlay val="0"/>
    </c:title>
    <c:autoTitleDeleted val="0"/>
    <c:plotArea>
      <c:layout/>
      <c:scatterChart>
        <c:scatterStyle val="lineMarker"/>
        <c:varyColors val="0"/>
        <c:ser>
          <c:idx val="0"/>
          <c:order val="0"/>
          <c:tx>
            <c:strRef>
              <c:f>Feuil1!$B$1</c:f>
              <c:strCache>
                <c:ptCount val="1"/>
                <c:pt idx="0">
                  <c:v>Valeur des Y</c:v>
                </c:pt>
              </c:strCache>
            </c:strRef>
          </c:tx>
          <c:spPr>
            <a:ln w="66540">
              <a:noFill/>
            </a:ln>
          </c:spPr>
          <c:xVal>
            <c:numRef>
              <c:f>Feuil1!$A$2:$A$4</c:f>
              <c:numCache>
                <c:formatCode>General</c:formatCode>
                <c:ptCount val="3"/>
                <c:pt idx="0">
                  <c:v>0.95000000000000062</c:v>
                </c:pt>
                <c:pt idx="1">
                  <c:v>1.9900000000000015</c:v>
                </c:pt>
                <c:pt idx="2">
                  <c:v>2.98</c:v>
                </c:pt>
              </c:numCache>
            </c:numRef>
          </c:xVal>
          <c:yVal>
            <c:numRef>
              <c:f>Feuil1!$B$2:$B$4</c:f>
              <c:numCache>
                <c:formatCode>General</c:formatCode>
                <c:ptCount val="3"/>
                <c:pt idx="0">
                  <c:v>980</c:v>
                </c:pt>
                <c:pt idx="1">
                  <c:v>600</c:v>
                </c:pt>
                <c:pt idx="2">
                  <c:v>400</c:v>
                </c:pt>
              </c:numCache>
            </c:numRef>
          </c:yVal>
          <c:smooth val="0"/>
          <c:extLst>
            <c:ext xmlns:c16="http://schemas.microsoft.com/office/drawing/2014/chart" uri="{C3380CC4-5D6E-409C-BE32-E72D297353CC}">
              <c16:uniqueId val="{00000000-27CA-4A7C-8FA3-F864B29B0AA8}"/>
            </c:ext>
          </c:extLst>
        </c:ser>
        <c:dLbls>
          <c:showLegendKey val="0"/>
          <c:showVal val="0"/>
          <c:showCatName val="0"/>
          <c:showSerName val="0"/>
          <c:showPercent val="0"/>
          <c:showBubbleSize val="0"/>
        </c:dLbls>
        <c:axId val="166600704"/>
        <c:axId val="166602624"/>
      </c:scatterChart>
      <c:valAx>
        <c:axId val="166600704"/>
        <c:scaling>
          <c:orientation val="minMax"/>
        </c:scaling>
        <c:delete val="0"/>
        <c:axPos val="b"/>
        <c:title>
          <c:tx>
            <c:rich>
              <a:bodyPr/>
              <a:lstStyle/>
              <a:p>
                <a:pPr>
                  <a:defRPr/>
                </a:pPr>
                <a:r>
                  <a:rPr lang="en-US"/>
                  <a:t>unité produite</a:t>
                </a:r>
              </a:p>
            </c:rich>
          </c:tx>
          <c:overlay val="0"/>
        </c:title>
        <c:numFmt formatCode="General" sourceLinked="1"/>
        <c:majorTickMark val="none"/>
        <c:minorTickMark val="none"/>
        <c:tickLblPos val="nextTo"/>
        <c:txPr>
          <a:bodyPr rot="0" vert="horz"/>
          <a:lstStyle/>
          <a:p>
            <a:pPr>
              <a:defRPr sz="998" b="0" i="0" u="none" strike="noStrike" baseline="0">
                <a:solidFill>
                  <a:srgbClr val="000000"/>
                </a:solidFill>
                <a:latin typeface="Calibri"/>
                <a:ea typeface="Calibri"/>
                <a:cs typeface="Calibri"/>
              </a:defRPr>
            </a:pPr>
            <a:endParaRPr lang="fr-FR"/>
          </a:p>
        </c:txPr>
        <c:crossAx val="166602624"/>
        <c:crosses val="autoZero"/>
        <c:crossBetween val="midCat"/>
      </c:valAx>
      <c:valAx>
        <c:axId val="166602624"/>
        <c:scaling>
          <c:orientation val="minMax"/>
        </c:scaling>
        <c:delete val="0"/>
        <c:axPos val="l"/>
        <c:majorGridlines/>
        <c:title>
          <c:tx>
            <c:rich>
              <a:bodyPr/>
              <a:lstStyle/>
              <a:p>
                <a:pPr>
                  <a:defRPr/>
                </a:pPr>
                <a:r>
                  <a:rPr lang="en-US"/>
                  <a:t>montant salaire moyenne</a:t>
                </a:r>
              </a:p>
            </c:rich>
          </c:tx>
          <c:overlay val="0"/>
        </c:title>
        <c:numFmt formatCode="General" sourceLinked="1"/>
        <c:majorTickMark val="none"/>
        <c:minorTickMark val="none"/>
        <c:tickLblPos val="nextTo"/>
        <c:crossAx val="16660070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Subventions en milliard de FCFA</c:v>
                </c:pt>
              </c:strCache>
            </c:strRef>
          </c:tx>
          <c:marker>
            <c:symbol val="none"/>
          </c:marker>
          <c:cat>
            <c:strRef>
              <c:f>Feuil1!$A$2:$A$6</c:f>
              <c:strCache>
                <c:ptCount val="5"/>
                <c:pt idx="0">
                  <c:v>2005/2006</c:v>
                </c:pt>
                <c:pt idx="1">
                  <c:v>2006/2007</c:v>
                </c:pt>
                <c:pt idx="2">
                  <c:v>2007/2008</c:v>
                </c:pt>
                <c:pt idx="3">
                  <c:v>2008/2009</c:v>
                </c:pt>
                <c:pt idx="4">
                  <c:v>2009/2010</c:v>
                </c:pt>
              </c:strCache>
            </c:strRef>
          </c:cat>
          <c:val>
            <c:numRef>
              <c:f>Feuil1!$B$2:$B$6</c:f>
              <c:numCache>
                <c:formatCode>#,##0</c:formatCode>
                <c:ptCount val="5"/>
                <c:pt idx="0">
                  <c:v>135000000</c:v>
                </c:pt>
                <c:pt idx="1">
                  <c:v>50665000</c:v>
                </c:pt>
                <c:pt idx="2">
                  <c:v>316456760.10000002</c:v>
                </c:pt>
                <c:pt idx="3" formatCode="General">
                  <c:v>0</c:v>
                </c:pt>
                <c:pt idx="4" formatCode="General">
                  <c:v>150000000</c:v>
                </c:pt>
              </c:numCache>
            </c:numRef>
          </c:val>
          <c:smooth val="0"/>
          <c:extLst>
            <c:ext xmlns:c16="http://schemas.microsoft.com/office/drawing/2014/chart" uri="{C3380CC4-5D6E-409C-BE32-E72D297353CC}">
              <c16:uniqueId val="{00000000-27A4-435A-9DFF-19BE00A44D57}"/>
            </c:ext>
          </c:extLst>
        </c:ser>
        <c:ser>
          <c:idx val="1"/>
          <c:order val="1"/>
          <c:tx>
            <c:strRef>
              <c:f>Feuil1!$C$1</c:f>
              <c:strCache>
                <c:ptCount val="1"/>
                <c:pt idx="0">
                  <c:v>Superficie en m²</c:v>
                </c:pt>
              </c:strCache>
            </c:strRef>
          </c:tx>
          <c:marker>
            <c:symbol val="none"/>
          </c:marker>
          <c:cat>
            <c:strRef>
              <c:f>Feuil1!$A$2:$A$6</c:f>
              <c:strCache>
                <c:ptCount val="5"/>
                <c:pt idx="0">
                  <c:v>2005/2006</c:v>
                </c:pt>
                <c:pt idx="1">
                  <c:v>2006/2007</c:v>
                </c:pt>
                <c:pt idx="2">
                  <c:v>2007/2008</c:v>
                </c:pt>
                <c:pt idx="3">
                  <c:v>2008/2009</c:v>
                </c:pt>
                <c:pt idx="4">
                  <c:v>2009/2010</c:v>
                </c:pt>
              </c:strCache>
            </c:strRef>
          </c:cat>
          <c:val>
            <c:numRef>
              <c:f>Feuil1!$C$2:$C$6</c:f>
              <c:numCache>
                <c:formatCode>#,##0.00</c:formatCode>
                <c:ptCount val="5"/>
                <c:pt idx="0" formatCode="#,##0">
                  <c:v>75170000</c:v>
                </c:pt>
                <c:pt idx="1">
                  <c:v>41110000</c:v>
                </c:pt>
                <c:pt idx="2" formatCode="#,##0">
                  <c:v>90200000</c:v>
                </c:pt>
                <c:pt idx="3" formatCode="#,##0">
                  <c:v>28880000</c:v>
                </c:pt>
                <c:pt idx="4" formatCode="#,##0">
                  <c:v>169660000</c:v>
                </c:pt>
              </c:numCache>
            </c:numRef>
          </c:val>
          <c:smooth val="0"/>
          <c:extLst>
            <c:ext xmlns:c16="http://schemas.microsoft.com/office/drawing/2014/chart" uri="{C3380CC4-5D6E-409C-BE32-E72D297353CC}">
              <c16:uniqueId val="{00000001-27A4-435A-9DFF-19BE00A44D57}"/>
            </c:ext>
          </c:extLst>
        </c:ser>
        <c:dLbls>
          <c:showLegendKey val="0"/>
          <c:showVal val="0"/>
          <c:showCatName val="0"/>
          <c:showSerName val="0"/>
          <c:showPercent val="0"/>
          <c:showBubbleSize val="0"/>
        </c:dLbls>
        <c:smooth val="0"/>
        <c:axId val="166624640"/>
        <c:axId val="167986304"/>
      </c:lineChart>
      <c:catAx>
        <c:axId val="16662464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fr-FR"/>
          </a:p>
        </c:txPr>
        <c:crossAx val="167986304"/>
        <c:crosses val="autoZero"/>
        <c:auto val="1"/>
        <c:lblAlgn val="ctr"/>
        <c:lblOffset val="100"/>
        <c:noMultiLvlLbl val="0"/>
      </c:catAx>
      <c:valAx>
        <c:axId val="167986304"/>
        <c:scaling>
          <c:orientation val="minMax"/>
        </c:scaling>
        <c:delete val="0"/>
        <c:axPos val="l"/>
        <c:majorGridlines/>
        <c:numFmt formatCode="#,##0" sourceLinked="1"/>
        <c:majorTickMark val="none"/>
        <c:minorTickMark val="none"/>
        <c:tickLblPos val="nextTo"/>
        <c:spPr>
          <a:ln w="9506">
            <a:noFill/>
          </a:ln>
        </c:spPr>
        <c:txPr>
          <a:bodyPr/>
          <a:lstStyle/>
          <a:p>
            <a:pPr>
              <a:defRPr>
                <a:latin typeface="Times New Roman" pitchFamily="18" charset="0"/>
                <a:cs typeface="Times New Roman" pitchFamily="18" charset="0"/>
              </a:defRPr>
            </a:pPr>
            <a:endParaRPr lang="fr-FR"/>
          </a:p>
        </c:txPr>
        <c:crossAx val="166624640"/>
        <c:crosses val="autoZero"/>
        <c:crossBetween val="between"/>
      </c:valAx>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0.01731</cdr:x>
      <cdr:y>0.89868</cdr:y>
    </cdr:from>
    <cdr:to>
      <cdr:x>0.48936</cdr:x>
      <cdr:y>1</cdr:y>
    </cdr:to>
    <cdr:sp macro="" textlink="">
      <cdr:nvSpPr>
        <cdr:cNvPr id="2" name="ZoneTexte 1"/>
        <cdr:cNvSpPr txBox="1"/>
      </cdr:nvSpPr>
      <cdr:spPr>
        <a:xfrm xmlns:a="http://schemas.openxmlformats.org/drawingml/2006/main">
          <a:off x="99703" y="2422566"/>
          <a:ext cx="2719449" cy="2731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0"/>
            <a:t>Source: Données CCIC</a:t>
          </a:r>
        </a:p>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0.66949</cdr:x>
      <cdr:y>0.37325</cdr:y>
    </cdr:from>
    <cdr:to>
      <cdr:x>0.77605</cdr:x>
      <cdr:y>0.50305</cdr:y>
    </cdr:to>
    <cdr:sp macro="" textlink="">
      <cdr:nvSpPr>
        <cdr:cNvPr id="7" name="Rectangle 6"/>
        <cdr:cNvSpPr/>
      </cdr:nvSpPr>
      <cdr:spPr>
        <a:xfrm xmlns:a="http://schemas.openxmlformats.org/drawingml/2006/main">
          <a:off x="3877135" y="650604"/>
          <a:ext cx="617111" cy="226251"/>
        </a:xfrm>
        <a:prstGeom xmlns:a="http://schemas.openxmlformats.org/drawingml/2006/main" prst="rect">
          <a:avLst/>
        </a:pr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000" b="1">
              <a:solidFill>
                <a:sysClr val="windowText" lastClr="000000"/>
              </a:solidFill>
            </a:rPr>
            <a:t>CONGO</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144</TotalTime>
  <Pages>1</Pages>
  <Words>64118</Words>
  <Characters>352653</Characters>
  <Application>Microsoft Office Word</Application>
  <DocSecurity>0</DocSecurity>
  <Lines>2938</Lines>
  <Paragraphs>831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Présenté par : Mexan-Ruddy-Josip ADOUM-KAMATA</dc:creator>
  <cp:lastModifiedBy>DP</cp:lastModifiedBy>
  <cp:revision>44</cp:revision>
  <cp:lastPrinted>2019-04-02T15:08:00Z</cp:lastPrinted>
  <dcterms:created xsi:type="dcterms:W3CDTF">2016-01-30T11:46:00Z</dcterms:created>
  <dcterms:modified xsi:type="dcterms:W3CDTF">2019-04-02T15:09:00Z</dcterms:modified>
</cp:coreProperties>
</file>